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icrosoft YaHei" w:hAnsi="Microsoft YaHei" w:eastAsia="Microsoft YaHei"/>
          <w:b/>
          <w:color w:val="1F497D"/>
          <w:sz w:val="44"/>
        </w:rPr>
        <w:t>校园网部门综合运维工时平台</w:t>
        <w:br/>
        <w:t>产品需求文档（PRD）</w:t>
      </w:r>
    </w:p>
    <w:p>
      <w:pPr>
        <w:spacing w:after="360"/>
        <w:jc w:val="center"/>
      </w:pPr>
      <w:r>
        <w:rPr>
          <w:rFonts w:ascii="Microsoft YaHei" w:hAnsi="Microsoft YaHei" w:eastAsia="Microsoft YaHei"/>
          <w:sz w:val="22"/>
        </w:rPr>
        <w:t>版本：V2.0（需求定稿草案）</w:t>
      </w:r>
    </w:p>
    <w:tbl>
      <w:tblPr>
        <w:tblStyle w:val="TableGrid"/>
        <w:tblW w:type="auto" w:w="0"/>
        <w:jc w:val="center"/>
        <w:tblLook w:firstColumn="1" w:firstRow="1" w:lastColumn="0" w:lastRow="0" w:noHBand="0" w:noVBand="1" w:val="04A0"/>
      </w:tblPr>
      <w:tblGrid>
        <w:gridCol w:w="4649"/>
        <w:gridCol w:w="4649"/>
      </w:tblGrid>
      <w:tr>
        <w:trPr>
          <w:cantSplit/>
          <w:tblHeader/>
        </w:trPr>
        <w:tc>
          <w:tcPr>
            <w:tcW w:type="dxa" w:w="4649"/>
            <w:vAlign w:val="center"/>
            <w:tcMar>
              <w:top w:w="90" w:type="dxa"/>
              <w:start w:w="110" w:type="dxa"/>
              <w:bottom w:w="90" w:type="dxa"/>
              <w:end w:w="110" w:type="dxa"/>
            </w:tcMar>
            <w:shd w:fill="D9EAF7"/>
          </w:tcPr>
          <w:p>
            <w:r>
              <w:t>文档目的</w:t>
            </w:r>
          </w:p>
        </w:tc>
        <w:tc>
          <w:tcPr>
            <w:tcW w:type="dxa" w:w="4649"/>
            <w:vAlign w:val="center"/>
            <w:tcMar>
              <w:top w:w="90" w:type="dxa"/>
              <w:start w:w="110" w:type="dxa"/>
              <w:bottom w:w="90" w:type="dxa"/>
              <w:end w:w="110" w:type="dxa"/>
            </w:tcMar>
            <w:shd w:fill="D9EAF7"/>
          </w:tcPr>
          <w:p>
            <w:r>
              <w:t>用于指导现有 GitHub 项目从“公式计算/工时管理”扩展为完整的部门内部工具，统一后端、Flutter 客户端与后续数据库设计。</w:t>
            </w:r>
          </w:p>
        </w:tc>
      </w:tr>
      <w:tr>
        <w:trPr>
          <w:cantSplit/>
        </w:trPr>
        <w:tc>
          <w:tcPr>
            <w:tcW w:type="dxa" w:w="4649"/>
            <w:vAlign w:val="center"/>
            <w:tcMar>
              <w:top w:w="90" w:type="dxa"/>
              <w:start w:w="110" w:type="dxa"/>
              <w:bottom w:w="90" w:type="dxa"/>
              <w:end w:w="110" w:type="dxa"/>
            </w:tcMar>
          </w:tcPr>
          <w:p>
            <w:r>
              <w:t>项目定位</w:t>
            </w:r>
          </w:p>
        </w:tc>
        <w:tc>
          <w:tcPr>
            <w:tcW w:type="dxa" w:w="4649"/>
            <w:vAlign w:val="center"/>
            <w:tcMar>
              <w:top w:w="90" w:type="dxa"/>
              <w:start w:w="110" w:type="dxa"/>
              <w:bottom w:w="90" w:type="dxa"/>
              <w:end w:w="110" w:type="dxa"/>
            </w:tcMar>
          </w:tcPr>
          <w:p>
            <w:r>
              <w:t>以任务管理为主线、以网络检测为特色、以工时审核结算为落点的一站式部门运维平台。</w:t>
            </w:r>
          </w:p>
        </w:tc>
      </w:tr>
      <w:tr>
        <w:trPr>
          <w:cantSplit/>
        </w:trPr>
        <w:tc>
          <w:tcPr>
            <w:tcW w:type="dxa" w:w="4649"/>
            <w:vAlign w:val="center"/>
            <w:tcMar>
              <w:top w:w="90" w:type="dxa"/>
              <w:start w:w="110" w:type="dxa"/>
              <w:bottom w:w="90" w:type="dxa"/>
              <w:end w:w="110" w:type="dxa"/>
            </w:tcMar>
          </w:tcPr>
          <w:p>
            <w:r>
              <w:t>技术路线</w:t>
            </w:r>
          </w:p>
        </w:tc>
        <w:tc>
          <w:tcPr>
            <w:tcW w:type="dxa" w:w="4649"/>
            <w:vAlign w:val="center"/>
            <w:tcMar>
              <w:top w:w="90" w:type="dxa"/>
              <w:start w:w="110" w:type="dxa"/>
              <w:bottom w:w="90" w:type="dxa"/>
              <w:end w:w="110" w:type="dxa"/>
            </w:tcMar>
          </w:tcPr>
          <w:p>
            <w:r>
              <w:t>后端 Python Flask；客户端 Flutter（Android 优先，iOS 暂缓）；必要时以 Android 原生实现底层网络检测与媒体取证能力。</w:t>
            </w:r>
          </w:p>
        </w:tc>
      </w:tr>
      <w:tr>
        <w:trPr>
          <w:cantSplit/>
        </w:trPr>
        <w:tc>
          <w:tcPr>
            <w:tcW w:type="dxa" w:w="4649"/>
            <w:vAlign w:val="center"/>
            <w:tcMar>
              <w:top w:w="90" w:type="dxa"/>
              <w:start w:w="110" w:type="dxa"/>
              <w:bottom w:w="90" w:type="dxa"/>
              <w:end w:w="110" w:type="dxa"/>
            </w:tcMar>
          </w:tcPr>
          <w:p>
            <w:r>
              <w:t>适用对象</w:t>
            </w:r>
          </w:p>
        </w:tc>
        <w:tc>
          <w:tcPr>
            <w:tcW w:type="dxa" w:w="4649"/>
            <w:vAlign w:val="center"/>
            <w:tcMar>
              <w:top w:w="90" w:type="dxa"/>
              <w:start w:w="110" w:type="dxa"/>
              <w:bottom w:w="90" w:type="dxa"/>
              <w:end w:w="110" w:type="dxa"/>
            </w:tcMar>
          </w:tcPr>
          <w:p>
            <w:r>
              <w:t>管理员、普通用户（member/组长，权限上同属 user 类）。</w:t>
            </w:r>
          </w:p>
        </w:tc>
      </w:tr>
      <w:tr>
        <w:trPr>
          <w:cantSplit/>
        </w:trPr>
        <w:tc>
          <w:tcPr>
            <w:tcW w:type="dxa" w:w="4649"/>
            <w:vAlign w:val="center"/>
            <w:tcMar>
              <w:top w:w="90" w:type="dxa"/>
              <w:start w:w="110" w:type="dxa"/>
              <w:bottom w:w="90" w:type="dxa"/>
              <w:end w:w="110" w:type="dxa"/>
            </w:tcMar>
          </w:tcPr>
          <w:p>
            <w:r>
              <w:t>当前状态</w:t>
            </w:r>
          </w:p>
        </w:tc>
        <w:tc>
          <w:tcPr>
            <w:tcW w:type="dxa" w:w="4649"/>
            <w:vAlign w:val="center"/>
            <w:tcMar>
              <w:top w:w="90" w:type="dxa"/>
              <w:start w:w="110" w:type="dxa"/>
              <w:bottom w:w="90" w:type="dxa"/>
              <w:end w:w="110" w:type="dxa"/>
            </w:tcMar>
          </w:tcPr>
          <w:p>
            <w:r>
              <w:t>沿用现有登录模块与部分 Flutter 页面，保留原工时公式逻辑，并抽离为独立工时引擎。</w:t>
            </w:r>
          </w:p>
        </w:tc>
      </w:tr>
    </w:tbl>
    <w:p>
      <w:r>
        <w:br w:type="page"/>
      </w:r>
    </w:p>
    <w:p>
      <w:pPr>
        <w:pStyle w:val="Heading1"/>
        <w:keepNext/>
      </w:pPr>
      <w:r>
        <w:t>1. 项目背景与建设目标</w:t>
      </w:r>
    </w:p>
    <w:p>
      <w:pPr>
        <w:spacing w:after="80" w:line="300" w:lineRule="auto"/>
        <w:ind w:firstLine="420"/>
      </w:pPr>
      <w:r>
        <w:rPr>
          <w:rFonts w:ascii="Microsoft YaHei" w:hAnsi="Microsoft YaHei" w:eastAsia="Microsoft YaHei"/>
        </w:rPr>
        <w:t>现有系统已具备基础工时公式计算能力，但在实际部门工作中仍存在任务登记分散、现场执行缺乏统一留痕、网络检测过程不规范、工时确认口径不一致、报修与抽检数据难以沉淀等问题。本项目 V2 的建设目标，是将现有项目升级为可长期使用的部门综合工具。</w:t>
      </w:r>
    </w:p>
    <w:p>
      <w:pPr>
        <w:spacing w:after="80" w:line="300" w:lineRule="auto"/>
        <w:ind w:firstLine="420"/>
      </w:pPr>
      <w:r>
        <w:rPr>
          <w:rFonts w:ascii="Microsoft YaHei" w:hAnsi="Microsoft YaHei" w:eastAsia="Microsoft YaHei"/>
        </w:rPr>
        <w:t>平台需要同时覆盖协助任务、巡检任务、宿舍网络抽检、线上/线下报修登记与工时审核，最终实现“任务创建—现场执行—结果留痕—工时结算—统计归档”的完整闭环。</w:t>
      </w:r>
    </w:p>
    <w:p>
      <w:pPr>
        <w:pStyle w:val="Heading1"/>
        <w:keepNext/>
      </w:pPr>
      <w:r>
        <w:t>2. 产品定位与范围</w:t>
      </w:r>
    </w:p>
    <w:p>
      <w:pPr>
        <w:pStyle w:val="Heading2"/>
        <w:spacing w:after="80" w:line="300" w:lineRule="auto"/>
        <w:keepNext/>
      </w:pPr>
      <w:r>
        <w:rPr>
          <w:rFonts w:ascii="Microsoft YaHei" w:hAnsi="Microsoft YaHei" w:eastAsia="Microsoft YaHei"/>
        </w:rPr>
        <w:t>2.1 产品定位</w:t>
      </w:r>
    </w:p>
    <w:p>
      <w:pPr>
        <w:spacing w:after="80" w:line="300" w:lineRule="auto"/>
        <w:ind w:firstLine="420"/>
      </w:pPr>
      <w:r>
        <w:rPr>
          <w:rFonts w:ascii="Microsoft YaHei" w:hAnsi="Microsoft YaHei" w:eastAsia="Microsoft YaHei"/>
        </w:rPr>
        <w:t>本系统定位为“校园网部门综合运维工时平台”。它不是单纯的考勤系统，也不是单纯的报修系统，而是一个围绕部门任务执行构建的内部业务平台。</w:t>
      </w:r>
    </w:p>
    <w:p>
      <w:pPr>
        <w:pStyle w:val="Heading2"/>
        <w:spacing w:after="80" w:line="300" w:lineRule="auto"/>
        <w:keepNext/>
      </w:pPr>
      <w:r>
        <w:rPr>
          <w:rFonts w:ascii="Microsoft YaHei" w:hAnsi="Microsoft YaHei" w:eastAsia="Microsoft YaHei"/>
        </w:rPr>
        <w:t>2.2 业务边界</w:t>
      </w:r>
    </w:p>
    <w:tbl>
      <w:tblPr>
        <w:tblStyle w:val="TableGrid"/>
        <w:tblW w:type="auto" w:w="0"/>
        <w:jc w:val="center"/>
        <w:tblLook w:firstColumn="1" w:firstRow="1" w:lastColumn="0" w:lastRow="0" w:noHBand="0" w:noVBand="1" w:val="04A0"/>
      </w:tblPr>
      <w:tblGrid>
        <w:gridCol w:w="3099"/>
        <w:gridCol w:w="3099"/>
        <w:gridCol w:w="3099"/>
      </w:tblGrid>
      <w:tr>
        <w:trPr>
          <w:cantSplit/>
          <w:tblHeader/>
        </w:trPr>
        <w:tc>
          <w:tcPr>
            <w:tcW w:type="dxa" w:w="3099"/>
            <w:vAlign w:val="center"/>
            <w:tcMar>
              <w:top w:w="90" w:type="dxa"/>
              <w:start w:w="110" w:type="dxa"/>
              <w:bottom w:w="90" w:type="dxa"/>
              <w:end w:w="110" w:type="dxa"/>
            </w:tcMar>
            <w:shd w:fill="D9EAF7"/>
          </w:tcPr>
          <w:p>
            <w:r>
              <w:t>范围</w:t>
            </w:r>
          </w:p>
        </w:tc>
        <w:tc>
          <w:tcPr>
            <w:tcW w:type="dxa" w:w="3099"/>
            <w:vAlign w:val="center"/>
            <w:tcMar>
              <w:top w:w="90" w:type="dxa"/>
              <w:start w:w="110" w:type="dxa"/>
              <w:bottom w:w="90" w:type="dxa"/>
              <w:end w:w="110" w:type="dxa"/>
            </w:tcMar>
            <w:shd w:fill="D9EAF7"/>
          </w:tcPr>
          <w:p>
            <w:r>
              <w:t>纳入本期</w:t>
            </w:r>
          </w:p>
        </w:tc>
        <w:tc>
          <w:tcPr>
            <w:tcW w:type="dxa" w:w="3099"/>
            <w:vAlign w:val="center"/>
            <w:tcMar>
              <w:top w:w="90" w:type="dxa"/>
              <w:start w:w="110" w:type="dxa"/>
              <w:bottom w:w="90" w:type="dxa"/>
              <w:end w:w="110" w:type="dxa"/>
            </w:tcMar>
            <w:shd w:fill="D9EAF7"/>
          </w:tcPr>
          <w:p>
            <w:r>
              <w:t>说明</w:t>
            </w:r>
          </w:p>
        </w:tc>
      </w:tr>
      <w:tr>
        <w:trPr>
          <w:cantSplit/>
        </w:trPr>
        <w:tc>
          <w:tcPr>
            <w:tcW w:type="dxa" w:w="3099"/>
          </w:tcPr>
          <w:p>
            <w:r>
              <w:t>任务管理</w:t>
            </w:r>
          </w:p>
        </w:tc>
        <w:tc>
          <w:tcPr>
            <w:tcW w:type="dxa" w:w="3099"/>
          </w:tcPr>
          <w:p>
            <w:r>
              <w:t>是</w:t>
            </w:r>
          </w:p>
        </w:tc>
        <w:tc>
          <w:tcPr>
            <w:tcW w:type="dxa" w:w="3099"/>
          </w:tcPr>
          <w:p>
            <w:r>
              <w:t>支持协助任务、巡检任务、抽检任务的创建、报名、指派、执行与审核。</w:t>
            </w:r>
          </w:p>
        </w:tc>
      </w:tr>
      <w:tr>
        <w:trPr>
          <w:cantSplit/>
        </w:trPr>
        <w:tc>
          <w:tcPr>
            <w:tcW w:type="dxa" w:w="3099"/>
          </w:tcPr>
          <w:p>
            <w:r>
              <w:t>网络检测</w:t>
            </w:r>
          </w:p>
        </w:tc>
        <w:tc>
          <w:tcPr>
            <w:tcW w:type="dxa" w:w="3099"/>
          </w:tcPr>
          <w:p>
            <w:r>
              <w:t>是</w:t>
            </w:r>
          </w:p>
        </w:tc>
        <w:tc>
          <w:tcPr>
            <w:tcW w:type="dxa" w:w="3099"/>
          </w:tcPr>
          <w:p>
            <w:r>
              <w:t>支持宿舍网络一键完整检测，并沉淀结构化检测数据。</w:t>
            </w:r>
          </w:p>
        </w:tc>
      </w:tr>
      <w:tr>
        <w:trPr>
          <w:cantSplit/>
        </w:trPr>
        <w:tc>
          <w:tcPr>
            <w:tcW w:type="dxa" w:w="3099"/>
          </w:tcPr>
          <w:p>
            <w:r>
              <w:t>报修登记</w:t>
            </w:r>
          </w:p>
        </w:tc>
        <w:tc>
          <w:tcPr>
            <w:tcW w:type="dxa" w:w="3099"/>
          </w:tcPr>
          <w:p>
            <w:r>
              <w:t>是</w:t>
            </w:r>
          </w:p>
        </w:tc>
        <w:tc>
          <w:tcPr>
            <w:tcW w:type="dxa" w:w="3099"/>
          </w:tcPr>
          <w:p>
            <w:r>
              <w:t>支持线上/线下报修记录、OCR 提取、匹配与归档。</w:t>
            </w:r>
          </w:p>
        </w:tc>
      </w:tr>
      <w:tr>
        <w:trPr>
          <w:cantSplit/>
        </w:trPr>
        <w:tc>
          <w:tcPr>
            <w:tcW w:type="dxa" w:w="3099"/>
          </w:tcPr>
          <w:p>
            <w:r>
              <w:t>工时结算</w:t>
            </w:r>
          </w:p>
        </w:tc>
        <w:tc>
          <w:tcPr>
            <w:tcW w:type="dxa" w:w="3099"/>
          </w:tcPr>
          <w:p>
            <w:r>
              <w:t>是</w:t>
            </w:r>
          </w:p>
        </w:tc>
        <w:tc>
          <w:tcPr>
            <w:tcW w:type="dxa" w:w="3099"/>
          </w:tcPr>
          <w:p>
            <w:r>
              <w:t>统一由工时引擎计算，并经管理员审核后生效。</w:t>
            </w:r>
          </w:p>
        </w:tc>
      </w:tr>
      <w:tr>
        <w:trPr>
          <w:cantSplit/>
        </w:trPr>
        <w:tc>
          <w:tcPr>
            <w:tcW w:type="dxa" w:w="3099"/>
          </w:tcPr>
          <w:p>
            <w:r>
              <w:t>统一认证重构</w:t>
            </w:r>
          </w:p>
        </w:tc>
        <w:tc>
          <w:tcPr>
            <w:tcW w:type="dxa" w:w="3099"/>
          </w:tcPr>
          <w:p>
            <w:r>
              <w:t>否</w:t>
            </w:r>
          </w:p>
        </w:tc>
        <w:tc>
          <w:tcPr>
            <w:tcW w:type="dxa" w:w="3099"/>
          </w:tcPr>
          <w:p>
            <w:r>
              <w:t>沿用现有学号+密码登录模块。</w:t>
            </w:r>
          </w:p>
        </w:tc>
      </w:tr>
      <w:tr>
        <w:trPr>
          <w:cantSplit/>
        </w:trPr>
        <w:tc>
          <w:tcPr>
            <w:tcW w:type="dxa" w:w="3099"/>
          </w:tcPr>
          <w:p>
            <w:r>
              <w:t>iOS 完整实现</w:t>
            </w:r>
          </w:p>
        </w:tc>
        <w:tc>
          <w:tcPr>
            <w:tcW w:type="dxa" w:w="3099"/>
          </w:tcPr>
          <w:p>
            <w:r>
              <w:t>否</w:t>
            </w:r>
          </w:p>
        </w:tc>
        <w:tc>
          <w:tcPr>
            <w:tcW w:type="dxa" w:w="3099"/>
          </w:tcPr>
          <w:p>
            <w:r>
              <w:t>iOS 暂缓，优先 Android。</w:t>
            </w:r>
          </w:p>
        </w:tc>
      </w:tr>
      <w:tr>
        <w:trPr>
          <w:cantSplit/>
        </w:trPr>
        <w:tc>
          <w:tcPr>
            <w:tcW w:type="dxa" w:w="3099"/>
          </w:tcPr>
          <w:p>
            <w:r>
              <w:t>抽检异常自动转报修</w:t>
            </w:r>
          </w:p>
        </w:tc>
        <w:tc>
          <w:tcPr>
            <w:tcW w:type="dxa" w:w="3099"/>
          </w:tcPr>
          <w:p>
            <w:r>
              <w:t>否</w:t>
            </w:r>
          </w:p>
        </w:tc>
        <w:tc>
          <w:tcPr>
            <w:tcW w:type="dxa" w:w="3099"/>
          </w:tcPr>
          <w:p>
            <w:r>
              <w:t>抽检异常进入管理员待办，不直接转报修单。</w:t>
            </w:r>
          </w:p>
        </w:tc>
      </w:tr>
    </w:tbl>
    <w:p>
      <w:pPr>
        <w:pStyle w:val="Heading1"/>
        <w:keepNext/>
      </w:pPr>
      <w:r>
        <w:t>3. 用户角色与权限模型</w:t>
      </w:r>
    </w:p>
    <w:p>
      <w:pPr>
        <w:pStyle w:val="Heading2"/>
        <w:spacing w:after="80" w:line="300" w:lineRule="auto"/>
        <w:keepNext/>
      </w:pPr>
      <w:r>
        <w:rPr>
          <w:rFonts w:ascii="Microsoft YaHei" w:hAnsi="Microsoft YaHei" w:eastAsia="Microsoft YaHei"/>
        </w:rPr>
        <w:t>3.1 角色定义</w:t>
      </w:r>
    </w:p>
    <w:tbl>
      <w:tblPr>
        <w:tblStyle w:val="TableGrid"/>
        <w:tblW w:type="auto" w:w="0"/>
        <w:jc w:val="center"/>
        <w:tblLook w:firstColumn="1" w:firstRow="1" w:lastColumn="0" w:lastRow="0" w:noHBand="0" w:noVBand="1" w:val="04A0"/>
      </w:tblPr>
      <w:tblGrid>
        <w:gridCol w:w="3099"/>
        <w:gridCol w:w="3099"/>
        <w:gridCol w:w="3099"/>
      </w:tblGrid>
      <w:tr>
        <w:trPr>
          <w:cantSplit/>
          <w:tblHeader/>
        </w:trPr>
        <w:tc>
          <w:tcPr>
            <w:tcW w:type="dxa" w:w="3099"/>
            <w:vAlign w:val="center"/>
            <w:tcMar>
              <w:top w:w="90" w:type="dxa"/>
              <w:start w:w="110" w:type="dxa"/>
              <w:bottom w:w="90" w:type="dxa"/>
              <w:end w:w="110" w:type="dxa"/>
            </w:tcMar>
            <w:shd w:fill="D9EAF7"/>
          </w:tcPr>
          <w:p>
            <w:r>
              <w:t>角色</w:t>
            </w:r>
          </w:p>
        </w:tc>
        <w:tc>
          <w:tcPr>
            <w:tcW w:type="dxa" w:w="3099"/>
            <w:vAlign w:val="center"/>
            <w:tcMar>
              <w:top w:w="90" w:type="dxa"/>
              <w:start w:w="110" w:type="dxa"/>
              <w:bottom w:w="90" w:type="dxa"/>
              <w:end w:w="110" w:type="dxa"/>
            </w:tcMar>
            <w:shd w:fill="D9EAF7"/>
          </w:tcPr>
          <w:p>
            <w:r>
              <w:t>权限概述</w:t>
            </w:r>
          </w:p>
        </w:tc>
        <w:tc>
          <w:tcPr>
            <w:tcW w:type="dxa" w:w="3099"/>
            <w:vAlign w:val="center"/>
            <w:tcMar>
              <w:top w:w="90" w:type="dxa"/>
              <w:start w:w="110" w:type="dxa"/>
              <w:bottom w:w="90" w:type="dxa"/>
              <w:end w:w="110" w:type="dxa"/>
            </w:tcMar>
            <w:shd w:fill="D9EAF7"/>
          </w:tcPr>
          <w:p>
            <w:r>
              <w:t>备注</w:t>
            </w:r>
          </w:p>
        </w:tc>
      </w:tr>
      <w:tr>
        <w:trPr>
          <w:cantSplit/>
        </w:trPr>
        <w:tc>
          <w:tcPr>
            <w:tcW w:type="dxa" w:w="3099"/>
          </w:tcPr>
          <w:p>
            <w:r>
              <w:t>管理员</w:t>
            </w:r>
          </w:p>
        </w:tc>
        <w:tc>
          <w:tcPr>
            <w:tcW w:type="dxa" w:w="3099"/>
          </w:tcPr>
          <w:p>
            <w:r>
              <w:t>拥有完整平台权限，可进行任务创建、审核、统计、配置、数据修正、待办处理等所有操作。</w:t>
            </w:r>
          </w:p>
        </w:tc>
        <w:tc>
          <w:tcPr>
            <w:tcW w:type="dxa" w:w="3099"/>
          </w:tcPr>
          <w:p>
            <w:r>
              <w:t>管理员可做 anything。</w:t>
            </w:r>
          </w:p>
        </w:tc>
      </w:tr>
      <w:tr>
        <w:trPr>
          <w:cantSplit/>
        </w:trPr>
        <w:tc>
          <w:tcPr>
            <w:tcW w:type="dxa" w:w="3099"/>
          </w:tcPr>
          <w:p>
            <w:r>
              <w:t>组长</w:t>
            </w:r>
          </w:p>
        </w:tc>
        <w:tc>
          <w:tcPr>
            <w:tcW w:type="dxa" w:w="3099"/>
          </w:tcPr>
          <w:p>
            <w:r>
              <w:t>与 member 同属 user 类，权限上与普通用户保持一致，仅在业务称谓上区分。</w:t>
            </w:r>
          </w:p>
        </w:tc>
        <w:tc>
          <w:tcPr>
            <w:tcW w:type="dxa" w:w="3099"/>
          </w:tcPr>
          <w:p>
            <w:r>
              <w:t>当前版本不单独做复杂 RBAC。</w:t>
            </w:r>
          </w:p>
        </w:tc>
      </w:tr>
      <w:tr>
        <w:trPr>
          <w:cantSplit/>
        </w:trPr>
        <w:tc>
          <w:tcPr>
            <w:tcW w:type="dxa" w:w="3099"/>
          </w:tcPr>
          <w:p>
            <w:r>
              <w:t>member</w:t>
            </w:r>
          </w:p>
        </w:tc>
        <w:tc>
          <w:tcPr>
            <w:tcW w:type="dxa" w:w="3099"/>
          </w:tcPr>
          <w:p>
            <w:r>
              <w:t>可报名协助任务、查看被指派任务、签到签退、执行巡检/抽检、登记报修、查看个人工时。</w:t>
            </w:r>
          </w:p>
        </w:tc>
        <w:tc>
          <w:tcPr>
            <w:tcW w:type="dxa" w:w="3099"/>
          </w:tcPr>
          <w:p>
            <w:r>
              <w:t>允许修改个人资料。</w:t>
            </w:r>
          </w:p>
        </w:tc>
      </w:tr>
    </w:tbl>
    <w:p>
      <w:pPr>
        <w:pStyle w:val="Heading2"/>
        <w:spacing w:after="80" w:line="300" w:lineRule="auto"/>
        <w:keepNext/>
      </w:pPr>
      <w:r>
        <w:rPr>
          <w:rFonts w:ascii="Microsoft YaHei" w:hAnsi="Microsoft YaHei" w:eastAsia="Microsoft YaHei"/>
        </w:rPr>
        <w:t>3.2 权限设计原则</w:t>
      </w:r>
    </w:p>
    <w:p>
      <w:pPr>
        <w:spacing w:after="60"/>
      </w:pPr>
      <w:r>
        <w:t>• 当前版本采用“管理员 / 普通用户”两级权限模型，减少复杂度，先保证业务主流程稳定落地。</w:t>
      </w:r>
    </w:p>
    <w:p>
      <w:pPr>
        <w:spacing w:after="60"/>
      </w:pPr>
      <w:r>
        <w:t>• 组长与 member 在系统内部可统一归类为 user，后续如需扩展更细粒度权限，再单独增加角色差异。</w:t>
      </w:r>
    </w:p>
    <w:p>
      <w:pPr>
        <w:spacing w:after="60"/>
      </w:pPr>
      <w:r>
        <w:t>• 所有工时结果最终均需管理员审核后才正式生效。</w:t>
      </w:r>
    </w:p>
    <w:p>
      <w:pPr>
        <w:pStyle w:val="Heading1"/>
        <w:keepNext/>
      </w:pPr>
      <w:r>
        <w:t>4. 统一业务主线</w:t>
      </w:r>
    </w:p>
    <w:p>
      <w:pPr>
        <w:spacing w:after="80" w:line="300" w:lineRule="auto"/>
        <w:ind w:firstLine="420"/>
      </w:pPr>
      <w:r>
        <w:rPr>
          <w:rFonts w:ascii="Microsoft YaHei" w:hAnsi="Microsoft YaHei" w:eastAsia="Microsoft YaHei"/>
        </w:rPr>
        <w:t>本系统所有核心模块均遵循统一生命周期：创建任务 → 报名或指派 → 到场确认 → 现场执行 → 数据采集 → 结果提交 → 异常入待办 → 工时计算 → 管理审核 → 统计归档。</w:t>
      </w:r>
    </w:p>
    <w:p>
      <w:pPr>
        <w:pStyle w:val="Heading1"/>
        <w:keepNext/>
      </w:pPr>
      <w:r>
        <w:t>5. 功能需求</w:t>
      </w:r>
    </w:p>
    <w:p>
      <w:pPr>
        <w:pStyle w:val="Heading2"/>
        <w:keepNext/>
      </w:pPr>
      <w:r>
        <w:t>5.1 协助任务模块</w:t>
      </w:r>
    </w:p>
    <w:p>
      <w:pPr>
        <w:spacing w:after="80" w:line="300" w:lineRule="auto"/>
        <w:ind w:firstLine="420"/>
      </w:pPr>
      <w:r>
        <w:rPr>
          <w:rFonts w:ascii="Microsoft YaHei" w:hAnsi="Microsoft YaHei" w:eastAsia="Microsoft YaHei"/>
        </w:rPr>
        <w:t>协助任务用于活动支援、现场值班、宣传摆摊等按时间段组织成员参与的任务。</w:t>
      </w:r>
    </w:p>
    <w:p>
      <w:pPr>
        <w:pStyle w:val="Heading3"/>
        <w:spacing w:after="80" w:line="300" w:lineRule="auto"/>
        <w:keepNext/>
      </w:pPr>
      <w:r>
        <w:rPr>
          <w:rFonts w:ascii="Microsoft YaHei" w:hAnsi="Microsoft YaHei" w:eastAsia="Microsoft YaHei"/>
        </w:rPr>
        <w:t>核心规则</w:t>
      </w:r>
    </w:p>
    <w:p>
      <w:pPr>
        <w:spacing w:after="40"/>
      </w:pPr>
      <w:r>
        <w:t>• 一个协助任务允许配置多个时间段，用户报名时不是报名整个任务，而是报名具体时间段，且可多选。</w:t>
      </w:r>
    </w:p>
    <w:p>
      <w:pPr>
        <w:spacing w:after="40"/>
      </w:pPr>
      <w:r>
        <w:t>• 报名机制为先到先得，报满自动截止；后台可选开启“报名需审核”功能。</w:t>
      </w:r>
    </w:p>
    <w:p>
      <w:pPr>
        <w:spacing w:after="40"/>
      </w:pPr>
      <w:r>
        <w:t>• 签到方式支持定位签到、扫码签到、用户主动签到、管理员手动确认、用户签到后管理员复核。</w:t>
      </w:r>
    </w:p>
    <w:p>
      <w:pPr>
        <w:spacing w:after="40"/>
      </w:pPr>
      <w:r>
        <w:t>• 签到范围半径由管理员后台手动配置。</w:t>
      </w:r>
    </w:p>
    <w:p>
      <w:pPr>
        <w:spacing w:after="40"/>
      </w:pPr>
      <w:r>
        <w:t>• 支持静态任务二维码与定时刷新的动态二维码，两种方式可配置选择。</w:t>
      </w:r>
    </w:p>
    <w:p>
      <w:pPr>
        <w:spacing w:after="40"/>
      </w:pPr>
      <w:r>
        <w:t>• 支持补签：当定位失败或其他异常场景下，管理员可以确认用户到场并完成补签。</w:t>
      </w:r>
    </w:p>
    <w:p>
      <w:pPr>
        <w:spacing w:after="40"/>
      </w:pPr>
      <w:r>
        <w:t>• 工时计算方式为签退时间减签到时间，精确到分钟；多时间段分别记录，中间空档不计工时。</w:t>
      </w:r>
    </w:p>
    <w:p>
      <w:pPr>
        <w:spacing w:after="40"/>
      </w:pPr>
      <w:r>
        <w:t>• 支持记录爽约。</w:t>
      </w:r>
    </w:p>
    <w:p>
      <w:pPr>
        <w:pStyle w:val="Heading3"/>
        <w:spacing w:after="80" w:line="300" w:lineRule="auto"/>
        <w:keepNext/>
      </w:pPr>
      <w:r>
        <w:rPr>
          <w:rFonts w:ascii="Microsoft YaHei" w:hAnsi="Microsoft YaHei" w:eastAsia="Microsoft YaHei"/>
        </w:rPr>
        <w:t>关键数据项</w:t>
      </w:r>
    </w:p>
    <w:tbl>
      <w:tblPr>
        <w:tblStyle w:val="TableGrid"/>
        <w:tblW w:type="auto" w:w="0"/>
        <w:jc w:val="center"/>
        <w:tblLook w:firstColumn="1" w:firstRow="1" w:lastColumn="0" w:lastRow="0" w:noHBand="0" w:noVBand="1" w:val="04A0"/>
      </w:tblPr>
      <w:tblGrid>
        <w:gridCol w:w="3099"/>
        <w:gridCol w:w="3099"/>
        <w:gridCol w:w="3099"/>
      </w:tblGrid>
      <w:tr>
        <w:trPr>
          <w:cantSplit/>
          <w:tblHeader/>
        </w:trPr>
        <w:tc>
          <w:tcPr>
            <w:tcW w:type="dxa" w:w="3099"/>
            <w:vAlign w:val="center"/>
            <w:tcMar>
              <w:top w:w="90" w:type="dxa"/>
              <w:start w:w="110" w:type="dxa"/>
              <w:bottom w:w="90" w:type="dxa"/>
              <w:end w:w="110" w:type="dxa"/>
            </w:tcMar>
            <w:shd w:fill="D9EAF7"/>
          </w:tcPr>
          <w:p>
            <w:r>
              <w:t>对象</w:t>
            </w:r>
          </w:p>
        </w:tc>
        <w:tc>
          <w:tcPr>
            <w:tcW w:type="dxa" w:w="3099"/>
            <w:vAlign w:val="center"/>
            <w:tcMar>
              <w:top w:w="90" w:type="dxa"/>
              <w:start w:w="110" w:type="dxa"/>
              <w:bottom w:w="90" w:type="dxa"/>
              <w:end w:w="110" w:type="dxa"/>
            </w:tcMar>
            <w:shd w:fill="D9EAF7"/>
          </w:tcPr>
          <w:p>
            <w:r>
              <w:t>关键字段</w:t>
            </w:r>
          </w:p>
        </w:tc>
        <w:tc>
          <w:tcPr>
            <w:tcW w:type="dxa" w:w="3099"/>
            <w:vAlign w:val="center"/>
            <w:tcMar>
              <w:top w:w="90" w:type="dxa"/>
              <w:start w:w="110" w:type="dxa"/>
              <w:bottom w:w="90" w:type="dxa"/>
              <w:end w:w="110" w:type="dxa"/>
            </w:tcMar>
            <w:shd w:fill="D9EAF7"/>
          </w:tcPr>
          <w:p>
            <w:r>
              <w:t>说明</w:t>
            </w:r>
          </w:p>
        </w:tc>
      </w:tr>
      <w:tr>
        <w:trPr>
          <w:cantSplit/>
        </w:trPr>
        <w:tc>
          <w:tcPr>
            <w:tcW w:type="dxa" w:w="3099"/>
          </w:tcPr>
          <w:p>
            <w:r>
              <w:t>协助任务</w:t>
            </w:r>
          </w:p>
        </w:tc>
        <w:tc>
          <w:tcPr>
            <w:tcW w:type="dxa" w:w="3099"/>
          </w:tcPr>
          <w:p>
            <w:r>
              <w:t>任务名称、地点、说明、报名规则、签到规则、二维码规则</w:t>
            </w:r>
          </w:p>
        </w:tc>
        <w:tc>
          <w:tcPr>
            <w:tcW w:type="dxa" w:w="3099"/>
          </w:tcPr>
          <w:p>
            <w:r>
              <w:t>任务级基础信息</w:t>
            </w:r>
          </w:p>
        </w:tc>
      </w:tr>
      <w:tr>
        <w:trPr>
          <w:cantSplit/>
        </w:trPr>
        <w:tc>
          <w:tcPr>
            <w:tcW w:type="dxa" w:w="3099"/>
          </w:tcPr>
          <w:p>
            <w:r>
              <w:t>任务时间段</w:t>
            </w:r>
          </w:p>
        </w:tc>
        <w:tc>
          <w:tcPr>
            <w:tcW w:type="dxa" w:w="3099"/>
          </w:tcPr>
          <w:p>
            <w:r>
              <w:t>开始时间、结束时间、人数上限</w:t>
            </w:r>
          </w:p>
        </w:tc>
        <w:tc>
          <w:tcPr>
            <w:tcW w:type="dxa" w:w="3099"/>
          </w:tcPr>
          <w:p>
            <w:r>
              <w:t>一个任务可有多个时间段</w:t>
            </w:r>
          </w:p>
        </w:tc>
      </w:tr>
      <w:tr>
        <w:trPr>
          <w:cantSplit/>
        </w:trPr>
        <w:tc>
          <w:tcPr>
            <w:tcW w:type="dxa" w:w="3099"/>
          </w:tcPr>
          <w:p>
            <w:r>
              <w:t>报名记录</w:t>
            </w:r>
          </w:p>
        </w:tc>
        <w:tc>
          <w:tcPr>
            <w:tcW w:type="dxa" w:w="3099"/>
          </w:tcPr>
          <w:p>
            <w:r>
              <w:t>用户、时间段、状态</w:t>
            </w:r>
          </w:p>
        </w:tc>
        <w:tc>
          <w:tcPr>
            <w:tcW w:type="dxa" w:w="3099"/>
          </w:tcPr>
          <w:p>
            <w:r>
              <w:t>用户可多选时间段</w:t>
            </w:r>
          </w:p>
        </w:tc>
      </w:tr>
      <w:tr>
        <w:trPr>
          <w:cantSplit/>
        </w:trPr>
        <w:tc>
          <w:tcPr>
            <w:tcW w:type="dxa" w:w="3099"/>
          </w:tcPr>
          <w:p>
            <w:r>
              <w:t>签到记录</w:t>
            </w:r>
          </w:p>
        </w:tc>
        <w:tc>
          <w:tcPr>
            <w:tcW w:type="dxa" w:w="3099"/>
          </w:tcPr>
          <w:p>
            <w:r>
              <w:t>签到时间、签退时间、定位、二维码校验、审核状态</w:t>
            </w:r>
          </w:p>
        </w:tc>
        <w:tc>
          <w:tcPr>
            <w:tcW w:type="dxa" w:w="3099"/>
          </w:tcPr>
          <w:p>
            <w:r>
              <w:t>支持补签与复核</w:t>
            </w:r>
          </w:p>
        </w:tc>
      </w:tr>
    </w:tbl>
    <w:p>
      <w:pPr>
        <w:pStyle w:val="Heading2"/>
        <w:keepNext/>
      </w:pPr>
      <w:r>
        <w:t>5.2 巡检任务模块</w:t>
      </w:r>
    </w:p>
    <w:p>
      <w:pPr>
        <w:spacing w:after="80" w:line="300" w:lineRule="auto"/>
        <w:ind w:firstLine="420"/>
      </w:pPr>
      <w:r>
        <w:rPr>
          <w:rFonts w:ascii="Microsoft YaHei" w:hAnsi="Microsoft YaHei" w:eastAsia="Microsoft YaHei"/>
        </w:rPr>
        <w:t>巡检任务用于机柜、点位、区域类现场检查，由管理员直接指派。</w:t>
      </w:r>
    </w:p>
    <w:p>
      <w:pPr>
        <w:spacing w:after="40"/>
      </w:pPr>
      <w:r>
        <w:t>• 巡检任务按一次性任务处理，不强制绑定固定周期。</w:t>
      </w:r>
    </w:p>
    <w:p>
      <w:pPr>
        <w:spacing w:after="40"/>
      </w:pPr>
      <w:r>
        <w:t>• 记录粒度细到每个机柜一条记录；当前使用“机柜名字”作为固定标识。</w:t>
      </w:r>
    </w:p>
    <w:p>
      <w:pPr>
        <w:spacing w:after="40"/>
      </w:pPr>
      <w:r>
        <w:t>• 每条巡检记录允许上传 1 张图片；异常时额外允许上传 1 段视频。</w:t>
      </w:r>
    </w:p>
    <w:p>
      <w:pPr>
        <w:spacing w:after="40"/>
      </w:pPr>
      <w:r>
        <w:t>• 图片与视频必须通过 App 内拍摄并打入防伪水印，减少造假风险。</w:t>
      </w:r>
    </w:p>
    <w:p>
      <w:pPr>
        <w:spacing w:after="40"/>
      </w:pPr>
      <w:r>
        <w:t>• 异常记录自动进入管理员待办。</w:t>
      </w:r>
    </w:p>
    <w:p>
      <w:pPr>
        <w:spacing w:after="40"/>
      </w:pPr>
      <w:r>
        <w:t>• 工时规则为：机柜数量 × 单机柜巡检工时；管理员审核通过后生效。</w:t>
      </w:r>
    </w:p>
    <w:p>
      <w:pPr>
        <w:pStyle w:val="Heading2"/>
        <w:keepNext/>
      </w:pPr>
      <w:r>
        <w:t>5.3 宿舍网络抽检模块</w:t>
      </w:r>
    </w:p>
    <w:p>
      <w:pPr>
        <w:spacing w:after="80" w:line="300" w:lineRule="auto"/>
        <w:ind w:firstLine="420"/>
      </w:pPr>
      <w:r>
        <w:rPr>
          <w:rFonts w:ascii="Microsoft YaHei" w:hAnsi="Microsoft YaHei" w:eastAsia="Microsoft YaHei"/>
        </w:rPr>
        <w:t>抽检任务是本项目的特色模块，用于对宿舍网络状态进行结构化采集与长期分析。</w:t>
      </w:r>
    </w:p>
    <w:p>
      <w:pPr>
        <w:pStyle w:val="Heading3"/>
        <w:spacing w:after="80" w:line="300" w:lineRule="auto"/>
        <w:keepNext/>
      </w:pPr>
      <w:r>
        <w:rPr>
          <w:rFonts w:ascii="Microsoft YaHei" w:hAnsi="Microsoft YaHei" w:eastAsia="Microsoft YaHei"/>
        </w:rPr>
        <w:t>任务生成与抽样规则</w:t>
      </w:r>
    </w:p>
    <w:p>
      <w:pPr>
        <w:spacing w:after="40"/>
      </w:pPr>
      <w:r>
        <w:t>• 管理员以“楼栋 + 抽检数量 + 抽样策略”下发任务。</w:t>
      </w:r>
    </w:p>
    <w:p>
      <w:pPr>
        <w:spacing w:after="40"/>
      </w:pPr>
      <w:r>
        <w:t>• 系统按加权随机规则自动挑选宿舍，优先考虑当月周期（30 天）内报修问题较多的宿舍。</w:t>
      </w:r>
    </w:p>
    <w:p>
      <w:pPr>
        <w:spacing w:after="40"/>
      </w:pPr>
      <w:r>
        <w:t>• 系统需排除近 30 天内刚被抽检过的宿舍，减少重复抽样。</w:t>
      </w:r>
    </w:p>
    <w:p>
      <w:pPr>
        <w:spacing w:after="40"/>
      </w:pPr>
      <w:r>
        <w:t>• 用户必须完成指定宿舍数量，不要求固定宿舍名单逐条完成。</w:t>
      </w:r>
    </w:p>
    <w:p>
      <w:pPr>
        <w:pStyle w:val="Heading3"/>
        <w:spacing w:after="80" w:line="300" w:lineRule="auto"/>
        <w:keepNext/>
      </w:pPr>
      <w:r>
        <w:rPr>
          <w:rFonts w:ascii="Microsoft YaHei" w:hAnsi="Microsoft YaHei" w:eastAsia="Microsoft YaHei"/>
        </w:rPr>
        <w:t>一键检测流程</w:t>
      </w:r>
    </w:p>
    <w:p>
      <w:pPr>
        <w:spacing w:after="40"/>
      </w:pPr>
      <w:r>
        <w:t>• 用户手动连接目标宿舍网络后，在 App 中点击“一键开始检测”。</w:t>
      </w:r>
    </w:p>
    <w:p>
      <w:pPr>
        <w:spacing w:after="40"/>
      </w:pPr>
      <w:r>
        <w:t>• 系统自动串行执行完整模式检测，并生成结构化结果。</w:t>
      </w:r>
    </w:p>
    <w:p>
      <w:pPr>
        <w:spacing w:after="40"/>
      </w:pPr>
      <w:r>
        <w:t>• 除完整模式外，后台可为特定用户开放单项目测试入口；单项目结果可配置是否写入数据库。</w:t>
      </w:r>
    </w:p>
    <w:p>
      <w:pPr>
        <w:spacing w:after="40"/>
      </w:pPr>
      <w:r>
        <w:t>• 抽检异常由系统自动判定，同时允许人工勾选修正。</w:t>
      </w:r>
    </w:p>
    <w:p>
      <w:pPr>
        <w:pStyle w:val="Heading3"/>
        <w:spacing w:after="80" w:line="300" w:lineRule="auto"/>
        <w:keepNext/>
      </w:pPr>
      <w:r>
        <w:rPr>
          <w:rFonts w:ascii="Microsoft YaHei" w:hAnsi="Microsoft YaHei" w:eastAsia="Microsoft YaHei"/>
        </w:rPr>
        <w:t>需采集的数据</w:t>
      </w:r>
    </w:p>
    <w:tbl>
      <w:tblPr>
        <w:tblStyle w:val="TableGrid"/>
        <w:tblW w:type="auto" w:w="0"/>
        <w:jc w:val="center"/>
        <w:tblLook w:firstColumn="1" w:firstRow="1" w:lastColumn="0" w:lastRow="0" w:noHBand="0" w:noVBand="1" w:val="04A0"/>
      </w:tblPr>
      <w:tblGrid>
        <w:gridCol w:w="4649"/>
        <w:gridCol w:w="4649"/>
      </w:tblGrid>
      <w:tr>
        <w:trPr>
          <w:cantSplit/>
          <w:tblHeader/>
        </w:trPr>
        <w:tc>
          <w:tcPr>
            <w:tcW w:type="dxa" w:w="4649"/>
            <w:vAlign w:val="center"/>
            <w:tcMar>
              <w:top w:w="90" w:type="dxa"/>
              <w:start w:w="110" w:type="dxa"/>
              <w:bottom w:w="90" w:type="dxa"/>
              <w:end w:w="110" w:type="dxa"/>
            </w:tcMar>
            <w:shd w:fill="D9EAF7"/>
          </w:tcPr>
          <w:p>
            <w:r>
              <w:t>检测类别</w:t>
            </w:r>
          </w:p>
        </w:tc>
        <w:tc>
          <w:tcPr>
            <w:tcW w:type="dxa" w:w="4649"/>
            <w:vAlign w:val="center"/>
            <w:tcMar>
              <w:top w:w="90" w:type="dxa"/>
              <w:start w:w="110" w:type="dxa"/>
              <w:bottom w:w="90" w:type="dxa"/>
              <w:end w:w="110" w:type="dxa"/>
            </w:tcMar>
            <w:shd w:fill="D9EAF7"/>
          </w:tcPr>
          <w:p>
            <w:r>
              <w:t>字段/内容</w:t>
            </w:r>
          </w:p>
        </w:tc>
      </w:tr>
      <w:tr>
        <w:trPr>
          <w:cantSplit/>
        </w:trPr>
        <w:tc>
          <w:tcPr>
            <w:tcW w:type="dxa" w:w="4649"/>
          </w:tcPr>
          <w:p>
            <w:r>
              <w:t>连接信息</w:t>
            </w:r>
          </w:p>
        </w:tc>
        <w:tc>
          <w:tcPr>
            <w:tcW w:type="dxa" w:w="4649"/>
          </w:tcPr>
          <w:p>
            <w:r>
              <w:t>SSID、BSSID、IP、网关、DNS、运营商、协商速率、信道、信号强度</w:t>
            </w:r>
          </w:p>
        </w:tc>
      </w:tr>
      <w:tr>
        <w:trPr>
          <w:cantSplit/>
        </w:trPr>
        <w:tc>
          <w:tcPr>
            <w:tcW w:type="dxa" w:w="4649"/>
          </w:tcPr>
          <w:p>
            <w:r>
              <w:t>连通性</w:t>
            </w:r>
          </w:p>
        </w:tc>
        <w:tc>
          <w:tcPr>
            <w:tcW w:type="dxa" w:w="4649"/>
          </w:tcPr>
          <w:p>
            <w:r>
              <w:t>内网 ping、外网 ping、丢包率</w:t>
            </w:r>
          </w:p>
        </w:tc>
      </w:tr>
      <w:tr>
        <w:trPr>
          <w:cantSplit/>
        </w:trPr>
        <w:tc>
          <w:tcPr>
            <w:tcW w:type="dxa" w:w="4649"/>
          </w:tcPr>
          <w:p>
            <w:r>
              <w:t>模拟业务</w:t>
            </w:r>
          </w:p>
        </w:tc>
        <w:tc>
          <w:tcPr>
            <w:tcW w:type="dxa" w:w="4649"/>
          </w:tcPr>
          <w:p>
            <w:r>
              <w:t>UDP 小包测试、TCP 小包测试</w:t>
            </w:r>
          </w:p>
        </w:tc>
      </w:tr>
      <w:tr>
        <w:trPr>
          <w:cantSplit/>
        </w:trPr>
        <w:tc>
          <w:tcPr>
            <w:tcW w:type="dxa" w:w="4649"/>
          </w:tcPr>
          <w:p>
            <w:r>
              <w:t>速率测试</w:t>
            </w:r>
          </w:p>
        </w:tc>
        <w:tc>
          <w:tcPr>
            <w:tcW w:type="dxa" w:w="4649"/>
          </w:tcPr>
          <w:p>
            <w:r>
              <w:t>下载测速、上传测速；公网测速使用第三方 API，具体提供方在技术评估阶段确定</w:t>
            </w:r>
          </w:p>
        </w:tc>
      </w:tr>
      <w:tr>
        <w:trPr>
          <w:cantSplit/>
        </w:trPr>
        <w:tc>
          <w:tcPr>
            <w:tcW w:type="dxa" w:w="4649"/>
          </w:tcPr>
          <w:p>
            <w:r>
              <w:t>环境扫描</w:t>
            </w:r>
          </w:p>
        </w:tc>
        <w:tc>
          <w:tcPr>
            <w:tcW w:type="dxa" w:w="4649"/>
          </w:tcPr>
          <w:p>
            <w:r>
              <w:t>周边 SSID、周边 BSSID、同信道数量、邻近信道拥塞程度</w:t>
            </w:r>
          </w:p>
        </w:tc>
      </w:tr>
      <w:tr>
        <w:trPr>
          <w:cantSplit/>
        </w:trPr>
        <w:tc>
          <w:tcPr>
            <w:tcW w:type="dxa" w:w="4649"/>
          </w:tcPr>
          <w:p>
            <w:r>
              <w:t>校验信息</w:t>
            </w:r>
          </w:p>
        </w:tc>
        <w:tc>
          <w:tcPr>
            <w:tcW w:type="dxa" w:w="4649"/>
          </w:tcPr>
          <w:p>
            <w:r>
              <w:t>目标宿舍预设 BSSID 与当前连接 BSSID 的匹配结果</w:t>
            </w:r>
          </w:p>
        </w:tc>
      </w:tr>
    </w:tbl>
    <w:p>
      <w:pPr>
        <w:pStyle w:val="Heading3"/>
        <w:spacing w:after="80" w:line="300" w:lineRule="auto"/>
        <w:keepNext/>
      </w:pPr>
      <w:r>
        <w:rPr>
          <w:rFonts w:ascii="Microsoft YaHei" w:hAnsi="Microsoft YaHei" w:eastAsia="Microsoft YaHei"/>
        </w:rPr>
        <w:t>检测扩展项</w:t>
      </w:r>
    </w:p>
    <w:p>
      <w:pPr>
        <w:spacing w:after="40"/>
      </w:pPr>
      <w:r>
        <w:t>• 公网测速目标应根据用户实际运营商自动选择，例如用户为移动，则使用广州移动测速节点；联通/电信同理。</w:t>
      </w:r>
    </w:p>
    <w:p>
      <w:pPr>
        <w:spacing w:after="40"/>
      </w:pPr>
      <w:r>
        <w:t>• 内网 iperf3 测试作为可选增强项，不作为每次抽检强制执行项。</w:t>
      </w:r>
    </w:p>
    <w:p>
      <w:pPr>
        <w:spacing w:after="40"/>
      </w:pPr>
      <w:r>
        <w:t>• 系统需要保存周边扫描的完整明细，同时保存汇总分析结果，便于后续统计。</w:t>
      </w:r>
    </w:p>
    <w:p>
      <w:pPr>
        <w:pStyle w:val="Heading2"/>
        <w:keepNext/>
      </w:pPr>
      <w:r>
        <w:t>5.4 报修单模块</w:t>
      </w:r>
    </w:p>
    <w:p>
      <w:pPr>
        <w:spacing w:after="80" w:line="300" w:lineRule="auto"/>
        <w:ind w:firstLine="420"/>
      </w:pPr>
      <w:r>
        <w:rPr>
          <w:rFonts w:ascii="Microsoft YaHei" w:hAnsi="Microsoft YaHei" w:eastAsia="Microsoft YaHei"/>
        </w:rPr>
        <w:t>报修模块需兼容现有线上单/线下单工时规则，并对线下执行流程进行标准化。</w:t>
      </w:r>
    </w:p>
    <w:p>
      <w:pPr>
        <w:spacing w:after="40"/>
      </w:pPr>
      <w:r>
        <w:t>• 用户可通过接单页面截图在 App 中登记线下报修单。</w:t>
      </w:r>
    </w:p>
    <w:p>
      <w:pPr>
        <w:spacing w:after="40"/>
      </w:pPr>
      <w:r>
        <w:t>• 系统通过 OCR 提取报修单号、姓名、联系方式、内容等信息，并允许用户手动修改。</w:t>
      </w:r>
    </w:p>
    <w:p>
      <w:pPr>
        <w:spacing w:after="40"/>
      </w:pPr>
      <w:r>
        <w:t>• 匹配优先级为：报修单号 → 联系方式 → 姓名+时间范围 → 内容相似度辅助。</w:t>
      </w:r>
    </w:p>
    <w:p>
      <w:pPr>
        <w:spacing w:after="40"/>
      </w:pPr>
      <w:r>
        <w:t>• 匹配工作由用户发起，管理员负责审核，不采用管理员手动逐条匹配为主的模式。</w:t>
      </w:r>
    </w:p>
    <w:p>
      <w:pPr>
        <w:spacing w:after="40"/>
      </w:pPr>
      <w:r>
        <w:t>• 一张报修单支持多人参与，区分主处理人与协助处理人，但多人都按完整工时记账。</w:t>
      </w:r>
    </w:p>
    <w:p>
      <w:pPr>
        <w:spacing w:after="40"/>
      </w:pPr>
      <w:r>
        <w:t>• 现场照片不强制，可拍摄门牌照片并打水印。</w:t>
      </w:r>
    </w:p>
    <w:p>
      <w:pPr>
        <w:pStyle w:val="Heading2"/>
        <w:keepNext/>
      </w:pPr>
      <w:r>
        <w:t>5.5 工时引擎与审核模块</w:t>
      </w:r>
    </w:p>
    <w:p>
      <w:pPr>
        <w:spacing w:after="80" w:line="300" w:lineRule="auto"/>
        <w:ind w:firstLine="420"/>
      </w:pPr>
      <w:r>
        <w:rPr>
          <w:rFonts w:ascii="Microsoft YaHei" w:hAnsi="Microsoft YaHei" w:eastAsia="Microsoft YaHei"/>
        </w:rPr>
        <w:t>原 GitHub 仓库中的公式计算逻辑保留，并抽离为独立工时引擎，由各业务模块传入参数后生成待审核工时。</w:t>
      </w:r>
    </w:p>
    <w:tbl>
      <w:tblPr>
        <w:tblStyle w:val="TableGrid"/>
        <w:tblW w:type="auto" w:w="0"/>
        <w:jc w:val="center"/>
        <w:tblLook w:firstColumn="1" w:firstRow="1" w:lastColumn="0" w:lastRow="0" w:noHBand="0" w:noVBand="1" w:val="04A0"/>
      </w:tblPr>
      <w:tblGrid>
        <w:gridCol w:w="3099"/>
        <w:gridCol w:w="3099"/>
        <w:gridCol w:w="3099"/>
      </w:tblGrid>
      <w:tr>
        <w:trPr>
          <w:cantSplit/>
          <w:tblHeader/>
        </w:trPr>
        <w:tc>
          <w:tcPr>
            <w:tcW w:type="dxa" w:w="3099"/>
            <w:vAlign w:val="center"/>
            <w:tcMar>
              <w:top w:w="90" w:type="dxa"/>
              <w:start w:w="110" w:type="dxa"/>
              <w:bottom w:w="90" w:type="dxa"/>
              <w:end w:w="110" w:type="dxa"/>
            </w:tcMar>
            <w:shd w:fill="D9EAF7"/>
          </w:tcPr>
          <w:p>
            <w:r>
              <w:t>任务类型</w:t>
            </w:r>
          </w:p>
        </w:tc>
        <w:tc>
          <w:tcPr>
            <w:tcW w:type="dxa" w:w="3099"/>
            <w:vAlign w:val="center"/>
            <w:tcMar>
              <w:top w:w="90" w:type="dxa"/>
              <w:start w:w="110" w:type="dxa"/>
              <w:bottom w:w="90" w:type="dxa"/>
              <w:end w:w="110" w:type="dxa"/>
            </w:tcMar>
            <w:shd w:fill="D9EAF7"/>
          </w:tcPr>
          <w:p>
            <w:r>
              <w:t>工时计算规则</w:t>
            </w:r>
          </w:p>
        </w:tc>
        <w:tc>
          <w:tcPr>
            <w:tcW w:type="dxa" w:w="3099"/>
            <w:vAlign w:val="center"/>
            <w:tcMar>
              <w:top w:w="90" w:type="dxa"/>
              <w:start w:w="110" w:type="dxa"/>
              <w:bottom w:w="90" w:type="dxa"/>
              <w:end w:w="110" w:type="dxa"/>
            </w:tcMar>
            <w:shd w:fill="D9EAF7"/>
          </w:tcPr>
          <w:p>
            <w:r>
              <w:t>审核要求</w:t>
            </w:r>
          </w:p>
        </w:tc>
      </w:tr>
      <w:tr>
        <w:trPr>
          <w:cantSplit/>
        </w:trPr>
        <w:tc>
          <w:tcPr>
            <w:tcW w:type="dxa" w:w="3099"/>
          </w:tcPr>
          <w:p>
            <w:r>
              <w:t>协助任务</w:t>
            </w:r>
          </w:p>
        </w:tc>
        <w:tc>
          <w:tcPr>
            <w:tcW w:type="dxa" w:w="3099"/>
          </w:tcPr>
          <w:p>
            <w:r>
              <w:t>签退时间 - 签到时间，精确到分钟，多时间段分别计算</w:t>
            </w:r>
          </w:p>
        </w:tc>
        <w:tc>
          <w:tcPr>
            <w:tcW w:type="dxa" w:w="3099"/>
          </w:tcPr>
          <w:p>
            <w:r>
              <w:t>管理员审核后生效</w:t>
            </w:r>
          </w:p>
        </w:tc>
      </w:tr>
      <w:tr>
        <w:trPr>
          <w:cantSplit/>
        </w:trPr>
        <w:tc>
          <w:tcPr>
            <w:tcW w:type="dxa" w:w="3099"/>
          </w:tcPr>
          <w:p>
            <w:r>
              <w:t>巡检任务</w:t>
            </w:r>
          </w:p>
        </w:tc>
        <w:tc>
          <w:tcPr>
            <w:tcW w:type="dxa" w:w="3099"/>
          </w:tcPr>
          <w:p>
            <w:r>
              <w:t>机柜数量 × 单机柜巡检工时</w:t>
            </w:r>
          </w:p>
        </w:tc>
        <w:tc>
          <w:tcPr>
            <w:tcW w:type="dxa" w:w="3099"/>
          </w:tcPr>
          <w:p>
            <w:r>
              <w:t>管理员审核后生效</w:t>
            </w:r>
          </w:p>
        </w:tc>
      </w:tr>
      <w:tr>
        <w:trPr>
          <w:cantSplit/>
        </w:trPr>
        <w:tc>
          <w:tcPr>
            <w:tcW w:type="dxa" w:w="3099"/>
          </w:tcPr>
          <w:p>
            <w:r>
              <w:t>抽检任务</w:t>
            </w:r>
          </w:p>
        </w:tc>
        <w:tc>
          <w:tcPr>
            <w:tcW w:type="dxa" w:w="3099"/>
          </w:tcPr>
          <w:p>
            <w:r>
              <w:t>抽查宿舍数量 × 单宿舍抽检工时</w:t>
            </w:r>
          </w:p>
        </w:tc>
        <w:tc>
          <w:tcPr>
            <w:tcW w:type="dxa" w:w="3099"/>
          </w:tcPr>
          <w:p>
            <w:r>
              <w:t>管理员审核后生效</w:t>
            </w:r>
          </w:p>
        </w:tc>
      </w:tr>
      <w:tr>
        <w:trPr>
          <w:cantSplit/>
        </w:trPr>
        <w:tc>
          <w:tcPr>
            <w:tcW w:type="dxa" w:w="3099"/>
          </w:tcPr>
          <w:p>
            <w:r>
              <w:t>报修单</w:t>
            </w:r>
          </w:p>
        </w:tc>
        <w:tc>
          <w:tcPr>
            <w:tcW w:type="dxa" w:w="3099"/>
          </w:tcPr>
          <w:p>
            <w:r>
              <w:t>按线上单/线下单及既有标签规则计算</w:t>
            </w:r>
          </w:p>
        </w:tc>
        <w:tc>
          <w:tcPr>
            <w:tcW w:type="dxa" w:w="3099"/>
          </w:tcPr>
          <w:p>
            <w:r>
              <w:t>管理员审核后生效</w:t>
            </w:r>
          </w:p>
        </w:tc>
      </w:tr>
    </w:tbl>
    <w:p>
      <w:pPr>
        <w:spacing w:after="40"/>
      </w:pPr>
      <w:r>
        <w:t>• 原有多标签累计、爆单、好评单等逻辑继续保留。</w:t>
      </w:r>
    </w:p>
    <w:p>
      <w:pPr>
        <w:spacing w:after="40"/>
      </w:pPr>
      <w:r>
        <w:t>• 管理员可进行补录、补发、修正与驳回。</w:t>
      </w:r>
    </w:p>
    <w:p>
      <w:pPr>
        <w:pStyle w:val="Heading2"/>
        <w:keepNext/>
      </w:pPr>
      <w:r>
        <w:t>5.6 管理后台、统计与待办</w:t>
      </w:r>
    </w:p>
    <w:p>
      <w:pPr>
        <w:spacing w:after="40"/>
      </w:pPr>
      <w:r>
        <w:t>• 管理员后台需要统一展示待审核签到/签退、待审核协助工时、待审核巡检结果、待审核抽检结果、抽检异常、巡检异常、待审核报修匹配、爽约记录等事项。</w:t>
      </w:r>
    </w:p>
    <w:p>
      <w:pPr>
        <w:spacing w:after="40"/>
      </w:pPr>
      <w:r>
        <w:t>• 统计维度包括：成员工时汇总、月度工时、任务完成情况、各楼栋报修量、各类问题占比、月周期内报修问题种类最多的分类、巡检与抽检结果统计等。</w:t>
      </w:r>
    </w:p>
    <w:p>
      <w:pPr>
        <w:spacing w:after="40"/>
      </w:pPr>
      <w:r>
        <w:t>• 管理员可延续使用 Excel 导入报修总表，并对异常数据进行手动修正。</w:t>
      </w:r>
    </w:p>
    <w:p>
      <w:pPr>
        <w:pStyle w:val="Heading1"/>
        <w:keepNext/>
      </w:pPr>
      <w:r>
        <w:t>6. 关键业务规则</w:t>
      </w:r>
    </w:p>
    <w:p>
      <w:pPr>
        <w:spacing w:after="60"/>
      </w:pPr>
      <w:r>
        <w:t>• 抽检异常不自动转报修单，而是进入管理员待办池。</w:t>
      </w:r>
    </w:p>
    <w:p>
      <w:pPr>
        <w:spacing w:after="60"/>
      </w:pPr>
      <w:r>
        <w:t>• 异常判定阈值由管理员在后台动态配置，配置项包括 ping 时延、丢包率、下载速率、上传速率、信号强度、BSSID 不匹配是否直接判异常、同信道拥塞阈值、签到范围半径、动态二维码刷新时间等。</w:t>
      </w:r>
    </w:p>
    <w:p>
      <w:pPr>
        <w:spacing w:after="60"/>
      </w:pPr>
      <w:r>
        <w:t>• 媒体水印字段固定包含：时间、工号、楼栋/门牌、任务编号、防伪码；直接写入图片/视频内容。</w:t>
      </w:r>
    </w:p>
    <w:p>
      <w:pPr>
        <w:spacing w:after="60"/>
      </w:pPr>
      <w:r>
        <w:t>• 用户登录沿用现有学号+密码机制，并允许修改个人资料。</w:t>
      </w:r>
    </w:p>
    <w:p>
      <w:pPr>
        <w:spacing w:after="60"/>
      </w:pPr>
      <w:r>
        <w:t>• 若 Flutter 无法稳定获取 Android 所需系统能力，则应以原生插件或原生模块承接。</w:t>
      </w:r>
    </w:p>
    <w:p>
      <w:pPr>
        <w:pStyle w:val="Heading1"/>
        <w:keepNext/>
      </w:pPr>
      <w:r>
        <w:t>7. 数据与集成要求</w:t>
      </w:r>
    </w:p>
    <w:p>
      <w:pPr>
        <w:spacing w:after="60"/>
      </w:pPr>
      <w:r>
        <w:t>• 需要复用现有宿舍基础数据表，至少包含楼栋、门牌、预设 BSSID、SSID。</w:t>
      </w:r>
    </w:p>
    <w:p>
      <w:pPr>
        <w:spacing w:after="60"/>
      </w:pPr>
      <w:r>
        <w:t>• 需要复用现有登录模块与可复用的 Flutter 页面；其余不兼容页面可模块化改造或直接重写。</w:t>
      </w:r>
    </w:p>
    <w:p>
      <w:pPr>
        <w:spacing w:after="60"/>
      </w:pPr>
      <w:r>
        <w:t>• 公网测速服务需使用可靠的第三方测速 API；由于当前文档不做供应商锁定，具体服务商在技术选型阶段确认。</w:t>
      </w:r>
    </w:p>
    <w:p>
      <w:pPr>
        <w:spacing w:after="60"/>
      </w:pPr>
      <w:r>
        <w:t>• 运营商识别与测速节点选择逻辑应支持按用户当前运营商自动匹配对应城市/运营商节点。</w:t>
      </w:r>
    </w:p>
    <w:p>
      <w:pPr>
        <w:pStyle w:val="Heading1"/>
        <w:keepNext/>
      </w:pPr>
      <w:r>
        <w:t>8. 非功能需求</w:t>
      </w:r>
    </w:p>
    <w:tbl>
      <w:tblPr>
        <w:tblStyle w:val="TableGrid"/>
        <w:tblW w:type="auto" w:w="0"/>
        <w:jc w:val="center"/>
        <w:tblLook w:firstColumn="1" w:firstRow="1" w:lastColumn="0" w:lastRow="0" w:noHBand="0" w:noVBand="1" w:val="04A0"/>
      </w:tblPr>
      <w:tblGrid>
        <w:gridCol w:w="3099"/>
        <w:gridCol w:w="3099"/>
        <w:gridCol w:w="3099"/>
      </w:tblGrid>
      <w:tr>
        <w:trPr>
          <w:cantSplit/>
          <w:tblHeader/>
        </w:trPr>
        <w:tc>
          <w:tcPr>
            <w:tcW w:type="dxa" w:w="3099"/>
            <w:vAlign w:val="center"/>
            <w:tcMar>
              <w:top w:w="90" w:type="dxa"/>
              <w:start w:w="110" w:type="dxa"/>
              <w:bottom w:w="90" w:type="dxa"/>
              <w:end w:w="110" w:type="dxa"/>
            </w:tcMar>
            <w:shd w:fill="D9EAF7"/>
          </w:tcPr>
          <w:p>
            <w:r>
              <w:t>类别</w:t>
            </w:r>
          </w:p>
        </w:tc>
        <w:tc>
          <w:tcPr>
            <w:tcW w:type="dxa" w:w="3099"/>
            <w:vAlign w:val="center"/>
            <w:tcMar>
              <w:top w:w="90" w:type="dxa"/>
              <w:start w:w="110" w:type="dxa"/>
              <w:bottom w:w="90" w:type="dxa"/>
              <w:end w:w="110" w:type="dxa"/>
            </w:tcMar>
            <w:shd w:fill="D9EAF7"/>
          </w:tcPr>
          <w:p>
            <w:r>
              <w:t>要求</w:t>
            </w:r>
          </w:p>
        </w:tc>
        <w:tc>
          <w:tcPr>
            <w:tcW w:type="dxa" w:w="3099"/>
            <w:vAlign w:val="center"/>
            <w:tcMar>
              <w:top w:w="90" w:type="dxa"/>
              <w:start w:w="110" w:type="dxa"/>
              <w:bottom w:w="90" w:type="dxa"/>
              <w:end w:w="110" w:type="dxa"/>
            </w:tcMar>
            <w:shd w:fill="D9EAF7"/>
          </w:tcPr>
          <w:p>
            <w:r>
              <w:t>说明</w:t>
            </w:r>
          </w:p>
        </w:tc>
      </w:tr>
      <w:tr>
        <w:trPr>
          <w:cantSplit/>
        </w:trPr>
        <w:tc>
          <w:tcPr>
            <w:tcW w:type="dxa" w:w="3099"/>
          </w:tcPr>
          <w:p>
            <w:r>
              <w:t>可靠性</w:t>
            </w:r>
          </w:p>
        </w:tc>
        <w:tc>
          <w:tcPr>
            <w:tcW w:type="dxa" w:w="3099"/>
          </w:tcPr>
          <w:p>
            <w:r>
              <w:t>关键业务数据不得因单次检测失败而整单丢失</w:t>
            </w:r>
          </w:p>
        </w:tc>
        <w:tc>
          <w:tcPr>
            <w:tcW w:type="dxa" w:w="3099"/>
          </w:tcPr>
          <w:p>
            <w:r>
              <w:t>检测项可部分失败但整体记录需可保存</w:t>
            </w:r>
          </w:p>
        </w:tc>
      </w:tr>
      <w:tr>
        <w:trPr>
          <w:cantSplit/>
        </w:trPr>
        <w:tc>
          <w:tcPr>
            <w:tcW w:type="dxa" w:w="3099"/>
          </w:tcPr>
          <w:p>
            <w:r>
              <w:t>可追溯性</w:t>
            </w:r>
          </w:p>
        </w:tc>
        <w:tc>
          <w:tcPr>
            <w:tcW w:type="dxa" w:w="3099"/>
          </w:tcPr>
          <w:p>
            <w:r>
              <w:t>任务、签到、媒体、检测结果、工时审核需全链路留痕</w:t>
            </w:r>
          </w:p>
        </w:tc>
        <w:tc>
          <w:tcPr>
            <w:tcW w:type="dxa" w:w="3099"/>
          </w:tcPr>
          <w:p>
            <w:r>
              <w:t>用于复盘与争议处理</w:t>
            </w:r>
          </w:p>
        </w:tc>
      </w:tr>
      <w:tr>
        <w:trPr>
          <w:cantSplit/>
        </w:trPr>
        <w:tc>
          <w:tcPr>
            <w:tcW w:type="dxa" w:w="3099"/>
          </w:tcPr>
          <w:p>
            <w:r>
              <w:t>可扩展性</w:t>
            </w:r>
          </w:p>
        </w:tc>
        <w:tc>
          <w:tcPr>
            <w:tcW w:type="dxa" w:w="3099"/>
          </w:tcPr>
          <w:p>
            <w:r>
              <w:t>工时公式抽象为独立引擎，业务模块解耦</w:t>
            </w:r>
          </w:p>
        </w:tc>
        <w:tc>
          <w:tcPr>
            <w:tcW w:type="dxa" w:w="3099"/>
          </w:tcPr>
          <w:p>
            <w:r>
              <w:t>便于后续新增任务类型</w:t>
            </w:r>
          </w:p>
        </w:tc>
      </w:tr>
      <w:tr>
        <w:trPr>
          <w:cantSplit/>
        </w:trPr>
        <w:tc>
          <w:tcPr>
            <w:tcW w:type="dxa" w:w="3099"/>
          </w:tcPr>
          <w:p>
            <w:r>
              <w:t>性能</w:t>
            </w:r>
          </w:p>
        </w:tc>
        <w:tc>
          <w:tcPr>
            <w:tcW w:type="dxa" w:w="3099"/>
          </w:tcPr>
          <w:p>
            <w:r>
              <w:t>一键检测过程需有清晰进度反馈</w:t>
            </w:r>
          </w:p>
        </w:tc>
        <w:tc>
          <w:tcPr>
            <w:tcW w:type="dxa" w:w="3099"/>
          </w:tcPr>
          <w:p>
            <w:r>
              <w:t>避免用户误判为卡死</w:t>
            </w:r>
          </w:p>
        </w:tc>
      </w:tr>
      <w:tr>
        <w:trPr>
          <w:cantSplit/>
        </w:trPr>
        <w:tc>
          <w:tcPr>
            <w:tcW w:type="dxa" w:w="3099"/>
          </w:tcPr>
          <w:p>
            <w:r>
              <w:t>兼容性</w:t>
            </w:r>
          </w:p>
        </w:tc>
        <w:tc>
          <w:tcPr>
            <w:tcW w:type="dxa" w:w="3099"/>
          </w:tcPr>
          <w:p>
            <w:r>
              <w:t>Android 为主，iOS 暂缓</w:t>
            </w:r>
          </w:p>
        </w:tc>
        <w:tc>
          <w:tcPr>
            <w:tcW w:type="dxa" w:w="3099"/>
          </w:tcPr>
          <w:p>
            <w:r>
              <w:t>网络检测能力优先保证 Android</w:t>
            </w:r>
          </w:p>
        </w:tc>
      </w:tr>
      <w:tr>
        <w:trPr>
          <w:cantSplit/>
        </w:trPr>
        <w:tc>
          <w:tcPr>
            <w:tcW w:type="dxa" w:w="3099"/>
          </w:tcPr>
          <w:p>
            <w:r>
              <w:t>安全性</w:t>
            </w:r>
          </w:p>
        </w:tc>
        <w:tc>
          <w:tcPr>
            <w:tcW w:type="dxa" w:w="3099"/>
          </w:tcPr>
          <w:p>
            <w:r>
              <w:t>管理员审核后才正式入账工时</w:t>
            </w:r>
          </w:p>
        </w:tc>
        <w:tc>
          <w:tcPr>
            <w:tcW w:type="dxa" w:w="3099"/>
          </w:tcPr>
          <w:p>
            <w:r>
              <w:t>降低作弊和误算风险</w:t>
            </w:r>
          </w:p>
        </w:tc>
      </w:tr>
    </w:tbl>
    <w:p>
      <w:pPr>
        <w:pStyle w:val="Heading1"/>
        <w:keepNext/>
      </w:pPr>
      <w:r>
        <w:t>9. V2 建议开发顺序</w:t>
      </w:r>
    </w:p>
    <w:p>
      <w:pPr>
        <w:spacing w:after="60"/>
      </w:pPr>
      <w:r>
        <w:t>• 第一阶段：抽离工时引擎，保留现有登录与基础页面，完成统一任务模型与管理员审核流。</w:t>
      </w:r>
    </w:p>
    <w:p>
      <w:pPr>
        <w:spacing w:after="60"/>
      </w:pPr>
      <w:r>
        <w:t>• 第二阶段：完成协助任务、巡检任务、报修登记与待办中心，打通工时闭环。</w:t>
      </w:r>
    </w:p>
    <w:p>
      <w:pPr>
        <w:spacing w:after="60"/>
      </w:pPr>
      <w:r>
        <w:t>• 第三阶段：完成宿舍网络抽检的一键检测、BSSID 校验、周边扫描、测速与异常判定。</w:t>
      </w:r>
    </w:p>
    <w:p>
      <w:pPr>
        <w:spacing w:after="60"/>
      </w:pPr>
      <w:r>
        <w:t>• 第四阶段：优化媒体取证、防伪水印、统计看板与后台配置中心。</w:t>
      </w:r>
    </w:p>
    <w:p>
      <w:pPr>
        <w:pStyle w:val="Heading1"/>
        <w:keepNext/>
      </w:pPr>
      <w:r>
        <w:t>10. 当前待技术评估事项</w:t>
      </w:r>
    </w:p>
    <w:p>
      <w:pPr>
        <w:spacing w:after="60"/>
      </w:pPr>
      <w:r>
        <w:t>• 第三方公网测速 API 的具体服务商选择与费用。</w:t>
      </w:r>
    </w:p>
    <w:p>
      <w:pPr>
        <w:spacing w:after="60"/>
      </w:pPr>
      <w:r>
        <w:t>• 运营商识别方案的准确率与可用接口。</w:t>
      </w:r>
    </w:p>
    <w:p>
      <w:pPr>
        <w:spacing w:after="60"/>
      </w:pPr>
      <w:r>
        <w:t>• Android 侧 Wi-Fi 扫描、周边 BSSID 采集、协商速率等字段在不同系统版本下的可得性。</w:t>
      </w:r>
    </w:p>
    <w:p>
      <w:pPr>
        <w:spacing w:after="60"/>
      </w:pPr>
      <w:r>
        <w:t>• 是否接入 AC 空口扫描数据作为终端侧扫描的补充来源。</w:t>
      </w:r>
    </w:p>
    <w:sectPr w:rsidR="00FC693F" w:rsidRPr="0006063C" w:rsidSect="00034616">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F497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