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i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Plan van aanpak</w:t>
      </w:r>
    </w:p>
    <w:p>
      <w:pPr>
        <w:pStyle w:val="Normal"/>
        <w:jc w:val="center"/>
        <w:rPr>
          <w:b/>
          <w:bCs/>
          <w:i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</w:r>
    </w:p>
    <w:p>
      <w:pPr>
        <w:pStyle w:val="Normal"/>
        <w:jc w:val="center"/>
        <w:rPr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XML TO JSON Converter watchdog</w:t>
      </w:r>
    </w:p>
    <w:p>
      <w:pPr>
        <w:pStyle w:val="Normal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2851785</wp:posOffset>
            </wp:positionH>
            <wp:positionV relativeFrom="paragraph">
              <wp:posOffset>95250</wp:posOffset>
            </wp:positionV>
            <wp:extent cx="2905125" cy="1571625"/>
            <wp:effectExtent l="0" t="0" r="0" b="0"/>
            <wp:wrapSquare wrapText="largest"/>
            <wp:docPr id="1" name="Afbeelding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-14605</wp:posOffset>
            </wp:positionH>
            <wp:positionV relativeFrom="paragraph">
              <wp:posOffset>95250</wp:posOffset>
            </wp:positionV>
            <wp:extent cx="2867025" cy="1559560"/>
            <wp:effectExtent l="0" t="0" r="0" b="0"/>
            <wp:wrapSquare wrapText="largest"/>
            <wp:docPr id="2" name="Afbeelding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5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Inhoudsopgave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Inleiding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Doelstelling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Beschrijving oplossing – Optie 1: Watchdog tool</w:t>
        <w:br/>
        <w:t>3.1 Functionaliteit</w:t>
        <w:br/>
        <w:t>3.2 Configuratiebestand</w:t>
        <w:br/>
        <w:t>3.3 Logging</w:t>
        <w:br/>
        <w:t>3.4 Verwerkingsproces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Beschrijving oplossing – Optie 2: Middleware</w:t>
        <w:br/>
        <w:t>4.1 Functionaliteit</w:t>
        <w:br/>
        <w:t>4.2 Processtappen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Wat is Supabase?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Technische Specificaties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Conclusie</w:t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Normal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Heading3"/>
        <w:spacing w:before="0" w:after="160"/>
        <w:rPr>
          <w:sz w:val="22"/>
          <w:szCs w:val="22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  <w:t xml:space="preserve">1. </w:t>
      </w: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Inleiding</w:t>
      </w:r>
    </w:p>
    <w:p>
      <w:pPr>
        <w:pStyle w:val="BodyText"/>
        <w:spacing w:lineRule="auto" w:line="259" w:before="0" w:after="160"/>
        <w:rPr/>
      </w:pPr>
      <w:r>
        <w:rPr/>
        <w:t>Dit plan van aanpak beschrijft twee opties voor het automatisch converteren van XML-bestanden naar JSON-formaat, gekoppeld aan Supabase als opslag- en distributieplatform. De oplossingen zijn bedoeld ter ondersteuning van geautomatiseerde gegevensverwerking tussen AGP-ERP en externe partijen (zoals grossiers of leveranciers).</w:t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Heading3"/>
        <w:spacing w:before="0" w:after="160"/>
        <w:rPr>
          <w:sz w:val="22"/>
          <w:szCs w:val="22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  <w:t xml:space="preserve">2. </w:t>
      </w: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Doelstelling</w:t>
      </w:r>
    </w:p>
    <w:p>
      <w:pPr>
        <w:pStyle w:val="BodyText"/>
        <w:spacing w:lineRule="auto" w:line="259" w:before="0" w:after="160"/>
        <w:rPr/>
      </w:pPr>
      <w:r>
        <w:rPr/>
        <w:t>Het doel is het realiseren van een tool die automatisch XML-bestanden converteert naar JSON-bestanden en deze opslaat in Supabase. De tool moet kunnen detecteren wanneer AGP-ERP een XML-bestand aanlevert, dit automatisch omzetten, opslaan en beschikbaar maken voor verdere verwerking of distributie.</w:t>
      </w:r>
    </w:p>
    <w:p>
      <w:pPr>
        <w:pStyle w:val="Heading3"/>
        <w:spacing w:before="0" w:after="160"/>
        <w:rPr>
          <w:rStyle w:val="Strong"/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0" w:after="160"/>
        <w:rPr>
          <w:sz w:val="22"/>
          <w:szCs w:val="22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  <w:t xml:space="preserve">3. </w:t>
      </w: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Beschrijving oplossing – Optie 1: Watchdog tool</w:t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  <w:t>3.1 Functionaliteit</w:t>
      </w:r>
    </w:p>
    <w:p>
      <w:pPr>
        <w:pStyle w:val="BodyText"/>
        <w:spacing w:lineRule="auto" w:line="259" w:before="0" w:after="160"/>
        <w:rPr/>
      </w:pPr>
      <w:r>
        <w:rPr/>
        <w:t xml:space="preserve">De tool (‘toolJson.py’) monitort een specifieke directory. Zodra er een XML-request en -response gedetecteerd worden, converteert de tool deze bestanden automatisch naar JSON en slaat deze op in een opgegeven pad of in Supabase.  </w:t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  <w:t>3.2 Configuratiebestand</w:t>
      </w:r>
    </w:p>
    <w:p>
      <w:pPr>
        <w:pStyle w:val="BodyText"/>
        <w:spacing w:lineRule="auto" w:line="259" w:before="0" w:after="160"/>
        <w:rPr/>
      </w:pPr>
      <w:r>
        <w:rPr>
          <w:rFonts w:ascii="Calibri" w:hAnsi="Calibri"/>
        </w:rPr>
        <w:t>De tool vereist een configuratiebestand (</w:t>
      </w:r>
      <w:r>
        <w:rPr>
          <w:rStyle w:val="Brontekst"/>
          <w:rFonts w:ascii="Calibri" w:hAnsi="Calibri"/>
        </w:rPr>
        <w:t>config.ini</w:t>
      </w:r>
      <w:r>
        <w:rPr>
          <w:rFonts w:ascii="Calibri" w:hAnsi="Calibri"/>
        </w:rPr>
        <w:t xml:space="preserve">) waarin het pad wordt opgegeven waar de JSON-bestanden opgeslagen moeten worden. Dit pad kan lokaal zijn of verwijzen naar een Supabase-verbinding. Bij een onjuiste configuratie start de tool niet. </w:t>
      </w:r>
    </w:p>
    <w:p>
      <w:pPr>
        <w:pStyle w:val="BodyText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07490"/>
            <wp:effectExtent l="0" t="0" r="0" b="0"/>
            <wp:wrapSquare wrapText="largest"/>
            <wp:docPr id="3" name="Afbeelding2 Kopiër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2 Kopiër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  <w:t>3.3 Logging</w:t>
      </w:r>
    </w:p>
    <w:p>
      <w:pPr>
        <w:pStyle w:val="BodyText"/>
        <w:spacing w:lineRule="auto" w:line="259" w:before="0" w:after="160"/>
        <w:rPr/>
      </w:pPr>
      <w:r>
        <w:rPr/>
        <w:t>De tool genereert een proceslogbestand waarin alle acties worden bijgehouden, inclusief bestandsnamen, verwerkingstijden en foutmeldingen. Dit is essentieel voor debugging en monitoring.</w:t>
      </w:r>
    </w:p>
    <w:p>
      <w:pPr>
        <w:pStyle w:val="BodyText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52040"/>
            <wp:effectExtent l="0" t="0" r="0" b="0"/>
            <wp:wrapSquare wrapText="largest"/>
            <wp:docPr id="4" name="Afbeelding7 Kopiër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7 Kopiër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  <w:t>3.4 Verwerkingsproces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De watchdog detecteert XML-bestanden in de rootmap.</w:t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5120" cy="2263775"/>
            <wp:effectExtent l="0" t="0" r="0" b="0"/>
            <wp:wrapSquare wrapText="largest"/>
            <wp:docPr id="5" name="Afbeelding11 Kopiër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11 Kopiër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26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Beide XML-bestanden (request &amp; response) worden gelezen.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Conversie naar JSON wordt uitgevoerd.</w:t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-400050</wp:posOffset>
            </wp:positionH>
            <wp:positionV relativeFrom="paragraph">
              <wp:posOffset>1123950</wp:posOffset>
            </wp:positionV>
            <wp:extent cx="5731510" cy="676910"/>
            <wp:effectExtent l="0" t="0" r="0" b="0"/>
            <wp:wrapSquare wrapText="largest"/>
            <wp:docPr id="6" name="Afbeelding4 Kopiër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4 Kopiëren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JSON-bestanden worden opgeslagen op de opgegeven locatie.</w:t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Heading3"/>
        <w:spacing w:before="0" w:after="160"/>
        <w:rPr>
          <w:sz w:val="22"/>
          <w:szCs w:val="22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  <w:t xml:space="preserve">4. </w:t>
      </w: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Beschrijving oplossing – Optie 2: Middleware</w:t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  <w:t>4.1 Functionaliteit</w:t>
      </w:r>
    </w:p>
    <w:p>
      <w:pPr>
        <w:pStyle w:val="BodyText"/>
        <w:spacing w:lineRule="auto" w:line="259" w:before="0" w:after="160"/>
        <w:rPr/>
      </w:pPr>
      <w:r>
        <w:rPr/>
        <w:t>De middleware is een webgebaseerde API die inkomende XML-berichten ontvangt, deze converteert naar JSON en opslaat in Supabase. Het systeem fungeert als brug tussen AGP-ERP en andere gekoppelde systemen.</w:t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Heading4"/>
        <w:spacing w:before="0" w:after="160"/>
        <w:rPr>
          <w:rFonts w:eastAsia="Calibri" w:cstheme="minorBidi" w:eastAsiaTheme="minorHAnsi"/>
          <w:color w:val="auto"/>
          <w14:ligatures w14:val="standardContextual"/>
        </w:rPr>
      </w:pPr>
      <w:r>
        <w:rPr>
          <w:rFonts w:eastAsia="Calibri" w:cstheme="minorBidi" w:eastAsiaTheme="minorHAnsi"/>
          <w:color w:val="auto"/>
          <w14:ligatures w14:val="standardContextual"/>
        </w:rPr>
        <w:t>4.2 Processtappen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libri" w:hAnsi="Calibri"/>
        </w:rPr>
      </w:pPr>
      <w:r>
        <w:rPr>
          <w:rFonts w:ascii="Calibri" w:hAnsi="Calibri"/>
        </w:rPr>
        <w:t>AGP-ERP stuurt een XML-bericht via een HTTP POST-aanroep.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libri" w:hAnsi="Calibri"/>
        </w:rPr>
      </w:pPr>
      <w:r>
        <w:rPr>
          <w:rFonts w:ascii="Calibri" w:hAnsi="Calibri"/>
        </w:rPr>
        <w:t>Middleware ontvangt het bericht.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libri" w:hAnsi="Calibri"/>
        </w:rPr>
      </w:pPr>
      <w:r>
        <w:rPr>
          <w:rFonts w:ascii="Calibri" w:hAnsi="Calibri"/>
        </w:rPr>
        <w:t>XML wordt automatisch geconverteerd naar JSON.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libri" w:hAnsi="Calibri"/>
        </w:rPr>
      </w:pPr>
      <w:r>
        <w:rPr>
          <w:rFonts w:ascii="Calibri" w:hAnsi="Calibri"/>
        </w:rPr>
        <w:t>JSON wordt opgeslagen in Supabase: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1418"/>
        <w:rPr/>
      </w:pPr>
      <w:r>
        <w:rPr>
          <w:rStyle w:val="Brontekst"/>
          <w:rFonts w:ascii="Calibri" w:hAnsi="Calibri"/>
        </w:rPr>
        <w:t>requests</w:t>
      </w:r>
      <w:r>
        <w:rPr>
          <w:rFonts w:ascii="Calibri" w:hAnsi="Calibri"/>
        </w:rPr>
        <w:t>: voor inkomende aanvragen.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1418"/>
        <w:rPr/>
      </w:pPr>
      <w:r>
        <w:rPr>
          <w:rStyle w:val="Brontekst"/>
          <w:rFonts w:ascii="Calibri" w:hAnsi="Calibri"/>
        </w:rPr>
        <w:t>responses</w:t>
      </w:r>
      <w:r>
        <w:rPr>
          <w:rFonts w:ascii="Calibri" w:hAnsi="Calibri"/>
        </w:rPr>
        <w:t>: voor terugkoppelingen indien aanwezig.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>
          <w:rFonts w:ascii="Calibri" w:hAnsi="Calibri"/>
        </w:rPr>
      </w:pPr>
      <w:r>
        <w:rPr>
          <w:rFonts w:ascii="Calibri" w:hAnsi="Calibri"/>
        </w:rPr>
        <w:t>Andere systemen kunnen de JSON-gegevens opvragen of verwerken via API-integratie.</w:t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Heading3"/>
        <w:spacing w:before="0" w:after="160"/>
        <w:rPr>
          <w:sz w:val="22"/>
          <w:szCs w:val="22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  <w:t xml:space="preserve">5. </w:t>
      </w: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Wat is Supabase?</w:t>
      </w:r>
    </w:p>
    <w:p>
      <w:pPr>
        <w:pStyle w:val="BodyText"/>
        <w:spacing w:lineRule="auto" w:line="259" w:before="0" w:after="160"/>
        <w:rPr/>
      </w:pPr>
      <w:r>
        <w:rPr/>
        <w:t xml:space="preserve">Supabase is een open-source alternatief </w:t>
      </w:r>
      <w:r>
        <w:rPr/>
        <w:t>in de cloud</w:t>
      </w:r>
      <w:r>
        <w:rPr/>
        <w:t>, met PostgreSQL als achterliggende database. Het biedt functionaliteiten zoals: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Databasebeheer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Gebruikersauthenticatie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Bestandsopslag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/>
        <w:t>RESTful API-integraties</w:t>
      </w:r>
    </w:p>
    <w:p>
      <w:pPr>
        <w:pStyle w:val="BodyText"/>
        <w:spacing w:lineRule="auto" w:line="259" w:before="0" w:after="160"/>
        <w:rPr/>
      </w:pPr>
      <w:r>
        <w:rPr/>
        <w:t>Voor dit project fungeert Supabase als opslag- en distributieplatform voor geconverteerde JSON-data, zodat deze efficiënt gedeeld kan worden met andere systemen.</w:t>
      </w:r>
    </w:p>
    <w:p>
      <w:pPr>
        <w:pStyle w:val="BodyText"/>
        <w:spacing w:lineRule="auto" w:line="259" w:before="0" w:after="160"/>
        <w:rPr/>
      </w:pPr>
      <w:r>
        <w:rPr/>
      </w:r>
    </w:p>
    <w:p>
      <w:pPr>
        <w:pStyle w:val="BodyText"/>
        <w:spacing w:lineRule="auto" w:line="259" w:before="0" w:after="16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-276225</wp:posOffset>
            </wp:positionH>
            <wp:positionV relativeFrom="paragraph">
              <wp:posOffset>938530</wp:posOffset>
            </wp:positionV>
            <wp:extent cx="5731510" cy="2536825"/>
            <wp:effectExtent l="0" t="0" r="0" b="0"/>
            <wp:wrapSquare wrapText="largest"/>
            <wp:docPr id="7" name="Afbeelding5 Kopiër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5 Kopiëren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spacing w:before="0" w:after="160"/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</w:r>
    </w:p>
    <w:p>
      <w:pPr>
        <w:pStyle w:val="Heading3"/>
        <w:spacing w:before="0" w:after="160"/>
        <w:rPr>
          <w:sz w:val="22"/>
          <w:szCs w:val="22"/>
        </w:rPr>
      </w:pPr>
      <w:r>
        <w:rPr>
          <w:rFonts w:eastAsia="Calibri" w:cstheme="minorBidi" w:eastAsiaTheme="minorHAnsi"/>
          <w:color w:val="auto"/>
          <w:sz w:val="22"/>
          <w:szCs w:val="22"/>
          <w14:ligatures w14:val="standardContextual"/>
        </w:rPr>
        <w:t xml:space="preserve">6. </w:t>
      </w:r>
      <w:r>
        <w:rPr>
          <w:rStyle w:val="Strong"/>
          <w:rFonts w:eastAsia="Calibri" w:cstheme="minorBidi" w:eastAsiaTheme="minorHAnsi"/>
          <w:color w:val="auto"/>
          <w:sz w:val="22"/>
          <w:szCs w:val="22"/>
          <w14:ligatures w14:val="standardContextual"/>
        </w:rPr>
        <w:t>Technische Specificaties</w:t>
      </w:r>
    </w:p>
    <w:p>
      <w:pPr>
        <w:pStyle w:val="BodyText"/>
        <w:numPr>
          <w:ilvl w:val="0"/>
          <w:numId w:val="0"/>
        </w:numPr>
        <w:spacing w:lineRule="auto" w:line="259" w:before="0" w:after="160"/>
        <w:ind w:hanging="0" w:left="0"/>
        <w:rPr>
          <w:rStyle w:val="Brontekst"/>
        </w:rPr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59" w:before="0" w:after="160"/>
        <w:ind w:hanging="283" w:left="709"/>
        <w:rPr/>
      </w:pPr>
      <w:r>
        <w:rPr>
          <w:rStyle w:val="Strong"/>
        </w:rPr>
        <w:t>API-methode (optie 2)</w:t>
      </w:r>
      <w:r>
        <w:rPr/>
        <w:t>: HTTP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NL"/>
        </w:rPr>
      </w:pPr>
      <w:r>
        <w:rPr>
          <w:lang w:val="en-NL"/>
        </w:rPr>
      </w:r>
    </w:p>
    <w:p>
      <w:pPr>
        <w:pStyle w:val="Heading3"/>
        <w:spacing w:before="0" w:after="160"/>
        <w:contextualSpacing/>
        <w:rPr>
          <w:lang w:val="en-NL"/>
        </w:rPr>
      </w:pPr>
      <w:r>
        <w:rPr>
          <w:rStyle w:val="Strong"/>
          <w:rFonts w:eastAsia="Calibri" w:cstheme="minorBidi" w:eastAsiaTheme="minorHAnsi"/>
          <w:color w:val="auto"/>
          <w:sz w:val="22"/>
          <w:szCs w:val="22"/>
          <w:lang w:val="en-NL"/>
          <w14:ligatures w14:val="standardContextual"/>
        </w:rPr>
        <w:t>7. Conclusie</w:t>
      </w:r>
    </w:p>
    <w:p>
      <w:pPr>
        <w:pStyle w:val="BodyText"/>
        <w:spacing w:lineRule="auto" w:line="259" w:before="0" w:after="160"/>
        <w:contextualSpacing/>
        <w:rPr>
          <w:b w:val="false"/>
          <w:bCs w:val="false"/>
          <w:lang w:val="en-NL"/>
        </w:rPr>
      </w:pPr>
      <w:r>
        <w:rPr>
          <w:b w:val="false"/>
          <w:bCs w:val="false"/>
          <w:lang w:val="en-NL"/>
        </w:rPr>
        <w:t xml:space="preserve">Van de twee oplossingen is “Optie 1” (de Watchdog-tool) het meest geschikt en </w:t>
      </w:r>
      <w:r>
        <w:rPr>
          <w:b w:val="false"/>
          <w:bCs w:val="false"/>
          <w:lang w:val="en-NL"/>
        </w:rPr>
        <w:t>is al geimplementeerd de tool zit op de root -&gt; Qlikdata/SOFTWARE/toolJson.exe</w:t>
      </w:r>
      <w:r>
        <w:rPr>
          <w:b w:val="false"/>
          <w:bCs w:val="false"/>
          <w:lang w:val="en-NL"/>
        </w:rPr>
        <w:t xml:space="preserve">, </w:t>
      </w:r>
      <w:r>
        <w:rPr>
          <w:b w:val="false"/>
          <w:bCs w:val="false"/>
          <w:lang w:val="en-NL"/>
        </w:rPr>
        <w:t xml:space="preserve">tenminste als </w:t>
      </w:r>
      <w:r>
        <w:rPr>
          <w:b w:val="false"/>
          <w:bCs w:val="false"/>
          <w:lang w:val="en-NL"/>
        </w:rPr>
        <w:t xml:space="preserve">deze aansluit bij de eisen en wensen van de grossier. Deze optie is al ontwikkeld en functioneert als een zelfstandige service die XML-bestanden automatisch omzet naar JSON en deze </w:t>
      </w:r>
      <w:r>
        <w:rPr>
          <w:b w:val="false"/>
          <w:bCs w:val="false"/>
          <w:lang w:val="en-NL"/>
        </w:rPr>
        <w:t xml:space="preserve">eventueel ook kan </w:t>
      </w:r>
      <w:r>
        <w:rPr>
          <w:b w:val="false"/>
          <w:bCs w:val="false"/>
          <w:lang w:val="en-NL"/>
        </w:rPr>
        <w:t>opslaa</w:t>
      </w:r>
      <w:r>
        <w:rPr>
          <w:b w:val="false"/>
          <w:bCs w:val="false"/>
          <w:lang w:val="en-NL"/>
        </w:rPr>
        <w:t xml:space="preserve">n </w:t>
      </w:r>
      <w:r>
        <w:rPr>
          <w:b w:val="false"/>
          <w:bCs w:val="false"/>
          <w:lang w:val="en-NL"/>
        </w:rPr>
        <w:t>in Supabase. De tool is eenvoudig te configureren, werkt betrouwbaar en vereist geen extra infrastructuur of complexe integraties.</w:t>
      </w:r>
    </w:p>
    <w:p>
      <w:pPr>
        <w:pStyle w:val="BodyText"/>
        <w:spacing w:lineRule="auto" w:line="259" w:before="0" w:after="160"/>
        <w:contextualSpacing/>
        <w:rPr>
          <w:lang w:val="en-NL"/>
        </w:rPr>
      </w:pPr>
      <w:r>
        <w:rPr>
          <w:lang w:val="en-NL"/>
        </w:rPr>
        <w:t>“</w:t>
      </w:r>
      <w:r>
        <w:rPr>
          <w:lang w:val="en-NL"/>
        </w:rPr>
        <w:t xml:space="preserve">Optie 2” (de middleware-oplossing) biedt op termijn meer flexibiliteit door middel van een webgebaseerde API-integratie, maar vergt aanzienlijk meer ontwikkeltijd. Deze middleware moet volledig worden opgebouwd in C# .NET </w:t>
      </w:r>
      <w:r>
        <w:rPr>
          <w:lang w:val="en-NL"/>
        </w:rPr>
        <w:t>API</w:t>
      </w:r>
      <w:r>
        <w:rPr>
          <w:lang w:val="en-NL"/>
        </w:rPr>
        <w:t>, inclusief functies voor API-authenticatie, foutafhandeling en integratie met Supabase. Hierdoor is optie 2 op dit moment minder realistisch binnen de beschikbare tijd en middelen.</w:t>
      </w:r>
    </w:p>
    <w:p>
      <w:pPr>
        <w:pStyle w:val="BodyText"/>
        <w:spacing w:lineRule="auto" w:line="259" w:before="0" w:after="160"/>
        <w:contextualSpacing/>
        <w:rPr>
          <w:lang w:val="en-NL"/>
        </w:rPr>
      </w:pPr>
      <w:r>
        <w:rPr>
          <w:lang w:val="en-NL"/>
        </w:rPr>
        <w:t>Daarom heeft optie 1 onze voorkeur, omdat deze de projectdoelstellingen al volledig ondersteunt en sneller in productie kan worden genomen.</w:t>
      </w:r>
    </w:p>
    <w:p>
      <w:pPr>
        <w:pStyle w:val="BodyText"/>
        <w:spacing w:lineRule="auto" w:line="259" w:before="0" w:after="160"/>
        <w:contextualSpacing/>
        <w:rPr>
          <w:b w:val="false"/>
          <w:bCs w:val="false"/>
          <w:lang w:val="en-NL"/>
        </w:rPr>
      </w:pPr>
      <w:r>
        <w:rPr>
          <w:b w:val="false"/>
          <w:bCs w:val="false"/>
          <w:lang w:val="en-NL"/>
        </w:rPr>
      </w:r>
    </w:p>
    <w:p>
      <w:pPr>
        <w:pStyle w:val="ListParagraph"/>
        <w:spacing w:before="0" w:after="160"/>
        <w:contextualSpacing/>
        <w:rPr>
          <w:lang w:val="en-NL"/>
        </w:rPr>
      </w:pPr>
      <w:r>
        <w:rPr>
          <w:lang w:val="en-NL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aa17f3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aa17f3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aa17f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aa17f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aa17f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aa17f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aa17f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aa17f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aa17f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1Char" w:customStyle="1">
    <w:name w:val="Kop 1 Char"/>
    <w:basedOn w:val="DefaultParagraphFont"/>
    <w:uiPriority w:val="9"/>
    <w:qFormat/>
    <w:rsid w:val="00aa17f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  <w:lang w:val="nl-NL"/>
    </w:rPr>
  </w:style>
  <w:style w:type="character" w:styleId="Kop2Char" w:customStyle="1">
    <w:name w:val="Kop 2 Char"/>
    <w:basedOn w:val="DefaultParagraphFont"/>
    <w:uiPriority w:val="9"/>
    <w:semiHidden/>
    <w:qFormat/>
    <w:rsid w:val="00aa17f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nl-NL"/>
    </w:rPr>
  </w:style>
  <w:style w:type="character" w:styleId="Kop3Char" w:customStyle="1">
    <w:name w:val="Kop 3 Char"/>
    <w:basedOn w:val="DefaultParagraphFont"/>
    <w:uiPriority w:val="9"/>
    <w:semiHidden/>
    <w:qFormat/>
    <w:rsid w:val="00aa17f3"/>
    <w:rPr>
      <w:rFonts w:eastAsia="" w:cs="" w:cstheme="majorBidi" w:eastAsiaTheme="majorEastAsia"/>
      <w:color w:themeColor="accent1" w:themeShade="bf" w:val="2F5496"/>
      <w:sz w:val="28"/>
      <w:szCs w:val="28"/>
      <w:lang w:val="nl-NL"/>
    </w:rPr>
  </w:style>
  <w:style w:type="character" w:styleId="Kop4Char" w:customStyle="1">
    <w:name w:val="Kop 4 Char"/>
    <w:basedOn w:val="DefaultParagraphFont"/>
    <w:uiPriority w:val="9"/>
    <w:semiHidden/>
    <w:qFormat/>
    <w:rsid w:val="00aa17f3"/>
    <w:rPr>
      <w:rFonts w:eastAsia="" w:cs="" w:cstheme="majorBidi" w:eastAsiaTheme="majorEastAsia"/>
      <w:i/>
      <w:iCs/>
      <w:color w:themeColor="accent1" w:themeShade="bf" w:val="2F5496"/>
      <w:lang w:val="nl-NL"/>
    </w:rPr>
  </w:style>
  <w:style w:type="character" w:styleId="Kop5Char" w:customStyle="1">
    <w:name w:val="Kop 5 Char"/>
    <w:basedOn w:val="DefaultParagraphFont"/>
    <w:uiPriority w:val="9"/>
    <w:semiHidden/>
    <w:qFormat/>
    <w:rsid w:val="00aa17f3"/>
    <w:rPr>
      <w:rFonts w:eastAsia="" w:cs="" w:cstheme="majorBidi" w:eastAsiaTheme="majorEastAsia"/>
      <w:color w:themeColor="accent1" w:themeShade="bf" w:val="2F5496"/>
      <w:lang w:val="nl-NL"/>
    </w:rPr>
  </w:style>
  <w:style w:type="character" w:styleId="Kop6Char" w:customStyle="1">
    <w:name w:val="Kop 6 Char"/>
    <w:basedOn w:val="DefaultParagraphFont"/>
    <w:uiPriority w:val="9"/>
    <w:semiHidden/>
    <w:qFormat/>
    <w:rsid w:val="00aa17f3"/>
    <w:rPr>
      <w:rFonts w:eastAsia="" w:cs="" w:cstheme="majorBidi" w:eastAsiaTheme="majorEastAsia"/>
      <w:i/>
      <w:iCs/>
      <w:color w:themeColor="text1" w:themeTint="a6" w:val="595959"/>
      <w:lang w:val="nl-NL"/>
    </w:rPr>
  </w:style>
  <w:style w:type="character" w:styleId="Kop7Char" w:customStyle="1">
    <w:name w:val="Kop 7 Char"/>
    <w:basedOn w:val="DefaultParagraphFont"/>
    <w:uiPriority w:val="9"/>
    <w:semiHidden/>
    <w:qFormat/>
    <w:rsid w:val="00aa17f3"/>
    <w:rPr>
      <w:rFonts w:eastAsia="" w:cs="" w:cstheme="majorBidi" w:eastAsiaTheme="majorEastAsia"/>
      <w:color w:themeColor="text1" w:themeTint="a6" w:val="595959"/>
      <w:lang w:val="nl-NL"/>
    </w:rPr>
  </w:style>
  <w:style w:type="character" w:styleId="Kop8Char" w:customStyle="1">
    <w:name w:val="Kop 8 Char"/>
    <w:basedOn w:val="DefaultParagraphFont"/>
    <w:uiPriority w:val="9"/>
    <w:semiHidden/>
    <w:qFormat/>
    <w:rsid w:val="00aa17f3"/>
    <w:rPr>
      <w:rFonts w:eastAsia="" w:cs="" w:cstheme="majorBidi" w:eastAsiaTheme="majorEastAsia"/>
      <w:i/>
      <w:iCs/>
      <w:color w:themeColor="text1" w:themeTint="d8" w:val="272727"/>
      <w:lang w:val="nl-NL"/>
    </w:rPr>
  </w:style>
  <w:style w:type="character" w:styleId="Kop9Char" w:customStyle="1">
    <w:name w:val="Kop 9 Char"/>
    <w:basedOn w:val="DefaultParagraphFont"/>
    <w:uiPriority w:val="9"/>
    <w:semiHidden/>
    <w:qFormat/>
    <w:rsid w:val="00aa17f3"/>
    <w:rPr>
      <w:rFonts w:eastAsia="" w:cs="" w:cstheme="majorBidi" w:eastAsiaTheme="majorEastAsia"/>
      <w:color w:themeColor="text1" w:themeTint="d8" w:val="272727"/>
      <w:lang w:val="nl-NL"/>
    </w:rPr>
  </w:style>
  <w:style w:type="character" w:styleId="TitelChar" w:customStyle="1">
    <w:name w:val="Titel Char"/>
    <w:basedOn w:val="DefaultParagraphFont"/>
    <w:uiPriority w:val="10"/>
    <w:qFormat/>
    <w:rsid w:val="00aa17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nl-NL"/>
    </w:rPr>
  </w:style>
  <w:style w:type="character" w:styleId="OndertitelChar" w:customStyle="1">
    <w:name w:val="Ondertitel Char"/>
    <w:basedOn w:val="DefaultParagraphFont"/>
    <w:uiPriority w:val="11"/>
    <w:qFormat/>
    <w:rsid w:val="00aa17f3"/>
    <w:rPr>
      <w:rFonts w:eastAsia="" w:cs="" w:cstheme="majorBidi" w:eastAsiaTheme="majorEastAsia"/>
      <w:color w:themeColor="text1" w:themeTint="a6" w:val="595959"/>
      <w:spacing w:val="15"/>
      <w:sz w:val="28"/>
      <w:szCs w:val="28"/>
      <w:lang w:val="nl-NL"/>
    </w:rPr>
  </w:style>
  <w:style w:type="character" w:styleId="CitaatChar" w:customStyle="1">
    <w:name w:val="Citaat Char"/>
    <w:basedOn w:val="DefaultParagraphFont"/>
    <w:link w:val="Quote"/>
    <w:uiPriority w:val="29"/>
    <w:qFormat/>
    <w:rsid w:val="00aa17f3"/>
    <w:rPr>
      <w:i/>
      <w:iCs/>
      <w:color w:themeColor="text1" w:themeTint="bf" w:val="404040"/>
      <w:lang w:val="nl-NL"/>
    </w:rPr>
  </w:style>
  <w:style w:type="character" w:styleId="IntenseEmphasis">
    <w:name w:val="Intense Emphasis"/>
    <w:basedOn w:val="DefaultParagraphFont"/>
    <w:uiPriority w:val="21"/>
    <w:qFormat/>
    <w:rsid w:val="00aa17f3"/>
    <w:rPr>
      <w:i/>
      <w:iCs/>
      <w:color w:themeColor="accent1" w:themeShade="bf" w:val="2F5496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aa17f3"/>
    <w:rPr>
      <w:i/>
      <w:iCs/>
      <w:color w:themeColor="accent1" w:themeShade="bf" w:val="2F5496"/>
      <w:lang w:val="nl-NL"/>
    </w:rPr>
  </w:style>
  <w:style w:type="character" w:styleId="IntenseReference">
    <w:name w:val="Intense Reference"/>
    <w:basedOn w:val="DefaultParagraphFont"/>
    <w:uiPriority w:val="32"/>
    <w:qFormat/>
    <w:rsid w:val="00aa17f3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Opsommingstekensuser">
    <w:name w:val="Opsommingstekens (user)"/>
    <w:qFormat/>
    <w:rPr>
      <w:rFonts w:ascii="OpenSymbol" w:hAnsi="OpenSymbol" w:eastAsia="OpenSymbol" w:cs="OpenSymbol"/>
    </w:rPr>
  </w:style>
  <w:style w:type="character" w:styleId="Nummeringssymbolenuser">
    <w:name w:val="Nummeringssymbolen (user)"/>
    <w:qFormat/>
    <w:rPr/>
  </w:style>
  <w:style w:type="character" w:styleId="Brontekstuser">
    <w:name w:val="Brontekst (user)"/>
    <w:qFormat/>
    <w:rPr>
      <w:rFonts w:ascii="Liberation Mono" w:hAnsi="Liberation Mono" w:eastAsia="Liberation Mono" w:cs="Liberation Mono"/>
    </w:rPr>
  </w:style>
  <w:style w:type="character" w:styleId="Nummeringssymbolen">
    <w:name w:val="Nummeringssymbolen"/>
    <w:qFormat/>
    <w:rPr/>
  </w:style>
  <w:style w:type="character" w:styleId="Brontekst">
    <w:name w:val="Brontekst"/>
    <w:qFormat/>
    <w:rPr>
      <w:rFonts w:ascii="Liberation Mono" w:hAnsi="Liberation Mono" w:eastAsia="Liberation Mono" w:cs="Liberation Mono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Kopuser">
    <w:name w:val="Kop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Normal"/>
    <w:link w:val="TitelChar"/>
    <w:uiPriority w:val="10"/>
    <w:qFormat/>
    <w:rsid w:val="00aa17f3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aa17f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aa17f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a17f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aa1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orizontalelijn">
    <w:name w:val="Horizontale lijn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orizontalelijnuser">
    <w:name w:val="Horizontale lijn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Geenlijst" w:default="1">
    <w:name w:val="Geen lij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Application>LibreOffice/25.2.4.3$Windows_X86_64 LibreOffice_project/33e196637044ead23f5c3226cde09b47731f7e27</Application>
  <AppVersion>15.0000</AppVersion>
  <Pages>6</Pages>
  <Words>572</Words>
  <Characters>3645</Characters>
  <CharactersWithSpaces>4158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2025-06-29T07:39:00Z</dcterms:created>
  <dc:creator>Ken Kwok</dc:creator>
  <dc:description/>
  <dc:language>nl-NL</dc:language>
  <cp:lastModifiedBy/>
  <dcterms:modified xsi:type="dcterms:W3CDTF">2025-07-02T08:37:04Z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