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00A6B2"/>
          <w:sz w:val="24"/>
        </w:rPr>
        <w:t>PROJECT IMPLEMENTATION PROPOSAL</w:t>
      </w:r>
    </w:p>
    <w:p>
      <w:pPr>
        <w:spacing w:before="280" w:after="160"/>
        <w:jc w:val="center"/>
      </w:pPr>
      <w:r>
        <w:rPr>
          <w:rFonts w:ascii="Calibri" w:hAnsi="Calibri"/>
          <w:b/>
          <w:i w:val="0"/>
          <w:color w:val="17365D"/>
          <w:sz w:val="56"/>
        </w:rPr>
        <w:t>B2C TRANSPORTATION OTA PLATFORM</w:t>
      </w:r>
    </w:p>
    <w:p>
      <w:pPr>
        <w:jc w:val="center"/>
      </w:pPr>
      <w:r>
        <w:rPr>
          <w:rFonts w:ascii="Calibri" w:hAnsi="Calibri"/>
          <w:b w:val="0"/>
          <w:i w:val="0"/>
          <w:color w:val="2E74B5"/>
          <w:sz w:val="30"/>
        </w:rPr>
        <w:t>Phase 1 and Phase 2: Five-Month Delivery Plan</w:t>
        <w:br/>
        <w:t>Phase 3 and Beyond: Monthly Expansion Roadmap</w:t>
      </w:r>
    </w:p>
    <w:p/>
    <w:tbl>
      <w:tblPr>
        <w:tblW w:type="dxa" w:w="9360"/>
        <w:jc w:val="center"/>
        <w:tblLayout w:type="fixed"/>
        <w:tblLook w:firstColumn="1" w:firstRow="1" w:lastColumn="0" w:lastRow="0" w:noHBand="0" w:noVBand="1" w:val="04A0"/>
        <w:tblInd w:w="120" w:type="dxa"/>
      </w:tblPr>
      <w:tblGrid>
        <w:gridCol w:w="2400"/>
        <w:gridCol w:w="6960"/>
      </w:tblGrid>
      <w:tr>
        <w:trPr>
          <w:cantSplit/>
        </w:trPr>
        <w:tc>
          <w:tcPr>
            <w:tcW w:type="dxa" w:w="2400"/>
            <w:tcMar>
              <w:top w:w="80" w:type="dxa"/>
              <w:start w:w="120" w:type="dxa"/>
              <w:bottom w:w="80" w:type="dxa"/>
              <w:end w:w="120" w:type="dxa"/>
            </w:tcMar>
            <w:vAlign w:val="center"/>
            <w:shd w:fill="EAF2F8"/>
          </w:tcPr>
          <w:p>
            <w:pPr>
              <w:spacing w:after="0" w:line="252" w:lineRule="auto"/>
              <w:jc w:val="left"/>
            </w:pPr>
            <w:r/>
            <w:r>
              <w:rPr>
                <w:rFonts w:ascii="Calibri" w:hAnsi="Calibri"/>
                <w:b/>
                <w:i w:val="0"/>
                <w:color w:val="17365D"/>
                <w:sz w:val="19"/>
              </w:rPr>
              <w:t>Document purpose</w:t>
            </w:r>
          </w:p>
        </w:tc>
        <w:tc>
          <w:tcPr>
            <w:tcW w:type="dxa" w:w="69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9"/>
              </w:rPr>
              <w:t>Client approval and implementation baseline</w:t>
            </w:r>
          </w:p>
        </w:tc>
      </w:tr>
      <w:tr>
        <w:trPr>
          <w:cantSplit/>
        </w:trPr>
        <w:tc>
          <w:tcPr>
            <w:tcW w:type="dxa" w:w="2400"/>
            <w:tcMar>
              <w:top w:w="80" w:type="dxa"/>
              <w:start w:w="120" w:type="dxa"/>
              <w:bottom w:w="80" w:type="dxa"/>
              <w:end w:w="120" w:type="dxa"/>
            </w:tcMar>
            <w:vAlign w:val="center"/>
            <w:shd w:fill="EAF2F8"/>
          </w:tcPr>
          <w:p>
            <w:pPr>
              <w:spacing w:after="0" w:line="252" w:lineRule="auto"/>
              <w:jc w:val="left"/>
            </w:pPr>
            <w:r/>
            <w:r>
              <w:rPr>
                <w:rFonts w:ascii="Calibri" w:hAnsi="Calibri"/>
                <w:b/>
                <w:i w:val="0"/>
                <w:color w:val="17365D"/>
                <w:sz w:val="19"/>
              </w:rPr>
              <w:t>Delivery window</w:t>
            </w:r>
          </w:p>
        </w:tc>
        <w:tc>
          <w:tcPr>
            <w:tcW w:type="dxa" w:w="69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9"/>
              </w:rPr>
              <w:t>Five months for Phase 1 and Phase 2</w:t>
            </w:r>
          </w:p>
        </w:tc>
      </w:tr>
      <w:tr>
        <w:trPr>
          <w:cantSplit/>
        </w:trPr>
        <w:tc>
          <w:tcPr>
            <w:tcW w:type="dxa" w:w="2400"/>
            <w:tcMar>
              <w:top w:w="80" w:type="dxa"/>
              <w:start w:w="120" w:type="dxa"/>
              <w:bottom w:w="80" w:type="dxa"/>
              <w:end w:w="120" w:type="dxa"/>
            </w:tcMar>
            <w:vAlign w:val="center"/>
            <w:shd w:fill="EAF2F8"/>
          </w:tcPr>
          <w:p>
            <w:pPr>
              <w:spacing w:after="0" w:line="252" w:lineRule="auto"/>
              <w:jc w:val="left"/>
            </w:pPr>
            <w:r/>
            <w:r>
              <w:rPr>
                <w:rFonts w:ascii="Calibri" w:hAnsi="Calibri"/>
                <w:b/>
                <w:i w:val="0"/>
                <w:color w:val="17365D"/>
                <w:sz w:val="19"/>
              </w:rPr>
              <w:t>Initial market</w:t>
            </w:r>
          </w:p>
        </w:tc>
        <w:tc>
          <w:tcPr>
            <w:tcW w:type="dxa" w:w="69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9"/>
              </w:rPr>
              <w:t>Taiwan; responsive B2C web platform</w:t>
            </w:r>
          </w:p>
        </w:tc>
      </w:tr>
      <w:tr>
        <w:trPr>
          <w:cantSplit/>
        </w:trPr>
        <w:tc>
          <w:tcPr>
            <w:tcW w:type="dxa" w:w="2400"/>
            <w:tcMar>
              <w:top w:w="80" w:type="dxa"/>
              <w:start w:w="120" w:type="dxa"/>
              <w:bottom w:w="80" w:type="dxa"/>
              <w:end w:w="120" w:type="dxa"/>
            </w:tcMar>
            <w:vAlign w:val="center"/>
            <w:shd w:fill="EAF2F8"/>
          </w:tcPr>
          <w:p>
            <w:pPr>
              <w:spacing w:after="0" w:line="252" w:lineRule="auto"/>
              <w:jc w:val="left"/>
            </w:pPr>
            <w:r/>
            <w:r>
              <w:rPr>
                <w:rFonts w:ascii="Calibri" w:hAnsi="Calibri"/>
                <w:b/>
                <w:i w:val="0"/>
                <w:color w:val="17365D"/>
                <w:sz w:val="19"/>
              </w:rPr>
              <w:t>Version / date</w:t>
            </w:r>
          </w:p>
        </w:tc>
        <w:tc>
          <w:tcPr>
            <w:tcW w:type="dxa" w:w="69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9"/>
              </w:rPr>
              <w:t>Version 1.0 / 19 August 2026</w:t>
            </w:r>
          </w:p>
        </w:tc>
      </w:tr>
    </w:tbl>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150" w:type="dxa"/>
              <w:start w:w="180" w:type="dxa"/>
              <w:bottom w:w="150" w:type="dxa"/>
              <w:end w:w="180" w:type="dxa"/>
            </w:tcMar>
            <w:vAlign w:val="center"/>
            <w:shd w:fill="F4F6F9"/>
          </w:tcPr>
          <w:p>
            <w:pPr>
              <w:spacing w:after="60"/>
            </w:pPr>
            <w:r>
              <w:rPr>
                <w:rFonts w:ascii="Calibri" w:hAnsi="Calibri"/>
                <w:b/>
                <w:i w:val="0"/>
                <w:color w:val="2E74B5"/>
                <w:sz w:val="21"/>
              </w:rPr>
              <w:t xml:space="preserve">Proposed outcome  </w:t>
            </w:r>
            <w:r>
              <w:rPr>
                <w:rFonts w:ascii="Calibri" w:hAnsi="Calibri"/>
                <w:b w:val="0"/>
                <w:i w:val="0"/>
                <w:color w:val="1F2937"/>
                <w:sz w:val="21"/>
              </w:rPr>
              <w:t>A production-ready, transport-only OTA that supports customer search, booking, payment, voucher issuance, order operations, one supplier connection, cancellation/refund handling, and essential reporting.</w:t>
            </w:r>
          </w:p>
        </w:tc>
      </w:tr>
    </w:tbl>
    <w:p>
      <w:pPr>
        <w:spacing w:after="20"/>
      </w:pPr>
    </w:p>
    <w:p>
      <w:r>
        <w:br w:type="page"/>
      </w:r>
    </w:p>
    <w:p>
      <w:pPr>
        <w:pStyle w:val="Heading1"/>
      </w:pPr>
      <w:r>
        <w:t>Document Control</w:t>
      </w:r>
    </w:p>
    <w:tbl>
      <w:tblPr>
        <w:tblStyle w:val="TableGrid"/>
        <w:tblW w:type="dxa" w:w="9360"/>
        <w:tblLayout w:type="fixed"/>
        <w:tblLook w:firstColumn="1" w:firstRow="1" w:lastColumn="0" w:lastRow="0" w:noHBand="0" w:noVBand="1" w:val="04A0"/>
        <w:jc w:val="center"/>
        <w:tblInd w:w="120" w:type="dxa"/>
      </w:tblPr>
      <w:tblGrid>
        <w:gridCol w:w="2200"/>
        <w:gridCol w:w="7160"/>
      </w:tblGrid>
      <w:tr>
        <w:trPr>
          <w:cantSplit/>
          <w:tblHeader w:val="true"/>
          <w:cantSplit/>
        </w:trPr>
        <w:tc>
          <w:tcPr>
            <w:tcW w:type="dxa" w:w="22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Field</w:t>
            </w:r>
          </w:p>
        </w:tc>
        <w:tc>
          <w:tcPr>
            <w:tcW w:type="dxa" w:w="716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Details</w:t>
            </w:r>
          </w:p>
        </w:tc>
      </w:tr>
      <w:tr>
        <w:trPr>
          <w:cantSplit/>
        </w:trPr>
        <w:tc>
          <w:tcPr>
            <w:tcW w:type="dxa" w:w="22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Prepared for</w:t>
            </w:r>
          </w:p>
        </w:tc>
        <w:tc>
          <w:tcPr>
            <w:tcW w:type="dxa" w:w="71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Client / Project Sponsor</w:t>
            </w:r>
          </w:p>
        </w:tc>
      </w:tr>
      <w:tr>
        <w:trPr>
          <w:cantSplit/>
        </w:trPr>
        <w:tc>
          <w:tcPr>
            <w:tcW w:type="dxa" w:w="22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Prepared by</w:t>
            </w:r>
          </w:p>
        </w:tc>
        <w:tc>
          <w:tcPr>
            <w:tcW w:type="dxa" w:w="71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Implementation Team</w:t>
            </w:r>
          </w:p>
        </w:tc>
      </w:tr>
      <w:tr>
        <w:trPr>
          <w:cantSplit/>
        </w:trPr>
        <w:tc>
          <w:tcPr>
            <w:tcW w:type="dxa" w:w="22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Document status</w:t>
            </w:r>
          </w:p>
        </w:tc>
        <w:tc>
          <w:tcPr>
            <w:tcW w:type="dxa" w:w="71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For review and approval</w:t>
            </w:r>
          </w:p>
        </w:tc>
      </w:tr>
      <w:tr>
        <w:trPr>
          <w:cantSplit/>
        </w:trPr>
        <w:tc>
          <w:tcPr>
            <w:tcW w:type="dxa" w:w="22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Scope baseline</w:t>
            </w:r>
          </w:p>
        </w:tc>
        <w:tc>
          <w:tcPr>
            <w:tcW w:type="dxa" w:w="71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Phase 1 and Phase 2 - five-month implementation</w:t>
            </w:r>
          </w:p>
        </w:tc>
      </w:tr>
      <w:tr>
        <w:trPr>
          <w:cantSplit/>
        </w:trPr>
        <w:tc>
          <w:tcPr>
            <w:tcW w:type="dxa" w:w="22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Commercial status</w:t>
            </w:r>
          </w:p>
        </w:tc>
        <w:tc>
          <w:tcPr>
            <w:tcW w:type="dxa" w:w="71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Budget and third-party charges to be agreed separately</w:t>
            </w:r>
          </w:p>
        </w:tc>
      </w:tr>
      <w:tr>
        <w:trPr>
          <w:cantSplit/>
        </w:trPr>
        <w:tc>
          <w:tcPr>
            <w:tcW w:type="dxa" w:w="22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Confidentiality</w:t>
            </w:r>
          </w:p>
        </w:tc>
        <w:tc>
          <w:tcPr>
            <w:tcW w:type="dxa" w:w="71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Confidential - for authorized project stakeholders only</w:t>
            </w:r>
          </w:p>
        </w:tc>
      </w:tr>
    </w:tbl>
    <w:p>
      <w:pPr>
        <w:spacing w:after="20"/>
      </w:pPr>
    </w:p>
    <w:p>
      <w:pPr>
        <w:pStyle w:val="Heading2"/>
      </w:pPr>
      <w:r>
        <w:t>Approval Record</w:t>
      </w:r>
    </w:p>
    <w:tbl>
      <w:tblPr>
        <w:tblStyle w:val="TableGrid"/>
        <w:tblW w:type="dxa" w:w="9360"/>
        <w:tblLayout w:type="fixed"/>
        <w:tblLook w:firstColumn="1" w:firstRow="1" w:lastColumn="0" w:lastRow="0" w:noHBand="0" w:noVBand="1" w:val="04A0"/>
        <w:jc w:val="center"/>
        <w:tblInd w:w="120" w:type="dxa"/>
      </w:tblPr>
      <w:tblGrid>
        <w:gridCol w:w="1800"/>
        <w:gridCol w:w="2400"/>
        <w:gridCol w:w="2700"/>
        <w:gridCol w:w="2460"/>
      </w:tblGrid>
      <w:tr>
        <w:trPr>
          <w:cantSplit/>
          <w:tblHeader w:val="true"/>
          <w:cantSplit/>
        </w:trPr>
        <w:tc>
          <w:tcPr>
            <w:tcW w:type="dxa" w:w="18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Role</w:t>
            </w:r>
          </w:p>
        </w:tc>
        <w:tc>
          <w:tcPr>
            <w:tcW w:type="dxa" w:w="24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Name</w:t>
            </w:r>
          </w:p>
        </w:tc>
        <w:tc>
          <w:tcPr>
            <w:tcW w:type="dxa" w:w="27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Decision</w:t>
            </w:r>
          </w:p>
        </w:tc>
        <w:tc>
          <w:tcPr>
            <w:tcW w:type="dxa" w:w="246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Date / Signature</w:t>
            </w:r>
          </w:p>
        </w:tc>
      </w:tr>
      <w:tr>
        <w:trPr>
          <w:cantSplit/>
        </w:trPr>
        <w:tc>
          <w:tcPr>
            <w:tcW w:type="dxa" w:w="18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Client Sponsor</w:t>
            </w:r>
          </w:p>
        </w:tc>
        <w:tc>
          <w:tcPr>
            <w:tcW w:type="dxa" w:w="24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________________</w:t>
            </w:r>
          </w:p>
        </w:tc>
        <w:tc>
          <w:tcPr>
            <w:tcW w:type="dxa" w:w="27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Approved / Revisions Required</w:t>
            </w:r>
          </w:p>
        </w:tc>
        <w:tc>
          <w:tcPr>
            <w:tcW w:type="dxa" w:w="24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________________</w:t>
            </w:r>
          </w:p>
        </w:tc>
      </w:tr>
      <w:tr>
        <w:trPr>
          <w:cantSplit/>
        </w:trPr>
        <w:tc>
          <w:tcPr>
            <w:tcW w:type="dxa" w:w="18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Product Owner</w:t>
            </w:r>
          </w:p>
        </w:tc>
        <w:tc>
          <w:tcPr>
            <w:tcW w:type="dxa" w:w="24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________________</w:t>
            </w:r>
          </w:p>
        </w:tc>
        <w:tc>
          <w:tcPr>
            <w:tcW w:type="dxa" w:w="27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Approved / Revisions Required</w:t>
            </w:r>
          </w:p>
        </w:tc>
        <w:tc>
          <w:tcPr>
            <w:tcW w:type="dxa" w:w="24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________________</w:t>
            </w:r>
          </w:p>
        </w:tc>
      </w:tr>
      <w:tr>
        <w:trPr>
          <w:cantSplit/>
        </w:trPr>
        <w:tc>
          <w:tcPr>
            <w:tcW w:type="dxa" w:w="18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Implementation Lead</w:t>
            </w:r>
          </w:p>
        </w:tc>
        <w:tc>
          <w:tcPr>
            <w:tcW w:type="dxa" w:w="24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________________</w:t>
            </w:r>
          </w:p>
        </w:tc>
        <w:tc>
          <w:tcPr>
            <w:tcW w:type="dxa" w:w="27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Accepted</w:t>
            </w:r>
          </w:p>
        </w:tc>
        <w:tc>
          <w:tcPr>
            <w:tcW w:type="dxa" w:w="24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________________</w:t>
            </w:r>
          </w:p>
        </w:tc>
      </w:tr>
    </w:tbl>
    <w:p>
      <w:pPr>
        <w:spacing w:after="20"/>
      </w:pPr>
    </w:p>
    <w:p>
      <w:pPr>
        <w:pStyle w:val="Heading2"/>
      </w:pPr>
      <w:r>
        <w:t>Change History</w:t>
      </w:r>
    </w:p>
    <w:tbl>
      <w:tblPr>
        <w:tblStyle w:val="TableGrid"/>
        <w:tblW w:type="dxa" w:w="9360"/>
        <w:tblLayout w:type="fixed"/>
        <w:tblLook w:firstColumn="1" w:firstRow="1" w:lastColumn="0" w:lastRow="0" w:noHBand="0" w:noVBand="1" w:val="04A0"/>
        <w:jc w:val="center"/>
        <w:tblInd w:w="120" w:type="dxa"/>
      </w:tblPr>
      <w:tblGrid>
        <w:gridCol w:w="1100"/>
        <w:gridCol w:w="1700"/>
        <w:gridCol w:w="6560"/>
      </w:tblGrid>
      <w:tr>
        <w:trPr>
          <w:cantSplit/>
          <w:tblHeader w:val="true"/>
          <w:cantSplit/>
        </w:trPr>
        <w:tc>
          <w:tcPr>
            <w:tcW w:type="dxa" w:w="11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Version</w:t>
            </w:r>
          </w:p>
        </w:tc>
        <w:tc>
          <w:tcPr>
            <w:tcW w:type="dxa" w:w="17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Date</w:t>
            </w:r>
          </w:p>
        </w:tc>
        <w:tc>
          <w:tcPr>
            <w:tcW w:type="dxa" w:w="656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Description</w:t>
            </w:r>
          </w:p>
        </w:tc>
      </w:tr>
      <w:tr>
        <w:trPr>
          <w:cantSplit/>
        </w:trPr>
        <w:tc>
          <w:tcPr>
            <w:tcW w:type="dxa" w:w="11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1.0</w:t>
            </w:r>
          </w:p>
        </w:tc>
        <w:tc>
          <w:tcPr>
            <w:tcW w:type="dxa" w:w="17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19 Aug 2026</w:t>
            </w:r>
          </w:p>
        </w:tc>
        <w:tc>
          <w:tcPr>
            <w:tcW w:type="dxa" w:w="65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Initial client-submission implementation plan</w:t>
            </w:r>
          </w:p>
        </w:tc>
      </w:tr>
    </w:tbl>
    <w:p>
      <w:pPr>
        <w:spacing w:after="20"/>
      </w:pPr>
    </w:p>
    <w:p>
      <w:pPr>
        <w:pStyle w:val="Heading1"/>
      </w:pPr>
      <w:r>
        <w:t>Table of Contents</w:t>
      </w:r>
    </w:p>
    <w:p>
      <w:pPr>
        <w:spacing w:after="20" w:line="240" w:lineRule="auto"/>
        <w:ind w:left="216"/>
      </w:pPr>
      <w:r>
        <w:rPr>
          <w:rFonts w:ascii="Calibri" w:hAnsi="Calibri"/>
          <w:b w:val="0"/>
          <w:i w:val="0"/>
          <w:color w:val="1F2937"/>
          <w:sz w:val="18"/>
        </w:rPr>
        <w:t>1. Executive Summary</w:t>
      </w:r>
    </w:p>
    <w:p>
      <w:pPr>
        <w:spacing w:after="20" w:line="240" w:lineRule="auto"/>
        <w:ind w:left="216"/>
      </w:pPr>
      <w:r>
        <w:rPr>
          <w:rFonts w:ascii="Calibri" w:hAnsi="Calibri"/>
          <w:b w:val="0"/>
          <w:i w:val="0"/>
          <w:color w:val="1F2937"/>
          <w:sz w:val="18"/>
        </w:rPr>
        <w:t>2. Business Objectives and Success Measures</w:t>
      </w:r>
    </w:p>
    <w:p>
      <w:pPr>
        <w:spacing w:after="20" w:line="240" w:lineRule="auto"/>
        <w:ind w:left="216"/>
      </w:pPr>
      <w:r>
        <w:rPr>
          <w:rFonts w:ascii="Calibri" w:hAnsi="Calibri"/>
          <w:b w:val="0"/>
          <w:i w:val="0"/>
          <w:color w:val="1F2937"/>
          <w:sz w:val="18"/>
        </w:rPr>
        <w:t>3. Scope and Delivery Principles</w:t>
      </w:r>
    </w:p>
    <w:p>
      <w:pPr>
        <w:spacing w:after="20" w:line="240" w:lineRule="auto"/>
        <w:ind w:left="216"/>
      </w:pPr>
      <w:r>
        <w:rPr>
          <w:rFonts w:ascii="Calibri" w:hAnsi="Calibri"/>
          <w:b w:val="0"/>
          <w:i w:val="0"/>
          <w:color w:val="1F2937"/>
          <w:sz w:val="18"/>
        </w:rPr>
        <w:t>4. Target Solution and Architecture</w:t>
      </w:r>
    </w:p>
    <w:p>
      <w:pPr>
        <w:spacing w:after="20" w:line="240" w:lineRule="auto"/>
        <w:ind w:left="216"/>
      </w:pPr>
      <w:r>
        <w:rPr>
          <w:rFonts w:ascii="Calibri" w:hAnsi="Calibri"/>
          <w:b w:val="0"/>
          <w:i w:val="0"/>
          <w:color w:val="1F2937"/>
          <w:sz w:val="18"/>
        </w:rPr>
        <w:t>5. Phase 1 Detailed Plan - Months 1-2</w:t>
      </w:r>
    </w:p>
    <w:p>
      <w:pPr>
        <w:spacing w:after="20" w:line="240" w:lineRule="auto"/>
        <w:ind w:left="216"/>
      </w:pPr>
      <w:r>
        <w:rPr>
          <w:rFonts w:ascii="Calibri" w:hAnsi="Calibri"/>
          <w:b w:val="0"/>
          <w:i w:val="0"/>
          <w:color w:val="1F2937"/>
          <w:sz w:val="18"/>
        </w:rPr>
        <w:t>6. Phase 2 Detailed Plan - Months 3-5</w:t>
      </w:r>
    </w:p>
    <w:p>
      <w:pPr>
        <w:spacing w:after="20" w:line="240" w:lineRule="auto"/>
        <w:ind w:left="216"/>
      </w:pPr>
      <w:r>
        <w:rPr>
          <w:rFonts w:ascii="Calibri" w:hAnsi="Calibri"/>
          <w:b w:val="0"/>
          <w:i w:val="0"/>
          <w:color w:val="1F2937"/>
          <w:sz w:val="18"/>
        </w:rPr>
        <w:t>7. Functional Requirements</w:t>
      </w:r>
    </w:p>
    <w:p>
      <w:pPr>
        <w:spacing w:after="20" w:line="240" w:lineRule="auto"/>
        <w:ind w:left="216"/>
      </w:pPr>
      <w:r>
        <w:rPr>
          <w:rFonts w:ascii="Calibri" w:hAnsi="Calibri"/>
          <w:b w:val="0"/>
          <w:i w:val="0"/>
          <w:color w:val="1F2937"/>
          <w:sz w:val="18"/>
        </w:rPr>
        <w:t>8. Non-Functional Requirements</w:t>
      </w:r>
    </w:p>
    <w:p>
      <w:pPr>
        <w:spacing w:after="20" w:line="240" w:lineRule="auto"/>
        <w:ind w:left="216"/>
      </w:pPr>
      <w:r>
        <w:rPr>
          <w:rFonts w:ascii="Calibri" w:hAnsi="Calibri"/>
          <w:b w:val="0"/>
          <w:i w:val="0"/>
          <w:color w:val="1F2937"/>
          <w:sz w:val="18"/>
        </w:rPr>
        <w:t>9. Testing and Acceptance</w:t>
      </w:r>
    </w:p>
    <w:p>
      <w:pPr>
        <w:spacing w:after="20" w:line="240" w:lineRule="auto"/>
        <w:ind w:left="216"/>
      </w:pPr>
      <w:r>
        <w:rPr>
          <w:rFonts w:ascii="Calibri" w:hAnsi="Calibri"/>
          <w:b w:val="0"/>
          <w:i w:val="0"/>
          <w:color w:val="1F2937"/>
          <w:sz w:val="18"/>
        </w:rPr>
        <w:t>10. Delivery Governance and Team</w:t>
      </w:r>
    </w:p>
    <w:p>
      <w:pPr>
        <w:spacing w:after="20" w:line="240" w:lineRule="auto"/>
        <w:ind w:left="216"/>
      </w:pPr>
      <w:r>
        <w:rPr>
          <w:rFonts w:ascii="Calibri" w:hAnsi="Calibri"/>
          <w:b w:val="0"/>
          <w:i w:val="0"/>
          <w:color w:val="1F2937"/>
          <w:sz w:val="18"/>
        </w:rPr>
        <w:t>11. Dependencies, Assumptions and Risks</w:t>
      </w:r>
    </w:p>
    <w:p>
      <w:pPr>
        <w:spacing w:after="20" w:line="240" w:lineRule="auto"/>
        <w:ind w:left="216"/>
      </w:pPr>
      <w:r>
        <w:rPr>
          <w:rFonts w:ascii="Calibri" w:hAnsi="Calibri"/>
          <w:b w:val="0"/>
          <w:i w:val="0"/>
          <w:color w:val="1F2937"/>
          <w:sz w:val="18"/>
        </w:rPr>
        <w:t>12. Phase 3 and Beyond - Monthly Roadmap</w:t>
      </w:r>
    </w:p>
    <w:p>
      <w:pPr>
        <w:spacing w:after="20" w:line="240" w:lineRule="auto"/>
        <w:ind w:left="216"/>
      </w:pPr>
      <w:r>
        <w:rPr>
          <w:rFonts w:ascii="Calibri" w:hAnsi="Calibri"/>
          <w:b w:val="0"/>
          <w:i w:val="0"/>
          <w:color w:val="1F2937"/>
          <w:sz w:val="18"/>
        </w:rPr>
        <w:t>13. Handover, Support and Approval</w:t>
      </w:r>
    </w:p>
    <w:p>
      <w:pPr>
        <w:pStyle w:val="Heading1"/>
        <w:pageBreakBefore/>
      </w:pPr>
      <w:r>
        <w:t>1. Executive Summary</w:t>
      </w:r>
    </w:p>
    <w:p>
      <w:pPr>
        <w:spacing w:after="140" w:line="300" w:lineRule="auto"/>
        <w:jc w:val="both"/>
      </w:pPr>
      <w:r>
        <w:rPr>
          <w:rFonts w:ascii="Calibri" w:hAnsi="Calibri"/>
          <w:b w:val="0"/>
          <w:i w:val="0"/>
          <w:color w:val="1F2937"/>
          <w:sz w:val="21"/>
        </w:rPr>
        <w:t>This proposal defines a controlled five-month implementation of a business-to-consumer transportation online travel agency platform. The plan converts the broader modular architecture into a launchable first release, while preserving a scalable integration structure for later suppliers, categories, loyalty, marketing automation, mobile applications and AI services.</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150" w:type="dxa"/>
              <w:start w:w="180" w:type="dxa"/>
              <w:bottom w:w="150" w:type="dxa"/>
              <w:end w:w="180" w:type="dxa"/>
            </w:tcMar>
            <w:vAlign w:val="center"/>
            <w:shd w:fill="F4F6F9"/>
          </w:tcPr>
          <w:p>
            <w:pPr>
              <w:spacing w:after="60"/>
            </w:pPr>
            <w:r>
              <w:rPr>
                <w:rFonts w:ascii="Calibri" w:hAnsi="Calibri"/>
                <w:b/>
                <w:i w:val="0"/>
                <w:color w:val="1F7A5A"/>
                <w:sz w:val="21"/>
              </w:rPr>
              <w:t xml:space="preserve">Five-month commitment  </w:t>
            </w:r>
            <w:r>
              <w:rPr>
                <w:rFonts w:ascii="Calibri" w:hAnsi="Calibri"/>
                <w:b w:val="0"/>
                <w:i w:val="0"/>
                <w:color w:val="1F2937"/>
                <w:sz w:val="21"/>
              </w:rPr>
              <w:t>Phase 1 establishes the platform and proves the complete search-to-book flow. Phase 2 adds production payment, operational order management, voucher/ticket delivery, one supplier integration, refunds, security controls, monitoring, user acceptance testing and production launch.</w:t>
            </w:r>
          </w:p>
        </w:tc>
      </w:tr>
    </w:tbl>
    <w:p>
      <w:pPr>
        <w:spacing w:after="20"/>
      </w:pPr>
    </w:p>
    <w:p>
      <w:pPr>
        <w:pStyle w:val="Heading2"/>
      </w:pPr>
      <w:r>
        <w:t>1.1 Recommended launch scope</w:t>
      </w:r>
    </w:p>
    <w:p>
      <w:pPr>
        <w:pStyle w:val="ListBullet"/>
        <w:spacing w:after="60" w:line="276" w:lineRule="auto"/>
      </w:pPr>
      <w:r>
        <w:rPr>
          <w:rFonts w:ascii="Calibri" w:hAnsi="Calibri"/>
          <w:b w:val="0"/>
          <w:i w:val="0"/>
          <w:color w:val="1F2937"/>
          <w:sz w:val="21"/>
        </w:rPr>
        <w:t>One transport category or a tightly related family of transport products.</w:t>
      </w:r>
    </w:p>
    <w:p>
      <w:pPr>
        <w:pStyle w:val="ListBullet"/>
        <w:spacing w:after="60" w:line="276" w:lineRule="auto"/>
      </w:pPr>
      <w:r>
        <w:rPr>
          <w:rFonts w:ascii="Calibri" w:hAnsi="Calibri"/>
          <w:b w:val="0"/>
          <w:i w:val="0"/>
          <w:color w:val="1F2937"/>
          <w:sz w:val="21"/>
        </w:rPr>
        <w:t>One primary supplier integration; manual inventory fallback supported.</w:t>
      </w:r>
    </w:p>
    <w:p>
      <w:pPr>
        <w:pStyle w:val="ListBullet"/>
        <w:spacing w:after="60" w:line="276" w:lineRule="auto"/>
      </w:pPr>
      <w:r>
        <w:rPr>
          <w:rFonts w:ascii="Calibri" w:hAnsi="Calibri"/>
          <w:b w:val="0"/>
          <w:i w:val="0"/>
          <w:color w:val="1F2937"/>
          <w:sz w:val="21"/>
        </w:rPr>
        <w:t>One production payment gateway for TWD transactions.</w:t>
      </w:r>
    </w:p>
    <w:p>
      <w:pPr>
        <w:pStyle w:val="ListBullet"/>
        <w:spacing w:after="60" w:line="276" w:lineRule="auto"/>
      </w:pPr>
      <w:r>
        <w:rPr>
          <w:rFonts w:ascii="Calibri" w:hAnsi="Calibri"/>
          <w:b w:val="0"/>
          <w:i w:val="0"/>
          <w:color w:val="1F2937"/>
          <w:sz w:val="21"/>
        </w:rPr>
        <w:t>Responsive web experience for customers, suppliers, administrators and customer service.</w:t>
      </w:r>
    </w:p>
    <w:p>
      <w:pPr>
        <w:pStyle w:val="ListBullet"/>
        <w:spacing w:after="60" w:line="276" w:lineRule="auto"/>
      </w:pPr>
      <w:r>
        <w:rPr>
          <w:rFonts w:ascii="Calibri" w:hAnsi="Calibri"/>
          <w:b w:val="0"/>
          <w:i w:val="0"/>
          <w:color w:val="1F2937"/>
          <w:sz w:val="21"/>
        </w:rPr>
        <w:t>Traditional Chinese and English interface/content framework.</w:t>
      </w:r>
    </w:p>
    <w:p>
      <w:pPr>
        <w:pStyle w:val="ListBullet"/>
        <w:spacing w:after="60" w:line="276" w:lineRule="auto"/>
      </w:pPr>
      <w:r>
        <w:rPr>
          <w:rFonts w:ascii="Calibri" w:hAnsi="Calibri"/>
          <w:b w:val="0"/>
          <w:i w:val="0"/>
          <w:color w:val="1F2937"/>
          <w:sz w:val="21"/>
        </w:rPr>
        <w:t>Email notifications at launch; LINE OA/SMS added if accounts and approvals are ready.</w:t>
      </w:r>
    </w:p>
    <w:p>
      <w:pPr>
        <w:pStyle w:val="Heading2"/>
      </w:pPr>
      <w:r>
        <w:t>1.2 Items intentionally deferred</w:t>
      </w:r>
    </w:p>
    <w:p>
      <w:pPr>
        <w:spacing w:after="140" w:line="300" w:lineRule="auto"/>
        <w:jc w:val="both"/>
      </w:pPr>
      <w:r>
        <w:rPr>
          <w:rFonts w:ascii="Calibri" w:hAnsi="Calibri"/>
          <w:b w:val="0"/>
          <w:i w:val="0"/>
          <w:color w:val="1F2937"/>
          <w:sz w:val="21"/>
        </w:rPr>
        <w:t>The first release does not attempt to reproduce every capability of a mature multi-category OTA. The following are deferred to protect schedule, quality and operational readiness: native mobile apps, hotels and attractions, multiple GDS connections, advanced membership points, affiliate settlement, complex multi-currency, AI recommendations, dynamic packaging and enterprise ERP integration.</w:t>
      </w:r>
    </w:p>
    <w:p>
      <w:pPr>
        <w:pStyle w:val="Heading2"/>
      </w:pPr>
      <w:r>
        <w:t>1.3 Delivery feasibility</w:t>
      </w:r>
    </w:p>
    <w:p>
      <w:pPr>
        <w:spacing w:after="140" w:line="300" w:lineRule="auto"/>
        <w:jc w:val="both"/>
      </w:pPr>
      <w:r>
        <w:rPr>
          <w:rFonts w:ascii="Calibri" w:hAnsi="Calibri"/>
          <w:b w:val="0"/>
          <w:i w:val="0"/>
          <w:color w:val="1F2937"/>
          <w:sz w:val="21"/>
        </w:rPr>
        <w:t>Completion in five months is feasible when the client appoints a decision-making product owner, supplier and payment contracts are initiated in Month 1, content and policies are supplied on schedule, and a dedicated cross-functional team is maintained. Delays in third-party certification may require a controlled launch with manual supplier confirmation before full API automation is activated.</w:t>
      </w:r>
    </w:p>
    <w:p>
      <w:pPr>
        <w:pStyle w:val="Heading1"/>
      </w:pPr>
      <w:r>
        <w:t>2. Business Objectives and Success Measures</w:t>
      </w:r>
    </w:p>
    <w:tbl>
      <w:tblPr>
        <w:tblStyle w:val="TableGrid"/>
        <w:tblW w:type="dxa" w:w="9360"/>
        <w:tblLayout w:type="fixed"/>
        <w:tblLook w:firstColumn="1" w:firstRow="1" w:lastColumn="0" w:lastRow="0" w:noHBand="0" w:noVBand="1" w:val="04A0"/>
        <w:jc w:val="center"/>
        <w:tblInd w:w="120" w:type="dxa"/>
      </w:tblPr>
      <w:tblGrid>
        <w:gridCol w:w="2350"/>
        <w:gridCol w:w="7010"/>
      </w:tblGrid>
      <w:tr>
        <w:trPr>
          <w:cantSplit/>
          <w:tblHeader w:val="true"/>
          <w:cantSplit/>
        </w:trPr>
        <w:tc>
          <w:tcPr>
            <w:tcW w:type="dxa" w:w="235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Objective</w:t>
            </w:r>
          </w:p>
        </w:tc>
        <w:tc>
          <w:tcPr>
            <w:tcW w:type="dxa" w:w="701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Launch measure / evidence</w:t>
            </w:r>
          </w:p>
        </w:tc>
      </w:tr>
      <w:tr>
        <w:trPr>
          <w:cantSplit/>
        </w:trPr>
        <w:tc>
          <w:tcPr>
            <w:tcW w:type="dxa" w:w="235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Customer acquisition</w:t>
            </w:r>
          </w:p>
        </w:tc>
        <w:tc>
          <w:tcPr>
            <w:tcW w:type="dxa" w:w="70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Customers can find and purchase transport services on mobile and desktop.</w:t>
            </w:r>
          </w:p>
        </w:tc>
      </w:tr>
      <w:tr>
        <w:trPr>
          <w:cantSplit/>
        </w:trPr>
        <w:tc>
          <w:tcPr>
            <w:tcW w:type="dxa" w:w="235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Transaction completion</w:t>
            </w:r>
          </w:p>
        </w:tc>
        <w:tc>
          <w:tcPr>
            <w:tcW w:type="dxa" w:w="70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Successful paid orders create a confirmed booking and customer voucher without duplicate charging.</w:t>
            </w:r>
          </w:p>
        </w:tc>
      </w:tr>
      <w:tr>
        <w:trPr>
          <w:cantSplit/>
        </w:trPr>
        <w:tc>
          <w:tcPr>
            <w:tcW w:type="dxa" w:w="235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Operational control</w:t>
            </w:r>
          </w:p>
        </w:tc>
        <w:tc>
          <w:tcPr>
            <w:tcW w:type="dxa" w:w="70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Staff can search, modify, cancel, refund and audit an order from one console.</w:t>
            </w:r>
          </w:p>
        </w:tc>
      </w:tr>
      <w:tr>
        <w:trPr>
          <w:cantSplit/>
        </w:trPr>
        <w:tc>
          <w:tcPr>
            <w:tcW w:type="dxa" w:w="235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Supplier connectivity</w:t>
            </w:r>
          </w:p>
        </w:tc>
        <w:tc>
          <w:tcPr>
            <w:tcW w:type="dxa" w:w="70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One supplier supports agreed product, availability, booking and status operations.</w:t>
            </w:r>
          </w:p>
        </w:tc>
      </w:tr>
      <w:tr>
        <w:trPr>
          <w:cantSplit/>
        </w:trPr>
        <w:tc>
          <w:tcPr>
            <w:tcW w:type="dxa" w:w="235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Financial visibility</w:t>
            </w:r>
          </w:p>
        </w:tc>
        <w:tc>
          <w:tcPr>
            <w:tcW w:type="dxa" w:w="70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Payment, refund, commission and supplier payable data are exportable and reconcilable.</w:t>
            </w:r>
          </w:p>
        </w:tc>
      </w:tr>
      <w:tr>
        <w:trPr>
          <w:cantSplit/>
        </w:trPr>
        <w:tc>
          <w:tcPr>
            <w:tcW w:type="dxa" w:w="235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Scalable foundation</w:t>
            </w:r>
          </w:p>
        </w:tc>
        <w:tc>
          <w:tcPr>
            <w:tcW w:type="dxa" w:w="70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New suppliers and services can be connected through adapters without redesigning the customer system.</w:t>
            </w:r>
          </w:p>
        </w:tc>
      </w:tr>
      <w:tr>
        <w:trPr>
          <w:cantSplit/>
        </w:trPr>
        <w:tc>
          <w:tcPr>
            <w:tcW w:type="dxa" w:w="235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Security and compliance</w:t>
            </w:r>
          </w:p>
        </w:tc>
        <w:tc>
          <w:tcPr>
            <w:tcW w:type="dxa" w:w="70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Access control, audit records, consent, encryption, backups and incident monitoring are operational.</w:t>
            </w:r>
          </w:p>
        </w:tc>
      </w:tr>
    </w:tbl>
    <w:p>
      <w:pPr>
        <w:spacing w:after="20"/>
      </w:pPr>
    </w:p>
    <w:p>
      <w:pPr>
        <w:pStyle w:val="Heading2"/>
      </w:pPr>
      <w:r>
        <w:t>2.1 Initial key performance indicators</w:t>
      </w:r>
    </w:p>
    <w:tbl>
      <w:tblPr>
        <w:tblStyle w:val="TableGrid"/>
        <w:tblW w:type="dxa" w:w="9360"/>
        <w:tblLayout w:type="fixed"/>
        <w:tblLook w:firstColumn="1" w:firstRow="1" w:lastColumn="0" w:lastRow="0" w:noHBand="0" w:noVBand="1" w:val="04A0"/>
        <w:jc w:val="center"/>
        <w:tblInd w:w="120" w:type="dxa"/>
      </w:tblPr>
      <w:tblGrid>
        <w:gridCol w:w="2800"/>
        <w:gridCol w:w="6560"/>
      </w:tblGrid>
      <w:tr>
        <w:trPr>
          <w:cantSplit/>
          <w:tblHeader w:val="true"/>
          <w:cantSplit/>
        </w:trPr>
        <w:tc>
          <w:tcPr>
            <w:tcW w:type="dxa" w:w="28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KPI</w:t>
            </w:r>
          </w:p>
        </w:tc>
        <w:tc>
          <w:tcPr>
            <w:tcW w:type="dxa" w:w="656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Target for acceptance / early operation</w:t>
            </w:r>
          </w:p>
        </w:tc>
      </w:tr>
      <w:tr>
        <w:trPr>
          <w:cantSplit/>
        </w:trPr>
        <w:tc>
          <w:tcPr>
            <w:tcW w:type="dxa" w:w="28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Critical booking path</w:t>
            </w:r>
          </w:p>
        </w:tc>
        <w:tc>
          <w:tcPr>
            <w:tcW w:type="dxa" w:w="65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100% pass rate in agreed UAT scenarios</w:t>
            </w:r>
          </w:p>
        </w:tc>
      </w:tr>
      <w:tr>
        <w:trPr>
          <w:cantSplit/>
        </w:trPr>
        <w:tc>
          <w:tcPr>
            <w:tcW w:type="dxa" w:w="28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Duplicate confirmed orders</w:t>
            </w:r>
          </w:p>
        </w:tc>
        <w:tc>
          <w:tcPr>
            <w:tcW w:type="dxa" w:w="65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Zero in controlled concurrency tests</w:t>
            </w:r>
          </w:p>
        </w:tc>
      </w:tr>
      <w:tr>
        <w:trPr>
          <w:cantSplit/>
        </w:trPr>
        <w:tc>
          <w:tcPr>
            <w:tcW w:type="dxa" w:w="28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Payment callback processing</w:t>
            </w:r>
          </w:p>
        </w:tc>
        <w:tc>
          <w:tcPr>
            <w:tcW w:type="dxa" w:w="65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Idempotent; repeat callbacks do not duplicate payment/order actions</w:t>
            </w:r>
          </w:p>
        </w:tc>
      </w:tr>
      <w:tr>
        <w:trPr>
          <w:cantSplit/>
        </w:trPr>
        <w:tc>
          <w:tcPr>
            <w:tcW w:type="dxa" w:w="28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Availability validation</w:t>
            </w:r>
          </w:p>
        </w:tc>
        <w:tc>
          <w:tcPr>
            <w:tcW w:type="dxa" w:w="65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Rechecked before booking confirmation</w:t>
            </w:r>
          </w:p>
        </w:tc>
      </w:tr>
      <w:tr>
        <w:trPr>
          <w:cantSplit/>
        </w:trPr>
        <w:tc>
          <w:tcPr>
            <w:tcW w:type="dxa" w:w="28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Critical/high security defects</w:t>
            </w:r>
          </w:p>
        </w:tc>
        <w:tc>
          <w:tcPr>
            <w:tcW w:type="dxa" w:w="65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Zero open at production launch</w:t>
            </w:r>
          </w:p>
        </w:tc>
      </w:tr>
      <w:tr>
        <w:trPr>
          <w:cantSplit/>
        </w:trPr>
        <w:tc>
          <w:tcPr>
            <w:tcW w:type="dxa" w:w="28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Backup restoration</w:t>
            </w:r>
          </w:p>
        </w:tc>
        <w:tc>
          <w:tcPr>
            <w:tcW w:type="dxa" w:w="65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Successful documented restoration test</w:t>
            </w:r>
          </w:p>
        </w:tc>
      </w:tr>
      <w:tr>
        <w:trPr>
          <w:cantSplit/>
        </w:trPr>
        <w:tc>
          <w:tcPr>
            <w:tcW w:type="dxa" w:w="28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Operational training</w:t>
            </w:r>
          </w:p>
        </w:tc>
        <w:tc>
          <w:tcPr>
            <w:tcW w:type="dxa" w:w="65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Administrator and customer-service representatives complete training</w:t>
            </w:r>
          </w:p>
        </w:tc>
      </w:tr>
      <w:tr>
        <w:trPr>
          <w:cantSplit/>
        </w:trPr>
        <w:tc>
          <w:tcPr>
            <w:tcW w:type="dxa" w:w="28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Service monitoring</w:t>
            </w:r>
          </w:p>
        </w:tc>
        <w:tc>
          <w:tcPr>
            <w:tcW w:type="dxa" w:w="65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Alerts configured for booking, payment and supplier API failures</w:t>
            </w:r>
          </w:p>
        </w:tc>
      </w:tr>
    </w:tbl>
    <w:p>
      <w:pPr>
        <w:spacing w:after="20"/>
      </w:pPr>
    </w:p>
    <w:p>
      <w:pPr>
        <w:pStyle w:val="Heading1"/>
      </w:pPr>
      <w:r>
        <w:t>3. Scope and Delivery Principles</w:t>
      </w:r>
    </w:p>
    <w:p>
      <w:pPr>
        <w:pStyle w:val="Heading2"/>
      </w:pPr>
      <w:r>
        <w:t>3.1 In-scope modules for the five-month release</w:t>
      </w:r>
    </w:p>
    <w:tbl>
      <w:tblPr>
        <w:tblStyle w:val="TableGrid"/>
        <w:tblW w:type="dxa" w:w="9360"/>
        <w:tblLayout w:type="fixed"/>
        <w:tblLook w:firstColumn="1" w:firstRow="1" w:lastColumn="0" w:lastRow="0" w:noHBand="0" w:noVBand="1" w:val="04A0"/>
        <w:jc w:val="center"/>
        <w:tblInd w:w="120" w:type="dxa"/>
      </w:tblPr>
      <w:tblGrid>
        <w:gridCol w:w="2050"/>
        <w:gridCol w:w="7310"/>
      </w:tblGrid>
      <w:tr>
        <w:trPr>
          <w:cantSplit/>
          <w:tblHeader w:val="true"/>
          <w:cantSplit/>
        </w:trPr>
        <w:tc>
          <w:tcPr>
            <w:tcW w:type="dxa" w:w="205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Module</w:t>
            </w:r>
          </w:p>
        </w:tc>
        <w:tc>
          <w:tcPr>
            <w:tcW w:type="dxa" w:w="731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Phase 1-2 launch scope</w:t>
            </w:r>
          </w:p>
        </w:tc>
      </w:tr>
      <w:tr>
        <w:trPr>
          <w:cantSplit/>
        </w:trPr>
        <w:tc>
          <w:tcPr>
            <w:tcW w:type="dxa" w:w="205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Member Center</w:t>
            </w:r>
          </w:p>
        </w:tc>
        <w:tc>
          <w:tcPr>
            <w:tcW w:type="dxa" w:w="73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Registration, login, OTP, password reset, profile, passenger details, order history, favorites/privacy requests.</w:t>
            </w:r>
          </w:p>
        </w:tc>
      </w:tr>
      <w:tr>
        <w:trPr>
          <w:cantSplit/>
        </w:trPr>
        <w:tc>
          <w:tcPr>
            <w:tcW w:type="dxa" w:w="205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Product Discovery</w:t>
            </w:r>
          </w:p>
        </w:tc>
        <w:tc>
          <w:tcPr>
            <w:tcW w:type="dxa" w:w="73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Keyword/route/date/passenger search, filters, sorting, product detail, schedules, availability and multilingual content.</w:t>
            </w:r>
          </w:p>
        </w:tc>
      </w:tr>
      <w:tr>
        <w:trPr>
          <w:cantSplit/>
        </w:trPr>
        <w:tc>
          <w:tcPr>
            <w:tcW w:type="dxa" w:w="205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Booking and Checkout</w:t>
            </w:r>
          </w:p>
        </w:tc>
        <w:tc>
          <w:tcPr>
            <w:tcW w:type="dxa" w:w="73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Selection, optional services, passenger data, price breakdown, coupon, consent, inventory hold and checkout.</w:t>
            </w:r>
          </w:p>
        </w:tc>
      </w:tr>
      <w:tr>
        <w:trPr>
          <w:cantSplit/>
        </w:trPr>
        <w:tc>
          <w:tcPr>
            <w:tcW w:type="dxa" w:w="205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Order Management</w:t>
            </w:r>
          </w:p>
        </w:tc>
        <w:tc>
          <w:tcPr>
            <w:tcW w:type="dxa" w:w="73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Status workflow, customer and operations views, modifications, cancellation, refund, notes, exports and audit trail.</w:t>
            </w:r>
          </w:p>
        </w:tc>
      </w:tr>
      <w:tr>
        <w:trPr>
          <w:cantSplit/>
        </w:trPr>
        <w:tc>
          <w:tcPr>
            <w:tcW w:type="dxa" w:w="205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Supplier Connection</w:t>
            </w:r>
          </w:p>
        </w:tc>
        <w:tc>
          <w:tcPr>
            <w:tcW w:type="dxa" w:w="73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One adapter for product/availability/price/booking/status/cancellation based on supplier capability.</w:t>
            </w:r>
          </w:p>
        </w:tc>
      </w:tr>
      <w:tr>
        <w:trPr>
          <w:cantSplit/>
        </w:trPr>
        <w:tc>
          <w:tcPr>
            <w:tcW w:type="dxa" w:w="205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Marketing - Basic</w:t>
            </w:r>
          </w:p>
        </w:tc>
        <w:tc>
          <w:tcPr>
            <w:tcW w:type="dxa" w:w="73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Fixed/percentage coupons, limits, validity, campaign banners and UTM/referral capture.</w:t>
            </w:r>
          </w:p>
        </w:tc>
      </w:tr>
      <w:tr>
        <w:trPr>
          <w:cantSplit/>
        </w:trPr>
        <w:tc>
          <w:tcPr>
            <w:tcW w:type="dxa" w:w="205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Central Data Hub</w:t>
            </w:r>
          </w:p>
        </w:tc>
        <w:tc>
          <w:tcPr>
            <w:tcW w:type="dxa" w:w="73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API gateway, authentication, routing, logging, timeout/retry, versioning, rate limits and idempotency.</w:t>
            </w:r>
          </w:p>
        </w:tc>
      </w:tr>
      <w:tr>
        <w:trPr>
          <w:cantSplit/>
        </w:trPr>
        <w:tc>
          <w:tcPr>
            <w:tcW w:type="dxa" w:w="205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Shared Services</w:t>
            </w:r>
          </w:p>
        </w:tc>
        <w:tc>
          <w:tcPr>
            <w:tcW w:type="dxa" w:w="73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Email, files, voucher/PDF, QR code, monitoring, scheduled jobs, cache and backups.</w:t>
            </w:r>
          </w:p>
        </w:tc>
      </w:tr>
      <w:tr>
        <w:trPr>
          <w:cantSplit/>
        </w:trPr>
        <w:tc>
          <w:tcPr>
            <w:tcW w:type="dxa" w:w="205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Administration</w:t>
            </w:r>
          </w:p>
        </w:tc>
        <w:tc>
          <w:tcPr>
            <w:tcW w:type="dxa" w:w="73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Users/roles, products, orders, suppliers, coupons, reports, configuration and audit access.</w:t>
            </w:r>
          </w:p>
        </w:tc>
      </w:tr>
    </w:tbl>
    <w:p>
      <w:pPr>
        <w:spacing w:after="20"/>
      </w:pPr>
    </w:p>
    <w:p>
      <w:pPr>
        <w:pStyle w:val="Heading2"/>
      </w:pPr>
      <w:r>
        <w:t>3.2 Delivery principles</w:t>
      </w:r>
    </w:p>
    <w:p>
      <w:pPr>
        <w:pStyle w:val="ListBullet"/>
        <w:spacing w:after="60" w:line="276" w:lineRule="auto"/>
      </w:pPr>
      <w:r>
        <w:rPr>
          <w:rFonts w:ascii="Calibri" w:hAnsi="Calibri"/>
          <w:b w:val="0"/>
          <w:i w:val="0"/>
          <w:color w:val="1F2937"/>
          <w:sz w:val="21"/>
        </w:rPr>
        <w:t>API-first modular design with adapter isolation for external providers.</w:t>
      </w:r>
    </w:p>
    <w:p>
      <w:pPr>
        <w:pStyle w:val="ListBullet"/>
        <w:spacing w:after="60" w:line="276" w:lineRule="auto"/>
      </w:pPr>
      <w:r>
        <w:rPr>
          <w:rFonts w:ascii="Calibri" w:hAnsi="Calibri"/>
          <w:b w:val="0"/>
          <w:i w:val="0"/>
          <w:color w:val="1F2937"/>
          <w:sz w:val="21"/>
        </w:rPr>
        <w:t>Transaction safety through idempotency, explicit order states and audit history.</w:t>
      </w:r>
    </w:p>
    <w:p>
      <w:pPr>
        <w:pStyle w:val="ListBullet"/>
        <w:spacing w:after="60" w:line="276" w:lineRule="auto"/>
      </w:pPr>
      <w:r>
        <w:rPr>
          <w:rFonts w:ascii="Calibri" w:hAnsi="Calibri"/>
          <w:b w:val="0"/>
          <w:i w:val="0"/>
          <w:color w:val="1F2937"/>
          <w:sz w:val="21"/>
        </w:rPr>
        <w:t>Security and privacy by design, not postponed until final testing.</w:t>
      </w:r>
    </w:p>
    <w:p>
      <w:pPr>
        <w:pStyle w:val="ListBullet"/>
        <w:spacing w:after="60" w:line="276" w:lineRule="auto"/>
      </w:pPr>
      <w:r>
        <w:rPr>
          <w:rFonts w:ascii="Calibri" w:hAnsi="Calibri"/>
          <w:b w:val="0"/>
          <w:i w:val="0"/>
          <w:color w:val="1F2937"/>
          <w:sz w:val="21"/>
        </w:rPr>
        <w:t>Mobile-first responsive web to maximize launch reach without app-store delay.</w:t>
      </w:r>
    </w:p>
    <w:p>
      <w:pPr>
        <w:pStyle w:val="ListBullet"/>
        <w:spacing w:after="60" w:line="276" w:lineRule="auto"/>
      </w:pPr>
      <w:r>
        <w:rPr>
          <w:rFonts w:ascii="Calibri" w:hAnsi="Calibri"/>
          <w:b w:val="0"/>
          <w:i w:val="0"/>
          <w:color w:val="1F2937"/>
          <w:sz w:val="21"/>
        </w:rPr>
        <w:t>Configuration rather than source-code changes for fees, policies and product rules where practical.</w:t>
      </w:r>
    </w:p>
    <w:p>
      <w:pPr>
        <w:pStyle w:val="ListBullet"/>
        <w:spacing w:after="60" w:line="276" w:lineRule="auto"/>
      </w:pPr>
      <w:r>
        <w:rPr>
          <w:rFonts w:ascii="Calibri" w:hAnsi="Calibri"/>
          <w:b w:val="0"/>
          <w:i w:val="0"/>
          <w:color w:val="1F2937"/>
          <w:sz w:val="21"/>
        </w:rPr>
        <w:t>Feature freeze before final UAT, followed by controlled defect-only stabilization.</w:t>
      </w:r>
    </w:p>
    <w:p>
      <w:pPr>
        <w:pStyle w:val="Heading1"/>
      </w:pPr>
      <w:r>
        <w:t>4. Target Solution and Architecture</w:t>
      </w:r>
    </w:p>
    <w:p>
      <w:pPr>
        <w:spacing w:after="140" w:line="300" w:lineRule="auto"/>
        <w:jc w:val="both"/>
      </w:pPr>
      <w:r>
        <w:rPr>
          <w:rFonts w:ascii="Calibri" w:hAnsi="Calibri"/>
          <w:b w:val="0"/>
          <w:i w:val="0"/>
          <w:color w:val="1F2937"/>
          <w:sz w:val="21"/>
        </w:rPr>
        <w:t>The target architecture follows the provided seven-module concept: member center, product discovery, booking transaction, order management, supplier connection, marketing growth and a central data connection hub. The first five months implement the launch-critical portion of each module while retaining extension points for later services.</w:t>
      </w:r>
    </w:p>
    <w:p>
      <w:pPr>
        <w:jc w:val="center"/>
      </w:pPr>
      <w:r>
        <w:drawing>
          <wp:inline xmlns:a="http://schemas.openxmlformats.org/drawingml/2006/main" xmlns:pic="http://schemas.openxmlformats.org/drawingml/2006/picture">
            <wp:extent cx="5806440" cy="4252877"/>
            <wp:docPr id="1" name="Picture 1"/>
            <wp:cNvGraphicFramePr>
              <a:graphicFrameLocks noChangeAspect="1"/>
            </wp:cNvGraphicFramePr>
            <a:graphic>
              <a:graphicData uri="http://schemas.openxmlformats.org/drawingml/2006/picture">
                <pic:pic>
                  <pic:nvPicPr>
                    <pic:cNvPr id="0" name="S__108797963(1).jpg"/>
                    <pic:cNvPicPr/>
                  </pic:nvPicPr>
                  <pic:blipFill>
                    <a:blip r:embed="rId11"/>
                    <a:stretch>
                      <a:fillRect/>
                    </a:stretch>
                  </pic:blipFill>
                  <pic:spPr>
                    <a:xfrm>
                      <a:off x="0" y="0"/>
                      <a:ext cx="5806440" cy="4252877"/>
                    </a:xfrm>
                    <a:prstGeom prst="rect"/>
                  </pic:spPr>
                </pic:pic>
              </a:graphicData>
            </a:graphic>
          </wp:inline>
        </w:drawing>
      </w:r>
    </w:p>
    <w:p>
      <w:pPr>
        <w:jc w:val="center"/>
      </w:pPr>
      <w:r>
        <w:rPr>
          <w:rFonts w:ascii="Calibri" w:hAnsi="Calibri"/>
          <w:b w:val="0"/>
          <w:i/>
          <w:color w:val="5B6573"/>
          <w:sz w:val="17"/>
        </w:rPr>
        <w:t>Figure 1. Client-provided modular OTA architecture used as the planning reference.</w:t>
      </w:r>
    </w:p>
    <w:p>
      <w:pPr>
        <w:pStyle w:val="Heading2"/>
      </w:pPr>
      <w:r>
        <w:t>4.1 Logical layers</w:t>
      </w:r>
    </w:p>
    <w:tbl>
      <w:tblPr>
        <w:tblStyle w:val="TableGrid"/>
        <w:tblW w:type="dxa" w:w="9360"/>
        <w:tblLayout w:type="fixed"/>
        <w:tblLook w:firstColumn="1" w:firstRow="1" w:lastColumn="0" w:lastRow="0" w:noHBand="0" w:noVBand="1" w:val="04A0"/>
        <w:jc w:val="center"/>
        <w:tblInd w:w="120" w:type="dxa"/>
      </w:tblPr>
      <w:tblGrid>
        <w:gridCol w:w="1900"/>
        <w:gridCol w:w="7460"/>
      </w:tblGrid>
      <w:tr>
        <w:trPr>
          <w:cantSplit/>
          <w:tblHeader w:val="true"/>
          <w:cantSplit/>
        </w:trPr>
        <w:tc>
          <w:tcPr>
            <w:tcW w:type="dxa" w:w="19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Layer</w:t>
            </w:r>
          </w:p>
        </w:tc>
        <w:tc>
          <w:tcPr>
            <w:tcW w:type="dxa" w:w="746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Responsibilities</w:t>
            </w:r>
          </w:p>
        </w:tc>
      </w:tr>
      <w:tr>
        <w:trPr>
          <w:cantSplit/>
        </w:trPr>
        <w:tc>
          <w:tcPr>
            <w:tcW w:type="dxa" w:w="1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Customer channels</w:t>
            </w:r>
          </w:p>
        </w:tc>
        <w:tc>
          <w:tcPr>
            <w:tcW w:type="dxa" w:w="74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Responsive web, member center, discovery, checkout, orders and support entry points.</w:t>
            </w:r>
          </w:p>
        </w:tc>
      </w:tr>
      <w:tr>
        <w:trPr>
          <w:cantSplit/>
        </w:trPr>
        <w:tc>
          <w:tcPr>
            <w:tcW w:type="dxa" w:w="1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Business services</w:t>
            </w:r>
          </w:p>
        </w:tc>
        <w:tc>
          <w:tcPr>
            <w:tcW w:type="dxa" w:w="74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Catalog, availability, pricing, cart, booking, orders, payments, refunds, vouchers, coupons and notifications.</w:t>
            </w:r>
          </w:p>
        </w:tc>
      </w:tr>
      <w:tr>
        <w:trPr>
          <w:cantSplit/>
        </w:trPr>
        <w:tc>
          <w:tcPr>
            <w:tcW w:type="dxa" w:w="1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Central integration hub</w:t>
            </w:r>
          </w:p>
        </w:tc>
        <w:tc>
          <w:tcPr>
            <w:tcW w:type="dxa" w:w="74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Unified authentication, supplier/payment adapters, routing, validation, retries, logging and API versioning.</w:t>
            </w:r>
          </w:p>
        </w:tc>
      </w:tr>
      <w:tr>
        <w:trPr>
          <w:cantSplit/>
        </w:trPr>
        <w:tc>
          <w:tcPr>
            <w:tcW w:type="dxa" w:w="1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Data layer</w:t>
            </w:r>
          </w:p>
        </w:tc>
        <w:tc>
          <w:tcPr>
            <w:tcW w:type="dxa" w:w="74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Relational transactional data, file/object storage, cache, audit/event records and reporting extracts.</w:t>
            </w:r>
          </w:p>
        </w:tc>
      </w:tr>
      <w:tr>
        <w:trPr>
          <w:cantSplit/>
        </w:trPr>
        <w:tc>
          <w:tcPr>
            <w:tcW w:type="dxa" w:w="1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External services</w:t>
            </w:r>
          </w:p>
        </w:tc>
        <w:tc>
          <w:tcPr>
            <w:tcW w:type="dxa" w:w="74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Supplier API, payment gateway, email, LINE/SMS, electronic invoice, maps and analytics as contracted.</w:t>
            </w:r>
          </w:p>
        </w:tc>
      </w:tr>
      <w:tr>
        <w:trPr>
          <w:cantSplit/>
        </w:trPr>
        <w:tc>
          <w:tcPr>
            <w:tcW w:type="dxa" w:w="1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Operations</w:t>
            </w:r>
          </w:p>
        </w:tc>
        <w:tc>
          <w:tcPr>
            <w:tcW w:type="dxa" w:w="74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Administration, supplier portal, customer-service console, reconciliation, monitoring and incident response.</w:t>
            </w:r>
          </w:p>
        </w:tc>
      </w:tr>
    </w:tbl>
    <w:p>
      <w:pPr>
        <w:spacing w:after="20"/>
      </w:pPr>
    </w:p>
    <w:p>
      <w:pPr>
        <w:pStyle w:val="Heading2"/>
      </w:pPr>
      <w:r>
        <w:t>4.2 Recommended implementation approach</w:t>
      </w:r>
    </w:p>
    <w:p>
      <w:pPr>
        <w:spacing w:after="140" w:line="300" w:lineRule="auto"/>
        <w:jc w:val="both"/>
      </w:pPr>
      <w:r>
        <w:rPr>
          <w:rFonts w:ascii="Calibri" w:hAnsi="Calibri"/>
          <w:b w:val="0"/>
          <w:i w:val="0"/>
          <w:color w:val="1F2937"/>
          <w:sz w:val="21"/>
        </w:rPr>
        <w:t>For the first release, a modular monolith or carefully bounded service architecture is preferred over premature microservice complexity. It can be deployed with containers, a managed relational database, object storage, caching and centralized observability. Individual modules can later be separated as traffic and organizational needs justify the additional operational cost.</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150" w:type="dxa"/>
              <w:start w:w="180" w:type="dxa"/>
              <w:bottom w:w="150" w:type="dxa"/>
              <w:end w:w="180" w:type="dxa"/>
            </w:tcMar>
            <w:vAlign w:val="center"/>
            <w:shd w:fill="F4F6F9"/>
          </w:tcPr>
          <w:p>
            <w:pPr>
              <w:spacing w:after="60"/>
            </w:pPr>
            <w:r>
              <w:rPr>
                <w:rFonts w:ascii="Calibri" w:hAnsi="Calibri"/>
                <w:b/>
                <w:i w:val="0"/>
                <w:color w:val="A66B00"/>
                <w:sz w:val="21"/>
              </w:rPr>
              <w:t xml:space="preserve">Architecture boundary  </w:t>
            </w:r>
            <w:r>
              <w:rPr>
                <w:rFonts w:ascii="Calibri" w:hAnsi="Calibri"/>
                <w:b w:val="0"/>
                <w:i w:val="0"/>
                <w:color w:val="1F2937"/>
                <w:sz w:val="21"/>
              </w:rPr>
              <w:t>Kafka, Kubernetes service mesh and extensive microservices are not mandatory for the first five-month launch. They should be introduced only when scale, independent deployments or event throughput justify them.</w:t>
            </w:r>
          </w:p>
        </w:tc>
      </w:tr>
    </w:tbl>
    <w:p>
      <w:pPr>
        <w:spacing w:after="20"/>
      </w:pPr>
    </w:p>
    <w:p>
      <w:r>
        <w:br w:type="page"/>
      </w:r>
    </w:p>
    <w:p>
      <w:pPr>
        <w:pStyle w:val="Heading1"/>
      </w:pPr>
      <w:r>
        <w:t>5. Phase 1 Detailed Plan - Months 1-2</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150" w:type="dxa"/>
              <w:start w:w="180" w:type="dxa"/>
              <w:bottom w:w="150" w:type="dxa"/>
              <w:end w:w="180" w:type="dxa"/>
            </w:tcMar>
            <w:vAlign w:val="center"/>
            <w:shd w:fill="F4F6F9"/>
          </w:tcPr>
          <w:p>
            <w:pPr>
              <w:spacing w:after="60"/>
            </w:pPr>
            <w:r>
              <w:rPr>
                <w:rFonts w:ascii="Calibri" w:hAnsi="Calibri"/>
                <w:b/>
                <w:i w:val="0"/>
                <w:color w:val="1F7A5A"/>
                <w:sz w:val="21"/>
              </w:rPr>
              <w:t xml:space="preserve">Phase 1 objective  </w:t>
            </w:r>
            <w:r>
              <w:rPr>
                <w:rFonts w:ascii="Calibri" w:hAnsi="Calibri"/>
                <w:b w:val="0"/>
                <w:i w:val="0"/>
                <w:color w:val="1F2937"/>
                <w:sz w:val="21"/>
              </w:rPr>
              <w:t>Approve the solution baseline and demonstrate an end-to-end search, booking and sandbox-payment flow in the test environment.</w:t>
            </w:r>
          </w:p>
        </w:tc>
      </w:tr>
    </w:tbl>
    <w:p>
      <w:pPr>
        <w:spacing w:after="20"/>
      </w:pPr>
    </w:p>
    <w:p>
      <w:pPr>
        <w:pStyle w:val="Heading2"/>
      </w:pPr>
      <w:r>
        <w:t>5.1 Month 1 - Discovery, design and engineering foundation</w:t>
      </w:r>
    </w:p>
    <w:tbl>
      <w:tblPr>
        <w:tblStyle w:val="TableGrid"/>
        <w:tblW w:type="dxa" w:w="9360"/>
        <w:tblLayout w:type="fixed"/>
        <w:tblLook w:firstColumn="1" w:firstRow="1" w:lastColumn="0" w:lastRow="0" w:noHBand="0" w:noVBand="1" w:val="04A0"/>
        <w:jc w:val="center"/>
        <w:tblInd w:w="120" w:type="dxa"/>
      </w:tblPr>
      <w:tblGrid>
        <w:gridCol w:w="1500"/>
        <w:gridCol w:w="3510"/>
        <w:gridCol w:w="4350"/>
      </w:tblGrid>
      <w:tr>
        <w:trPr>
          <w:cantSplit/>
          <w:tblHeader w:val="true"/>
          <w:cantSplit/>
        </w:trPr>
        <w:tc>
          <w:tcPr>
            <w:tcW w:type="dxa" w:w="15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Workstream</w:t>
            </w:r>
          </w:p>
        </w:tc>
        <w:tc>
          <w:tcPr>
            <w:tcW w:type="dxa" w:w="351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Activities</w:t>
            </w:r>
          </w:p>
        </w:tc>
        <w:tc>
          <w:tcPr>
            <w:tcW w:type="dxa" w:w="435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Deliverable / exit evidence</w:t>
            </w:r>
          </w:p>
        </w:tc>
      </w:tr>
      <w:tr>
        <w:trPr>
          <w:cantSplit/>
        </w:trPr>
        <w:tc>
          <w:tcPr>
            <w:tcW w:type="dxa" w:w="15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Business analysis</w:t>
            </w:r>
          </w:p>
        </w:tc>
        <w:tc>
          <w:tcPr>
            <w:tcW w:type="dxa" w:w="3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Confirm category, booking types, passenger rules, pricing, tax/fees, cancellations, refunds, commissions, settlement and operational exceptions.</w:t>
            </w:r>
          </w:p>
        </w:tc>
        <w:tc>
          <w:tcPr>
            <w:tcW w:type="dxa" w:w="43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Approved requirements, status models and business-rule catalogue.</w:t>
            </w:r>
          </w:p>
        </w:tc>
      </w:tr>
      <w:tr>
        <w:trPr>
          <w:cantSplit/>
        </w:trPr>
        <w:tc>
          <w:tcPr>
            <w:tcW w:type="dxa" w:w="15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Experience design</w:t>
            </w:r>
          </w:p>
        </w:tc>
        <w:tc>
          <w:tcPr>
            <w:tcW w:type="dxa" w:w="3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Customer journeys and responsive designs for home, search, details, checkout, confirmation, account, supplier and admin operations.</w:t>
            </w:r>
          </w:p>
        </w:tc>
        <w:tc>
          <w:tcPr>
            <w:tcW w:type="dxa" w:w="43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Approved wireframes and clickable prototype.</w:t>
            </w:r>
          </w:p>
        </w:tc>
      </w:tr>
      <w:tr>
        <w:trPr>
          <w:cantSplit/>
        </w:trPr>
        <w:tc>
          <w:tcPr>
            <w:tcW w:type="dxa" w:w="15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Solution architecture</w:t>
            </w:r>
          </w:p>
        </w:tc>
        <w:tc>
          <w:tcPr>
            <w:tcW w:type="dxa" w:w="3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Frontend/backend boundaries, modules, integrations, environments, security model and deployment design.</w:t>
            </w:r>
          </w:p>
        </w:tc>
        <w:tc>
          <w:tcPr>
            <w:tcW w:type="dxa" w:w="43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Architecture, integration map and environment plan.</w:t>
            </w:r>
          </w:p>
        </w:tc>
      </w:tr>
      <w:tr>
        <w:trPr>
          <w:cantSplit/>
        </w:trPr>
        <w:tc>
          <w:tcPr>
            <w:tcW w:type="dxa" w:w="15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Data model</w:t>
            </w:r>
          </w:p>
        </w:tc>
        <w:tc>
          <w:tcPr>
            <w:tcW w:type="dxa" w:w="3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Users, products, routes, schedules, inventory, price, cart, booking, payment, refund, coupon, files, notification and audit entities.</w:t>
            </w:r>
          </w:p>
        </w:tc>
        <w:tc>
          <w:tcPr>
            <w:tcW w:type="dxa" w:w="43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Reviewed schema and data dictionary.</w:t>
            </w:r>
          </w:p>
        </w:tc>
      </w:tr>
      <w:tr>
        <w:trPr>
          <w:cantSplit/>
        </w:trPr>
        <w:tc>
          <w:tcPr>
            <w:tcW w:type="dxa" w:w="15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Engineering setup</w:t>
            </w:r>
          </w:p>
        </w:tc>
        <w:tc>
          <w:tcPr>
            <w:tcW w:type="dxa" w:w="3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Repositories, code standards, CI/CD, configuration, secrets, development/test environments and quality gates.</w:t>
            </w:r>
          </w:p>
        </w:tc>
        <w:tc>
          <w:tcPr>
            <w:tcW w:type="dxa" w:w="43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Deployable application shell in test environment.</w:t>
            </w:r>
          </w:p>
        </w:tc>
      </w:tr>
      <w:tr>
        <w:trPr>
          <w:cantSplit/>
        </w:trPr>
        <w:tc>
          <w:tcPr>
            <w:tcW w:type="dxa" w:w="15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Identity and access</w:t>
            </w:r>
          </w:p>
        </w:tc>
        <w:tc>
          <w:tcPr>
            <w:tcW w:type="dxa" w:w="3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Registration/login foundation, OTP abstraction, password policy, roles and permissions.</w:t>
            </w:r>
          </w:p>
        </w:tc>
        <w:tc>
          <w:tcPr>
            <w:tcW w:type="dxa" w:w="43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Authentication and role-based access demonstrated.</w:t>
            </w:r>
          </w:p>
        </w:tc>
      </w:tr>
      <w:tr>
        <w:trPr>
          <w:cantSplit/>
        </w:trPr>
        <w:tc>
          <w:tcPr>
            <w:tcW w:type="dxa" w:w="15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Central Data Hub</w:t>
            </w:r>
          </w:p>
        </w:tc>
        <w:tc>
          <w:tcPr>
            <w:tcW w:type="dxa" w:w="3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API envelope, authentication, logging, error model, versioning, timeout/retry and adapter contracts.</w:t>
            </w:r>
          </w:p>
        </w:tc>
        <w:tc>
          <w:tcPr>
            <w:tcW w:type="dxa" w:w="43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Documented gateway and stub supplier/payment adapters.</w:t>
            </w:r>
          </w:p>
        </w:tc>
      </w:tr>
    </w:tbl>
    <w:p>
      <w:pPr>
        <w:spacing w:after="20"/>
      </w:pPr>
    </w:p>
    <w:p>
      <w:pPr>
        <w:pStyle w:val="Heading3"/>
      </w:pPr>
      <w:r>
        <w:t>Month 1 acceptance gate</w:t>
      </w:r>
    </w:p>
    <w:p>
      <w:pPr>
        <w:pStyle w:val="ListBullet"/>
        <w:spacing w:after="60" w:line="276" w:lineRule="auto"/>
      </w:pPr>
      <w:r>
        <w:rPr>
          <w:rFonts w:ascii="Calibri" w:hAnsi="Calibri"/>
          <w:b w:val="0"/>
          <w:i w:val="0"/>
          <w:color w:val="1F2937"/>
          <w:sz w:val="21"/>
        </w:rPr>
        <w:t>Requirements and UX baseline approved by the product owner.</w:t>
      </w:r>
    </w:p>
    <w:p>
      <w:pPr>
        <w:pStyle w:val="ListBullet"/>
        <w:spacing w:after="60" w:line="276" w:lineRule="auto"/>
      </w:pPr>
      <w:r>
        <w:rPr>
          <w:rFonts w:ascii="Calibri" w:hAnsi="Calibri"/>
          <w:b w:val="0"/>
          <w:i w:val="0"/>
          <w:color w:val="1F2937"/>
          <w:sz w:val="21"/>
        </w:rPr>
        <w:t>Development and test environments deploy successfully through the agreed pipeline.</w:t>
      </w:r>
    </w:p>
    <w:p>
      <w:pPr>
        <w:pStyle w:val="ListBullet"/>
        <w:spacing w:after="60" w:line="276" w:lineRule="auto"/>
      </w:pPr>
      <w:r>
        <w:rPr>
          <w:rFonts w:ascii="Calibri" w:hAnsi="Calibri"/>
          <w:b w:val="0"/>
          <w:i w:val="0"/>
          <w:color w:val="1F2937"/>
          <w:sz w:val="21"/>
        </w:rPr>
        <w:t>Core schema and API conventions reviewed.</w:t>
      </w:r>
    </w:p>
    <w:p>
      <w:pPr>
        <w:pStyle w:val="ListBullet"/>
        <w:spacing w:after="60" w:line="276" w:lineRule="auto"/>
      </w:pPr>
      <w:r>
        <w:rPr>
          <w:rFonts w:ascii="Calibri" w:hAnsi="Calibri"/>
          <w:b w:val="0"/>
          <w:i w:val="0"/>
          <w:color w:val="1F2937"/>
          <w:sz w:val="21"/>
        </w:rPr>
        <w:t>Customer, supplier, operator, support and administrator permissions demonstrated.</w:t>
      </w:r>
    </w:p>
    <w:p>
      <w:pPr>
        <w:pStyle w:val="ListBullet"/>
        <w:spacing w:after="60" w:line="276" w:lineRule="auto"/>
      </w:pPr>
      <w:r>
        <w:rPr>
          <w:rFonts w:ascii="Calibri" w:hAnsi="Calibri"/>
          <w:b w:val="0"/>
          <w:i w:val="0"/>
          <w:color w:val="1F2937"/>
          <w:sz w:val="21"/>
        </w:rPr>
        <w:t>Supplier and payment onboarding owners, documentation and target dates confirmed.</w:t>
      </w:r>
    </w:p>
    <w:p>
      <w:pPr>
        <w:pStyle w:val="Heading2"/>
      </w:pPr>
      <w:r>
        <w:t>5.2 Month 2 - Functional MVP and sandbox transaction</w:t>
      </w:r>
    </w:p>
    <w:tbl>
      <w:tblPr>
        <w:tblStyle w:val="TableGrid"/>
        <w:tblW w:type="dxa" w:w="9360"/>
        <w:tblLayout w:type="fixed"/>
        <w:tblLook w:firstColumn="1" w:firstRow="1" w:lastColumn="0" w:lastRow="0" w:noHBand="0" w:noVBand="1" w:val="04A0"/>
        <w:jc w:val="center"/>
        <w:tblInd w:w="120" w:type="dxa"/>
      </w:tblPr>
      <w:tblGrid>
        <w:gridCol w:w="1500"/>
        <w:gridCol w:w="3510"/>
        <w:gridCol w:w="4350"/>
      </w:tblGrid>
      <w:tr>
        <w:trPr>
          <w:cantSplit/>
          <w:tblHeader w:val="true"/>
          <w:cantSplit/>
        </w:trPr>
        <w:tc>
          <w:tcPr>
            <w:tcW w:type="dxa" w:w="15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Workstream</w:t>
            </w:r>
          </w:p>
        </w:tc>
        <w:tc>
          <w:tcPr>
            <w:tcW w:type="dxa" w:w="351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Activities</w:t>
            </w:r>
          </w:p>
        </w:tc>
        <w:tc>
          <w:tcPr>
            <w:tcW w:type="dxa" w:w="435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Deliverable / exit evidence</w:t>
            </w:r>
          </w:p>
        </w:tc>
      </w:tr>
      <w:tr>
        <w:trPr>
          <w:cantSplit/>
        </w:trPr>
        <w:tc>
          <w:tcPr>
            <w:tcW w:type="dxa" w:w="15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Member center</w:t>
            </w:r>
          </w:p>
        </w:tc>
        <w:tc>
          <w:tcPr>
            <w:tcW w:type="dxa" w:w="3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Registration, login/logout, reset, OTP, profile, saved passengers, language and consent records.</w:t>
            </w:r>
          </w:p>
        </w:tc>
        <w:tc>
          <w:tcPr>
            <w:tcW w:type="dxa" w:w="43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Customer can create and manage an account.</w:t>
            </w:r>
          </w:p>
        </w:tc>
      </w:tr>
      <w:tr>
        <w:trPr>
          <w:cantSplit/>
        </w:trPr>
        <w:tc>
          <w:tcPr>
            <w:tcW w:type="dxa" w:w="15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Catalog management</w:t>
            </w:r>
          </w:p>
        </w:tc>
        <w:tc>
          <w:tcPr>
            <w:tcW w:type="dxa" w:w="3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Products, routes, schedules, images, descriptions, passenger types, capacity, price, options, policies and publication.</w:t>
            </w:r>
          </w:p>
        </w:tc>
        <w:tc>
          <w:tcPr>
            <w:tcW w:type="dxa" w:w="43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Administrator can publish a searchable transport product.</w:t>
            </w:r>
          </w:p>
        </w:tc>
      </w:tr>
      <w:tr>
        <w:trPr>
          <w:cantSplit/>
        </w:trPr>
        <w:tc>
          <w:tcPr>
            <w:tcW w:type="dxa" w:w="15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Discovery</w:t>
            </w:r>
          </w:p>
        </w:tc>
        <w:tc>
          <w:tcPr>
            <w:tcW w:type="dxa" w:w="3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Origin/destination/date/passengers, keyword, filters, sorting, product details and availability display.</w:t>
            </w:r>
          </w:p>
        </w:tc>
        <w:tc>
          <w:tcPr>
            <w:tcW w:type="dxa" w:w="43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Customer can locate and select an available service.</w:t>
            </w:r>
          </w:p>
        </w:tc>
      </w:tr>
      <w:tr>
        <w:trPr>
          <w:cantSplit/>
        </w:trPr>
        <w:tc>
          <w:tcPr>
            <w:tcW w:type="dxa" w:w="15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Cart and price</w:t>
            </w:r>
          </w:p>
        </w:tc>
        <w:tc>
          <w:tcPr>
            <w:tcW w:type="dxa" w:w="3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Selection, options, passenger information, line-item pricing, fees, coupon placeholder and policy acceptance.</w:t>
            </w:r>
          </w:p>
        </w:tc>
        <w:tc>
          <w:tcPr>
            <w:tcW w:type="dxa" w:w="43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Stable server-calculated checkout total.</w:t>
            </w:r>
          </w:p>
        </w:tc>
      </w:tr>
      <w:tr>
        <w:trPr>
          <w:cantSplit/>
        </w:trPr>
        <w:tc>
          <w:tcPr>
            <w:tcW w:type="dxa" w:w="15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Inventory control</w:t>
            </w:r>
          </w:p>
        </w:tc>
        <w:tc>
          <w:tcPr>
            <w:tcW w:type="dxa" w:w="3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Temporary hold, expiry, availability recheck and duplicate-submission prevention.</w:t>
            </w:r>
          </w:p>
        </w:tc>
        <w:tc>
          <w:tcPr>
            <w:tcW w:type="dxa" w:w="43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Concurrent test does not oversell controlled inventory.</w:t>
            </w:r>
          </w:p>
        </w:tc>
      </w:tr>
      <w:tr>
        <w:trPr>
          <w:cantSplit/>
        </w:trPr>
        <w:tc>
          <w:tcPr>
            <w:tcW w:type="dxa" w:w="15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Sandbox payment</w:t>
            </w:r>
          </w:p>
        </w:tc>
        <w:tc>
          <w:tcPr>
            <w:tcW w:type="dxa" w:w="3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Payment request, signed callback validation, success/failure, idempotency and inventory release.</w:t>
            </w:r>
          </w:p>
        </w:tc>
        <w:tc>
          <w:tcPr>
            <w:tcW w:type="dxa" w:w="43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Sandbox payment produces one booking outcome.</w:t>
            </w:r>
          </w:p>
        </w:tc>
      </w:tr>
      <w:tr>
        <w:trPr>
          <w:cantSplit/>
        </w:trPr>
        <w:tc>
          <w:tcPr>
            <w:tcW w:type="dxa" w:w="15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Confirmation</w:t>
            </w:r>
          </w:p>
        </w:tc>
        <w:tc>
          <w:tcPr>
            <w:tcW w:type="dxa" w:w="3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Test voucher, confirmation page, email and order history.</w:t>
            </w:r>
          </w:p>
        </w:tc>
        <w:tc>
          <w:tcPr>
            <w:tcW w:type="dxa" w:w="43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Customer sees and receives the completed test booking.</w:t>
            </w:r>
          </w:p>
        </w:tc>
      </w:tr>
    </w:tbl>
    <w:p>
      <w:pPr>
        <w:spacing w:after="20"/>
      </w:pPr>
    </w:p>
    <w:p>
      <w:pPr>
        <w:pStyle w:val="Heading3"/>
      </w:pPr>
      <w:r>
        <w:t>Phase 1 exit criteria</w:t>
      </w:r>
    </w:p>
    <w:p>
      <w:pPr>
        <w:spacing w:after="140" w:line="300" w:lineRule="auto"/>
        <w:jc w:val="both"/>
      </w:pPr>
      <w:r>
        <w:rPr>
          <w:rFonts w:ascii="Calibri" w:hAnsi="Calibri"/>
          <w:b w:val="0"/>
          <w:i w:val="0"/>
          <w:color w:val="1F2937"/>
          <w:sz w:val="21"/>
        </w:rPr>
        <w:t>An invited test user can register, search, select transport, provide passenger details, complete a sandbox payment, receive a test voucher and find the order in the member center. The order, payment and inventory records must remain consistent when the request or callback is repeated.</w:t>
      </w:r>
    </w:p>
    <w:p>
      <w:r>
        <w:br w:type="page"/>
      </w:r>
    </w:p>
    <w:p>
      <w:pPr>
        <w:pStyle w:val="Heading1"/>
      </w:pPr>
      <w:r>
        <w:t>6. Phase 2 Detailed Plan - Months 3-5</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150" w:type="dxa"/>
              <w:start w:w="180" w:type="dxa"/>
              <w:bottom w:w="150" w:type="dxa"/>
              <w:end w:w="180" w:type="dxa"/>
            </w:tcMar>
            <w:vAlign w:val="center"/>
            <w:shd w:fill="F4F6F9"/>
          </w:tcPr>
          <w:p>
            <w:pPr>
              <w:spacing w:after="60"/>
            </w:pPr>
            <w:r>
              <w:rPr>
                <w:rFonts w:ascii="Calibri" w:hAnsi="Calibri"/>
                <w:b/>
                <w:i w:val="0"/>
                <w:color w:val="1F7A5A"/>
                <w:sz w:val="21"/>
              </w:rPr>
              <w:t xml:space="preserve">Phase 2 objective  </w:t>
            </w:r>
            <w:r>
              <w:rPr>
                <w:rFonts w:ascii="Calibri" w:hAnsi="Calibri"/>
                <w:b w:val="0"/>
                <w:i w:val="0"/>
                <w:color w:val="1F2937"/>
                <w:sz w:val="21"/>
              </w:rPr>
              <w:t>Convert the MVP into an operational production service with real payment, one supplier connection, customer-service capability, security verification, training and controlled launch.</w:t>
            </w:r>
          </w:p>
        </w:tc>
      </w:tr>
    </w:tbl>
    <w:p>
      <w:pPr>
        <w:spacing w:after="20"/>
      </w:pPr>
    </w:p>
    <w:p>
      <w:pPr>
        <w:pStyle w:val="Heading2"/>
      </w:pPr>
      <w:r>
        <w:t>6.1 Month 3 - Production transaction and order operations</w:t>
      </w:r>
    </w:p>
    <w:tbl>
      <w:tblPr>
        <w:tblStyle w:val="TableGrid"/>
        <w:tblW w:type="dxa" w:w="9360"/>
        <w:tblLayout w:type="fixed"/>
        <w:tblLook w:firstColumn="1" w:firstRow="1" w:lastColumn="0" w:lastRow="0" w:noHBand="0" w:noVBand="1" w:val="04A0"/>
        <w:jc w:val="center"/>
        <w:tblInd w:w="120" w:type="dxa"/>
      </w:tblPr>
      <w:tblGrid>
        <w:gridCol w:w="1500"/>
        <w:gridCol w:w="3510"/>
        <w:gridCol w:w="4350"/>
      </w:tblGrid>
      <w:tr>
        <w:trPr>
          <w:cantSplit/>
          <w:tblHeader w:val="true"/>
          <w:cantSplit/>
        </w:trPr>
        <w:tc>
          <w:tcPr>
            <w:tcW w:type="dxa" w:w="15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Workstream</w:t>
            </w:r>
          </w:p>
        </w:tc>
        <w:tc>
          <w:tcPr>
            <w:tcW w:type="dxa" w:w="351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Activities</w:t>
            </w:r>
          </w:p>
        </w:tc>
        <w:tc>
          <w:tcPr>
            <w:tcW w:type="dxa" w:w="435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Deliverable / exit evidence</w:t>
            </w:r>
          </w:p>
        </w:tc>
      </w:tr>
      <w:tr>
        <w:trPr>
          <w:cantSplit/>
        </w:trPr>
        <w:tc>
          <w:tcPr>
            <w:tcW w:type="dxa" w:w="15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Order lifecycle</w:t>
            </w:r>
          </w:p>
        </w:tc>
        <w:tc>
          <w:tcPr>
            <w:tcW w:type="dxa" w:w="3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Draft, pending payment, paid, supplier pending, confirmed, ticketed, completed, cancelled, refund pending/refunded, failed and expired states.</w:t>
            </w:r>
          </w:p>
        </w:tc>
        <w:tc>
          <w:tcPr>
            <w:tcW w:type="dxa" w:w="43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Traceable state machine and timeline.</w:t>
            </w:r>
          </w:p>
        </w:tc>
      </w:tr>
      <w:tr>
        <w:trPr>
          <w:cantSplit/>
        </w:trPr>
        <w:tc>
          <w:tcPr>
            <w:tcW w:type="dxa" w:w="15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Payment gateway</w:t>
            </w:r>
          </w:p>
        </w:tc>
        <w:tc>
          <w:tcPr>
            <w:tcW w:type="dxa" w:w="3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Production/sandbox configuration, 3-D Secure, callback signature, reconciliation identifiers, retries, full/partial refund where supported.</w:t>
            </w:r>
          </w:p>
        </w:tc>
        <w:tc>
          <w:tcPr>
            <w:tcW w:type="dxa" w:w="43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Gateway certification scenarios completed.</w:t>
            </w:r>
          </w:p>
        </w:tc>
      </w:tr>
      <w:tr>
        <w:trPr>
          <w:cantSplit/>
        </w:trPr>
        <w:tc>
          <w:tcPr>
            <w:tcW w:type="dxa" w:w="15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Voucher and QR</w:t>
            </w:r>
          </w:p>
        </w:tc>
        <w:tc>
          <w:tcPr>
            <w:tcW w:type="dxa" w:w="3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Unique ticket identifier, PDF voucher, QR validation page, download/resend, cancellation marker and bilingual template.</w:t>
            </w:r>
          </w:p>
        </w:tc>
        <w:tc>
          <w:tcPr>
            <w:tcW w:type="dxa" w:w="43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Confirmed order generates a verifiable voucher.</w:t>
            </w:r>
          </w:p>
        </w:tc>
      </w:tr>
      <w:tr>
        <w:trPr>
          <w:cantSplit/>
        </w:trPr>
        <w:tc>
          <w:tcPr>
            <w:tcW w:type="dxa" w:w="15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Operations console</w:t>
            </w:r>
          </w:p>
        </w:tc>
        <w:tc>
          <w:tcPr>
            <w:tcW w:type="dxa" w:w="3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Order search, passenger/payment/supplier view, internal notes, resend, modification, cancellation, refund and export.</w:t>
            </w:r>
          </w:p>
        </w:tc>
        <w:tc>
          <w:tcPr>
            <w:tcW w:type="dxa" w:w="43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Support staff complete defined order scenarios.</w:t>
            </w:r>
          </w:p>
        </w:tc>
      </w:tr>
      <w:tr>
        <w:trPr>
          <w:cantSplit/>
        </w:trPr>
        <w:tc>
          <w:tcPr>
            <w:tcW w:type="dxa" w:w="15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Notifications</w:t>
            </w:r>
          </w:p>
        </w:tc>
        <w:tc>
          <w:tcPr>
            <w:tcW w:type="dxa" w:w="3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Registration, payment, booking, change, cancellation, refund and departure reminder email templates.</w:t>
            </w:r>
          </w:p>
        </w:tc>
        <w:tc>
          <w:tcPr>
            <w:tcW w:type="dxa" w:w="43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Notification delivery and retry records visible.</w:t>
            </w:r>
          </w:p>
        </w:tc>
      </w:tr>
      <w:tr>
        <w:trPr>
          <w:cantSplit/>
        </w:trPr>
        <w:tc>
          <w:tcPr>
            <w:tcW w:type="dxa" w:w="15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Auditability</w:t>
            </w:r>
          </w:p>
        </w:tc>
        <w:tc>
          <w:tcPr>
            <w:tcW w:type="dxa" w:w="3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Record actor, timestamp, before/after status, external references and sensitive operational actions.</w:t>
            </w:r>
          </w:p>
        </w:tc>
        <w:tc>
          <w:tcPr>
            <w:tcW w:type="dxa" w:w="43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Audit report supports order investigation.</w:t>
            </w:r>
          </w:p>
        </w:tc>
      </w:tr>
    </w:tbl>
    <w:p>
      <w:pPr>
        <w:spacing w:after="20"/>
      </w:pPr>
    </w:p>
    <w:p>
      <w:pPr>
        <w:pStyle w:val="Heading2"/>
      </w:pPr>
      <w:r>
        <w:t>6.2 Month 4 - Supplier, inventory and finance operations</w:t>
      </w:r>
    </w:p>
    <w:tbl>
      <w:tblPr>
        <w:tblStyle w:val="TableGrid"/>
        <w:tblW w:type="dxa" w:w="9360"/>
        <w:tblLayout w:type="fixed"/>
        <w:tblLook w:firstColumn="1" w:firstRow="1" w:lastColumn="0" w:lastRow="0" w:noHBand="0" w:noVBand="1" w:val="04A0"/>
        <w:jc w:val="center"/>
        <w:tblInd w:w="120" w:type="dxa"/>
      </w:tblPr>
      <w:tblGrid>
        <w:gridCol w:w="1500"/>
        <w:gridCol w:w="3510"/>
        <w:gridCol w:w="4350"/>
      </w:tblGrid>
      <w:tr>
        <w:trPr>
          <w:cantSplit/>
          <w:tblHeader w:val="true"/>
          <w:cantSplit/>
        </w:trPr>
        <w:tc>
          <w:tcPr>
            <w:tcW w:type="dxa" w:w="15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Workstream</w:t>
            </w:r>
          </w:p>
        </w:tc>
        <w:tc>
          <w:tcPr>
            <w:tcW w:type="dxa" w:w="351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Activities</w:t>
            </w:r>
          </w:p>
        </w:tc>
        <w:tc>
          <w:tcPr>
            <w:tcW w:type="dxa" w:w="435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Deliverable / exit evidence</w:t>
            </w:r>
          </w:p>
        </w:tc>
      </w:tr>
      <w:tr>
        <w:trPr>
          <w:cantSplit/>
        </w:trPr>
        <w:tc>
          <w:tcPr>
            <w:tcW w:type="dxa" w:w="15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Supplier adapter</w:t>
            </w:r>
          </w:p>
        </w:tc>
        <w:tc>
          <w:tcPr>
            <w:tcW w:type="dxa" w:w="3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Map agreed supplier product, availability, price, booking, confirmation, ticket, status, cancellation and refund capabilities.</w:t>
            </w:r>
          </w:p>
        </w:tc>
        <w:tc>
          <w:tcPr>
            <w:tcW w:type="dxa" w:w="43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Contract tests and supplier UAT completed for supported operations.</w:t>
            </w:r>
          </w:p>
        </w:tc>
      </w:tr>
      <w:tr>
        <w:trPr>
          <w:cantSplit/>
        </w:trPr>
        <w:tc>
          <w:tcPr>
            <w:tcW w:type="dxa" w:w="15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Synchronization</w:t>
            </w:r>
          </w:p>
        </w:tc>
        <w:tc>
          <w:tcPr>
            <w:tcW w:type="dxa" w:w="3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Scheduled/manual sync, mapping, retry, alerts, stale-data handling and reconciliation.</w:t>
            </w:r>
          </w:p>
        </w:tc>
        <w:tc>
          <w:tcPr>
            <w:tcW w:type="dxa" w:w="43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Failed sync enters a visible exception queue.</w:t>
            </w:r>
          </w:p>
        </w:tc>
      </w:tr>
      <w:tr>
        <w:trPr>
          <w:cantSplit/>
        </w:trPr>
        <w:tc>
          <w:tcPr>
            <w:tcW w:type="dxa" w:w="15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Inventory/pricing</w:t>
            </w:r>
          </w:p>
        </w:tc>
        <w:tc>
          <w:tcPr>
            <w:tcW w:type="dxa" w:w="3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Live recheck, hold, markup, commission, fee, tax, sold-out handling and manual override.</w:t>
            </w:r>
          </w:p>
        </w:tc>
        <w:tc>
          <w:tcPr>
            <w:tcW w:type="dxa" w:w="43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Displayed and charged amounts match agreed calculation rules.</w:t>
            </w:r>
          </w:p>
        </w:tc>
      </w:tr>
      <w:tr>
        <w:trPr>
          <w:cantSplit/>
        </w:trPr>
        <w:tc>
          <w:tcPr>
            <w:tcW w:type="dxa" w:w="15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Supplier portal</w:t>
            </w:r>
          </w:p>
        </w:tc>
        <w:tc>
          <w:tcPr>
            <w:tcW w:type="dxa" w:w="3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Products/schedules/availability/pricing, booking list, confirmation/rejection, voucher upload and settlement export.</w:t>
            </w:r>
          </w:p>
        </w:tc>
        <w:tc>
          <w:tcPr>
            <w:tcW w:type="dxa" w:w="43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Supplier operator completes assigned scenarios.</w:t>
            </w:r>
          </w:p>
        </w:tc>
      </w:tr>
      <w:tr>
        <w:trPr>
          <w:cantSplit/>
        </w:trPr>
        <w:tc>
          <w:tcPr>
            <w:tcW w:type="dxa" w:w="15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Customer service</w:t>
            </w:r>
          </w:p>
        </w:tc>
        <w:tc>
          <w:tcPr>
            <w:tcW w:type="dxa" w:w="3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Unified lookup, notes, escalation, modification, cancellation and refund workflow.</w:t>
            </w:r>
          </w:p>
        </w:tc>
        <w:tc>
          <w:tcPr>
            <w:tcW w:type="dxa" w:w="43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Support team can resolve test cases without database access.</w:t>
            </w:r>
          </w:p>
        </w:tc>
      </w:tr>
      <w:tr>
        <w:trPr>
          <w:cantSplit/>
        </w:trPr>
        <w:tc>
          <w:tcPr>
            <w:tcW w:type="dxa" w:w="15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Finance basics</w:t>
            </w:r>
          </w:p>
        </w:tc>
        <w:tc>
          <w:tcPr>
            <w:tcW w:type="dxa" w:w="3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Gross value, supplier cost, discount, commission, refund, receivable/payable and gateway reconciliation export.</w:t>
            </w:r>
          </w:p>
        </w:tc>
        <w:tc>
          <w:tcPr>
            <w:tcW w:type="dxa" w:w="43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Finance validates sample settlement output.</w:t>
            </w:r>
          </w:p>
        </w:tc>
      </w:tr>
    </w:tbl>
    <w:p>
      <w:pPr>
        <w:spacing w:after="20"/>
      </w:pPr>
    </w:p>
    <w:p>
      <w:pPr>
        <w:pStyle w:val="Heading2"/>
      </w:pPr>
      <w:r>
        <w:t>6.3 Month 5 - Hardening, UAT and production launch</w:t>
      </w:r>
    </w:p>
    <w:tbl>
      <w:tblPr>
        <w:tblStyle w:val="TableGrid"/>
        <w:tblW w:type="dxa" w:w="9360"/>
        <w:tblLayout w:type="fixed"/>
        <w:tblLook w:firstColumn="1" w:firstRow="1" w:lastColumn="0" w:lastRow="0" w:noHBand="0" w:noVBand="1" w:val="04A0"/>
        <w:jc w:val="center"/>
        <w:tblInd w:w="120" w:type="dxa"/>
      </w:tblPr>
      <w:tblGrid>
        <w:gridCol w:w="1500"/>
        <w:gridCol w:w="3510"/>
        <w:gridCol w:w="4350"/>
      </w:tblGrid>
      <w:tr>
        <w:trPr>
          <w:cantSplit/>
          <w:tblHeader w:val="true"/>
          <w:cantSplit/>
        </w:trPr>
        <w:tc>
          <w:tcPr>
            <w:tcW w:type="dxa" w:w="15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Workstream</w:t>
            </w:r>
          </w:p>
        </w:tc>
        <w:tc>
          <w:tcPr>
            <w:tcW w:type="dxa" w:w="351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Activities</w:t>
            </w:r>
          </w:p>
        </w:tc>
        <w:tc>
          <w:tcPr>
            <w:tcW w:type="dxa" w:w="435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Deliverable / exit evidence</w:t>
            </w:r>
          </w:p>
        </w:tc>
      </w:tr>
      <w:tr>
        <w:trPr>
          <w:cantSplit/>
        </w:trPr>
        <w:tc>
          <w:tcPr>
            <w:tcW w:type="dxa" w:w="15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Basic marketing</w:t>
            </w:r>
          </w:p>
        </w:tc>
        <w:tc>
          <w:tcPr>
            <w:tcW w:type="dxa" w:w="3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Fixed/percentage coupons, date and quantity limits, product eligibility, campaign banners and UTM capture.</w:t>
            </w:r>
          </w:p>
        </w:tc>
        <w:tc>
          <w:tcPr>
            <w:tcW w:type="dxa" w:w="43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Approved promotion rules pass positive and negative tests.</w:t>
            </w:r>
          </w:p>
        </w:tc>
      </w:tr>
      <w:tr>
        <w:trPr>
          <w:cantSplit/>
        </w:trPr>
        <w:tc>
          <w:tcPr>
            <w:tcW w:type="dxa" w:w="15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Security/privacy</w:t>
            </w:r>
          </w:p>
        </w:tc>
        <w:tc>
          <w:tcPr>
            <w:tcW w:type="dxa" w:w="3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OWASP review, access tests, encryption, secret handling, rate limiting, admin 2FA, masking, consent, data export/deletion and vulnerability remediation.</w:t>
            </w:r>
          </w:p>
        </w:tc>
        <w:tc>
          <w:tcPr>
            <w:tcW w:type="dxa" w:w="43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No open critical/high launch-blocking issue.</w:t>
            </w:r>
          </w:p>
        </w:tc>
      </w:tr>
      <w:tr>
        <w:trPr>
          <w:cantSplit/>
        </w:trPr>
        <w:tc>
          <w:tcPr>
            <w:tcW w:type="dxa" w:w="15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Performance/reliability</w:t>
            </w:r>
          </w:p>
        </w:tc>
        <w:tc>
          <w:tcPr>
            <w:tcW w:type="dxa" w:w="3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Load tests, slow-query review, caching, timeout/retry, backup/restore, failure simulation and runbooks.</w:t>
            </w:r>
          </w:p>
        </w:tc>
        <w:tc>
          <w:tcPr>
            <w:tcW w:type="dxa" w:w="43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Performance and restoration evidence accepted.</w:t>
            </w:r>
          </w:p>
        </w:tc>
      </w:tr>
      <w:tr>
        <w:trPr>
          <w:cantSplit/>
        </w:trPr>
        <w:tc>
          <w:tcPr>
            <w:tcW w:type="dxa" w:w="15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Observability</w:t>
            </w:r>
          </w:p>
        </w:tc>
        <w:tc>
          <w:tcPr>
            <w:tcW w:type="dxa" w:w="3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Application, payment, supplier, sync, database and infrastructure logs/metrics/alerts.</w:t>
            </w:r>
          </w:p>
        </w:tc>
        <w:tc>
          <w:tcPr>
            <w:tcW w:type="dxa" w:w="43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Test incident triggers and reaches assigned owner.</w:t>
            </w:r>
          </w:p>
        </w:tc>
      </w:tr>
      <w:tr>
        <w:trPr>
          <w:cantSplit/>
        </w:trPr>
        <w:tc>
          <w:tcPr>
            <w:tcW w:type="dxa" w:w="15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UAT</w:t>
            </w:r>
          </w:p>
        </w:tc>
        <w:tc>
          <w:tcPr>
            <w:tcW w:type="dxa" w:w="3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Scripted customer, supplier, operations, refund, finance and exception scenarios.</w:t>
            </w:r>
          </w:p>
        </w:tc>
        <w:tc>
          <w:tcPr>
            <w:tcW w:type="dxa" w:w="43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Signed UAT acceptance; agreed defects closed/deferred.</w:t>
            </w:r>
          </w:p>
        </w:tc>
      </w:tr>
      <w:tr>
        <w:trPr>
          <w:cantSplit/>
        </w:trPr>
        <w:tc>
          <w:tcPr>
            <w:tcW w:type="dxa" w:w="15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Launch</w:t>
            </w:r>
          </w:p>
        </w:tc>
        <w:tc>
          <w:tcPr>
            <w:tcW w:type="dxa" w:w="3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Data/content load, configuration, training, cutover rehearsal, soft launch, monitoring and public launch.</w:t>
            </w:r>
          </w:p>
        </w:tc>
        <w:tc>
          <w:tcPr>
            <w:tcW w:type="dxa" w:w="43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Production go-live checklist approved.</w:t>
            </w:r>
          </w:p>
        </w:tc>
      </w:tr>
    </w:tbl>
    <w:p>
      <w:pPr>
        <w:spacing w:after="20"/>
      </w:pPr>
    </w:p>
    <w:p>
      <w:pPr>
        <w:pStyle w:val="Heading2"/>
      </w:pPr>
      <w:r>
        <w:t>6.4 Five-month milestone schedule</w:t>
      </w:r>
    </w:p>
    <w:tbl>
      <w:tblPr>
        <w:tblStyle w:val="TableGrid"/>
        <w:tblW w:type="dxa" w:w="9360"/>
        <w:tblLayout w:type="fixed"/>
        <w:tblLook w:firstColumn="1" w:firstRow="1" w:lastColumn="0" w:lastRow="0" w:noHBand="0" w:noVBand="1" w:val="04A0"/>
        <w:jc w:val="center"/>
        <w:tblInd w:w="120" w:type="dxa"/>
      </w:tblPr>
      <w:tblGrid>
        <w:gridCol w:w="2600"/>
        <w:gridCol w:w="1700"/>
        <w:gridCol w:w="5060"/>
      </w:tblGrid>
      <w:tr>
        <w:trPr>
          <w:cantSplit/>
          <w:tblHeader w:val="true"/>
          <w:cantSplit/>
        </w:trPr>
        <w:tc>
          <w:tcPr>
            <w:tcW w:type="dxa" w:w="26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Milestone</w:t>
            </w:r>
          </w:p>
        </w:tc>
        <w:tc>
          <w:tcPr>
            <w:tcW w:type="dxa" w:w="17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Target</w:t>
            </w:r>
          </w:p>
        </w:tc>
        <w:tc>
          <w:tcPr>
            <w:tcW w:type="dxa" w:w="506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Approval evidence</w:t>
            </w:r>
          </w:p>
        </w:tc>
      </w:tr>
      <w:tr>
        <w:trPr>
          <w:cantSplit/>
        </w:trPr>
        <w:tc>
          <w:tcPr>
            <w:tcW w:type="dxa" w:w="26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M1 - Solution baseline</w:t>
            </w:r>
          </w:p>
        </w:tc>
        <w:tc>
          <w:tcPr>
            <w:tcW w:type="dxa" w:w="17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End Month 1</w:t>
            </w:r>
          </w:p>
        </w:tc>
        <w:tc>
          <w:tcPr>
            <w:tcW w:type="dxa" w:w="50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Requirements, UX, architecture and integration plan approved.</w:t>
            </w:r>
          </w:p>
        </w:tc>
      </w:tr>
      <w:tr>
        <w:trPr>
          <w:cantSplit/>
        </w:trPr>
        <w:tc>
          <w:tcPr>
            <w:tcW w:type="dxa" w:w="26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M2 - MVP complete</w:t>
            </w:r>
          </w:p>
        </w:tc>
        <w:tc>
          <w:tcPr>
            <w:tcW w:type="dxa" w:w="17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End Month 2</w:t>
            </w:r>
          </w:p>
        </w:tc>
        <w:tc>
          <w:tcPr>
            <w:tcW w:type="dxa" w:w="50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Sandbox search-to-book demonstration accepted.</w:t>
            </w:r>
          </w:p>
        </w:tc>
      </w:tr>
      <w:tr>
        <w:trPr>
          <w:cantSplit/>
        </w:trPr>
        <w:tc>
          <w:tcPr>
            <w:tcW w:type="dxa" w:w="26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M3 - Transaction operations</w:t>
            </w:r>
          </w:p>
        </w:tc>
        <w:tc>
          <w:tcPr>
            <w:tcW w:type="dxa" w:w="17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End Month 3</w:t>
            </w:r>
          </w:p>
        </w:tc>
        <w:tc>
          <w:tcPr>
            <w:tcW w:type="dxa" w:w="50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Production payment/order/voucher workflows pass integration testing.</w:t>
            </w:r>
          </w:p>
        </w:tc>
      </w:tr>
      <w:tr>
        <w:trPr>
          <w:cantSplit/>
        </w:trPr>
        <w:tc>
          <w:tcPr>
            <w:tcW w:type="dxa" w:w="26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M4 - Supplier operations</w:t>
            </w:r>
          </w:p>
        </w:tc>
        <w:tc>
          <w:tcPr>
            <w:tcW w:type="dxa" w:w="17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End Month 4</w:t>
            </w:r>
          </w:p>
        </w:tc>
        <w:tc>
          <w:tcPr>
            <w:tcW w:type="dxa" w:w="50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First supplier, support and finance workflows pass integration testing.</w:t>
            </w:r>
          </w:p>
        </w:tc>
      </w:tr>
      <w:tr>
        <w:trPr>
          <w:cantSplit/>
        </w:trPr>
        <w:tc>
          <w:tcPr>
            <w:tcW w:type="dxa" w:w="26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M5 - Production release</w:t>
            </w:r>
          </w:p>
        </w:tc>
        <w:tc>
          <w:tcPr>
            <w:tcW w:type="dxa" w:w="17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End Month 5</w:t>
            </w:r>
          </w:p>
        </w:tc>
        <w:tc>
          <w:tcPr>
            <w:tcW w:type="dxa" w:w="50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UAT, security, training and go-live gates approved.</w:t>
            </w:r>
          </w:p>
        </w:tc>
      </w:tr>
    </w:tbl>
    <w:p>
      <w:pPr>
        <w:spacing w:after="20"/>
      </w:pPr>
    </w:p>
    <w:p>
      <w:pPr>
        <w:pStyle w:val="Heading1"/>
      </w:pPr>
      <w:r>
        <w:t>7. Functional Requirements</w:t>
      </w:r>
    </w:p>
    <w:p>
      <w:pPr>
        <w:pStyle w:val="Heading2"/>
      </w:pPr>
      <w:r>
        <w:t>7.1 Customer functions</w:t>
      </w:r>
    </w:p>
    <w:p>
      <w:pPr>
        <w:pStyle w:val="ListBullet"/>
        <w:spacing w:after="60" w:line="276" w:lineRule="auto"/>
      </w:pPr>
      <w:r>
        <w:rPr>
          <w:rFonts w:ascii="Calibri" w:hAnsi="Calibri"/>
          <w:b w:val="0"/>
          <w:i w:val="0"/>
          <w:color w:val="1F2937"/>
          <w:sz w:val="21"/>
        </w:rPr>
        <w:t>Create an account, verify contact information, log in securely, reset credentials and manage profile/privacy requests.</w:t>
      </w:r>
    </w:p>
    <w:p>
      <w:pPr>
        <w:pStyle w:val="ListBullet"/>
        <w:spacing w:after="60" w:line="276" w:lineRule="auto"/>
      </w:pPr>
      <w:r>
        <w:rPr>
          <w:rFonts w:ascii="Calibri" w:hAnsi="Calibri"/>
          <w:b w:val="0"/>
          <w:i w:val="0"/>
          <w:color w:val="1F2937"/>
          <w:sz w:val="21"/>
        </w:rPr>
        <w:t>Search by origin, destination, travel date and passenger quantity; filter and sort results.</w:t>
      </w:r>
    </w:p>
    <w:p>
      <w:pPr>
        <w:pStyle w:val="ListBullet"/>
        <w:spacing w:after="60" w:line="276" w:lineRule="auto"/>
      </w:pPr>
      <w:r>
        <w:rPr>
          <w:rFonts w:ascii="Calibri" w:hAnsi="Calibri"/>
          <w:b w:val="0"/>
          <w:i w:val="0"/>
          <w:color w:val="1F2937"/>
          <w:sz w:val="21"/>
        </w:rPr>
        <w:t>Review product descriptions, schedules, availability, passenger rules, inclusions, exclusions and cancellation policy.</w:t>
      </w:r>
    </w:p>
    <w:p>
      <w:pPr>
        <w:pStyle w:val="ListBullet"/>
        <w:spacing w:after="60" w:line="276" w:lineRule="auto"/>
      </w:pPr>
      <w:r>
        <w:rPr>
          <w:rFonts w:ascii="Calibri" w:hAnsi="Calibri"/>
          <w:b w:val="0"/>
          <w:i w:val="0"/>
          <w:color w:val="1F2937"/>
          <w:sz w:val="21"/>
        </w:rPr>
        <w:t>Select options, provide passenger/contact data, review server-calculated price and accept terms.</w:t>
      </w:r>
    </w:p>
    <w:p>
      <w:pPr>
        <w:pStyle w:val="ListBullet"/>
        <w:spacing w:after="60" w:line="276" w:lineRule="auto"/>
      </w:pPr>
      <w:r>
        <w:rPr>
          <w:rFonts w:ascii="Calibri" w:hAnsi="Calibri"/>
          <w:b w:val="0"/>
          <w:i w:val="0"/>
          <w:color w:val="1F2937"/>
          <w:sz w:val="21"/>
        </w:rPr>
        <w:t>Pay through the approved gateway and receive a deterministic success, failure or pending result.</w:t>
      </w:r>
    </w:p>
    <w:p>
      <w:pPr>
        <w:pStyle w:val="ListBullet"/>
        <w:spacing w:after="60" w:line="276" w:lineRule="auto"/>
      </w:pPr>
      <w:r>
        <w:rPr>
          <w:rFonts w:ascii="Calibri" w:hAnsi="Calibri"/>
          <w:b w:val="0"/>
          <w:i w:val="0"/>
          <w:color w:val="1F2937"/>
          <w:sz w:val="21"/>
        </w:rPr>
        <w:t>Receive and retrieve confirmation, QR/PDF voucher, reminders and order status.</w:t>
      </w:r>
    </w:p>
    <w:p>
      <w:pPr>
        <w:pStyle w:val="ListBullet"/>
        <w:spacing w:after="60" w:line="276" w:lineRule="auto"/>
      </w:pPr>
      <w:r>
        <w:rPr>
          <w:rFonts w:ascii="Calibri" w:hAnsi="Calibri"/>
          <w:b w:val="0"/>
          <w:i w:val="0"/>
          <w:color w:val="1F2937"/>
          <w:sz w:val="21"/>
        </w:rPr>
        <w:t>View order history and initiate permitted modification, cancellation or refund requests.</w:t>
      </w:r>
    </w:p>
    <w:p>
      <w:pPr>
        <w:pStyle w:val="ListBullet"/>
        <w:spacing w:after="60" w:line="276" w:lineRule="auto"/>
      </w:pPr>
      <w:r>
        <w:rPr>
          <w:rFonts w:ascii="Calibri" w:hAnsi="Calibri"/>
          <w:b w:val="0"/>
          <w:i w:val="0"/>
          <w:color w:val="1F2937"/>
          <w:sz w:val="21"/>
        </w:rPr>
        <w:t>Contact support with an order reference and see relevant case status where implemented.</w:t>
      </w:r>
    </w:p>
    <w:p>
      <w:pPr>
        <w:pStyle w:val="Heading2"/>
      </w:pPr>
      <w:r>
        <w:t>7.2 Administration and operations</w:t>
      </w:r>
    </w:p>
    <w:p>
      <w:pPr>
        <w:pStyle w:val="ListBullet"/>
        <w:spacing w:after="60" w:line="276" w:lineRule="auto"/>
      </w:pPr>
      <w:r>
        <w:rPr>
          <w:rFonts w:ascii="Calibri" w:hAnsi="Calibri"/>
          <w:b w:val="0"/>
          <w:i w:val="0"/>
          <w:color w:val="1F2937"/>
          <w:sz w:val="21"/>
        </w:rPr>
        <w:t>Manage users, roles, products, routes, schedules, inventory, prices, suppliers, coupons and configuration.</w:t>
      </w:r>
    </w:p>
    <w:p>
      <w:pPr>
        <w:pStyle w:val="ListBullet"/>
        <w:spacing w:after="60" w:line="276" w:lineRule="auto"/>
      </w:pPr>
      <w:r>
        <w:rPr>
          <w:rFonts w:ascii="Calibri" w:hAnsi="Calibri"/>
          <w:b w:val="0"/>
          <w:i w:val="0"/>
          <w:color w:val="1F2937"/>
          <w:sz w:val="21"/>
        </w:rPr>
        <w:t>Search and inspect complete order, payment, supplier, notification and audit histories.</w:t>
      </w:r>
    </w:p>
    <w:p>
      <w:pPr>
        <w:pStyle w:val="ListBullet"/>
        <w:spacing w:after="60" w:line="276" w:lineRule="auto"/>
      </w:pPr>
      <w:r>
        <w:rPr>
          <w:rFonts w:ascii="Calibri" w:hAnsi="Calibri"/>
          <w:b w:val="0"/>
          <w:i w:val="0"/>
          <w:color w:val="1F2937"/>
          <w:sz w:val="21"/>
        </w:rPr>
        <w:t>Perform controlled manual actions with permissions, reason codes and audit records.</w:t>
      </w:r>
    </w:p>
    <w:p>
      <w:pPr>
        <w:pStyle w:val="ListBullet"/>
        <w:spacing w:after="60" w:line="276" w:lineRule="auto"/>
      </w:pPr>
      <w:r>
        <w:rPr>
          <w:rFonts w:ascii="Calibri" w:hAnsi="Calibri"/>
          <w:b w:val="0"/>
          <w:i w:val="0"/>
          <w:color w:val="1F2937"/>
          <w:sz w:val="21"/>
        </w:rPr>
        <w:t>Manage exception queues for payment, supplier, synchronization, voucher and notification failures.</w:t>
      </w:r>
    </w:p>
    <w:p>
      <w:pPr>
        <w:pStyle w:val="ListBullet"/>
        <w:spacing w:after="60" w:line="276" w:lineRule="auto"/>
      </w:pPr>
      <w:r>
        <w:rPr>
          <w:rFonts w:ascii="Calibri" w:hAnsi="Calibri"/>
          <w:b w:val="0"/>
          <w:i w:val="0"/>
          <w:color w:val="1F2937"/>
          <w:sz w:val="21"/>
        </w:rPr>
        <w:t>Export booking, refund, settlement and reconciliation data.</w:t>
      </w:r>
    </w:p>
    <w:p>
      <w:pPr>
        <w:pStyle w:val="ListBullet"/>
        <w:spacing w:after="60" w:line="276" w:lineRule="auto"/>
      </w:pPr>
      <w:r>
        <w:rPr>
          <w:rFonts w:ascii="Calibri" w:hAnsi="Calibri"/>
          <w:b w:val="0"/>
          <w:i w:val="0"/>
          <w:color w:val="1F2937"/>
          <w:sz w:val="21"/>
        </w:rPr>
        <w:t>View operational dashboards for sales, conversion, booking failures and supplier performance.</w:t>
      </w:r>
    </w:p>
    <w:p>
      <w:pPr>
        <w:pStyle w:val="Heading2"/>
      </w:pPr>
      <w:r>
        <w:t>7.3 Integration behavior</w:t>
      </w:r>
    </w:p>
    <w:tbl>
      <w:tblPr>
        <w:tblStyle w:val="TableGrid"/>
        <w:tblW w:type="dxa" w:w="9360"/>
        <w:tblLayout w:type="fixed"/>
        <w:tblLook w:firstColumn="1" w:firstRow="1" w:lastColumn="0" w:lastRow="0" w:noHBand="0" w:noVBand="1" w:val="04A0"/>
        <w:jc w:val="center"/>
        <w:tblInd w:w="120" w:type="dxa"/>
      </w:tblPr>
      <w:tblGrid>
        <w:gridCol w:w="2200"/>
        <w:gridCol w:w="7160"/>
      </w:tblGrid>
      <w:tr>
        <w:trPr>
          <w:cantSplit/>
          <w:tblHeader w:val="true"/>
          <w:cantSplit/>
        </w:trPr>
        <w:tc>
          <w:tcPr>
            <w:tcW w:type="dxa" w:w="22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Control</w:t>
            </w:r>
          </w:p>
        </w:tc>
        <w:tc>
          <w:tcPr>
            <w:tcW w:type="dxa" w:w="716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Required behavior</w:t>
            </w:r>
          </w:p>
        </w:tc>
      </w:tr>
      <w:tr>
        <w:trPr>
          <w:cantSplit/>
        </w:trPr>
        <w:tc>
          <w:tcPr>
            <w:tcW w:type="dxa" w:w="22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Authentication</w:t>
            </w:r>
          </w:p>
        </w:tc>
        <w:tc>
          <w:tcPr>
            <w:tcW w:type="dxa" w:w="71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Credentials/tokens stored securely; least privilege and rotation supported.</w:t>
            </w:r>
          </w:p>
        </w:tc>
      </w:tr>
      <w:tr>
        <w:trPr>
          <w:cantSplit/>
        </w:trPr>
        <w:tc>
          <w:tcPr>
            <w:tcW w:type="dxa" w:w="22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Idempotency</w:t>
            </w:r>
          </w:p>
        </w:tc>
        <w:tc>
          <w:tcPr>
            <w:tcW w:type="dxa" w:w="71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Repeated booking, payment or refund commands do not create duplicate financial effects.</w:t>
            </w:r>
          </w:p>
        </w:tc>
      </w:tr>
      <w:tr>
        <w:trPr>
          <w:cantSplit/>
        </w:trPr>
        <w:tc>
          <w:tcPr>
            <w:tcW w:type="dxa" w:w="22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Timeout and retry</w:t>
            </w:r>
          </w:p>
        </w:tc>
        <w:tc>
          <w:tcPr>
            <w:tcW w:type="dxa" w:w="71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Only safe operations are retried automatically; uncertain transactions enter reconciliation.</w:t>
            </w:r>
          </w:p>
        </w:tc>
      </w:tr>
      <w:tr>
        <w:trPr>
          <w:cantSplit/>
        </w:trPr>
        <w:tc>
          <w:tcPr>
            <w:tcW w:type="dxa" w:w="22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Validation</w:t>
            </w:r>
          </w:p>
        </w:tc>
        <w:tc>
          <w:tcPr>
            <w:tcW w:type="dxa" w:w="71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Inbound/outbound fields validated against documented schema and business rules.</w:t>
            </w:r>
          </w:p>
        </w:tc>
      </w:tr>
      <w:tr>
        <w:trPr>
          <w:cantSplit/>
        </w:trPr>
        <w:tc>
          <w:tcPr>
            <w:tcW w:type="dxa" w:w="22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Traceability</w:t>
            </w:r>
          </w:p>
        </w:tc>
        <w:tc>
          <w:tcPr>
            <w:tcW w:type="dxa" w:w="71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Correlation ID links customer request, internal transaction and supplier/payment reference.</w:t>
            </w:r>
          </w:p>
        </w:tc>
      </w:tr>
      <w:tr>
        <w:trPr>
          <w:cantSplit/>
        </w:trPr>
        <w:tc>
          <w:tcPr>
            <w:tcW w:type="dxa" w:w="22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Degradation</w:t>
            </w:r>
          </w:p>
        </w:tc>
        <w:tc>
          <w:tcPr>
            <w:tcW w:type="dxa" w:w="71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Clear fallback or operator action when supplier service is unavailable.</w:t>
            </w:r>
          </w:p>
        </w:tc>
      </w:tr>
      <w:tr>
        <w:trPr>
          <w:cantSplit/>
        </w:trPr>
        <w:tc>
          <w:tcPr>
            <w:tcW w:type="dxa" w:w="22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Versioning</w:t>
            </w:r>
          </w:p>
        </w:tc>
        <w:tc>
          <w:tcPr>
            <w:tcW w:type="dxa" w:w="71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Breaking changes use a new API/adapter version and controlled migration.</w:t>
            </w:r>
          </w:p>
        </w:tc>
      </w:tr>
    </w:tbl>
    <w:p>
      <w:pPr>
        <w:spacing w:after="20"/>
      </w:pPr>
    </w:p>
    <w:p>
      <w:pPr>
        <w:pStyle w:val="Heading1"/>
      </w:pPr>
      <w:r>
        <w:t>8. Non-Functional Requirements</w:t>
      </w:r>
    </w:p>
    <w:tbl>
      <w:tblPr>
        <w:tblStyle w:val="TableGrid"/>
        <w:tblW w:type="dxa" w:w="9360"/>
        <w:tblLayout w:type="fixed"/>
        <w:tblLook w:firstColumn="1" w:firstRow="1" w:lastColumn="0" w:lastRow="0" w:noHBand="0" w:noVBand="1" w:val="04A0"/>
        <w:jc w:val="center"/>
        <w:tblInd w:w="120" w:type="dxa"/>
      </w:tblPr>
      <w:tblGrid>
        <w:gridCol w:w="1900"/>
        <w:gridCol w:w="7460"/>
      </w:tblGrid>
      <w:tr>
        <w:trPr>
          <w:cantSplit/>
          <w:tblHeader w:val="true"/>
          <w:cantSplit/>
        </w:trPr>
        <w:tc>
          <w:tcPr>
            <w:tcW w:type="dxa" w:w="19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Area</w:t>
            </w:r>
          </w:p>
        </w:tc>
        <w:tc>
          <w:tcPr>
            <w:tcW w:type="dxa" w:w="746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Baseline requirement</w:t>
            </w:r>
          </w:p>
        </w:tc>
      </w:tr>
      <w:tr>
        <w:trPr>
          <w:cantSplit/>
        </w:trPr>
        <w:tc>
          <w:tcPr>
            <w:tcW w:type="dxa" w:w="1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Availability</w:t>
            </w:r>
          </w:p>
        </w:tc>
        <w:tc>
          <w:tcPr>
            <w:tcW w:type="dxa" w:w="74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Production target and maintenance window to be agreed; critical dependencies monitored.</w:t>
            </w:r>
          </w:p>
        </w:tc>
      </w:tr>
      <w:tr>
        <w:trPr>
          <w:cantSplit/>
        </w:trPr>
        <w:tc>
          <w:tcPr>
            <w:tcW w:type="dxa" w:w="1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Performance</w:t>
            </w:r>
          </w:p>
        </w:tc>
        <w:tc>
          <w:tcPr>
            <w:tcW w:type="dxa" w:w="74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Normal customer pages and search should meet agreed response targets under expected launch load; third-party latency reported separately.</w:t>
            </w:r>
          </w:p>
        </w:tc>
      </w:tr>
      <w:tr>
        <w:trPr>
          <w:cantSplit/>
        </w:trPr>
        <w:tc>
          <w:tcPr>
            <w:tcW w:type="dxa" w:w="1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Scalability</w:t>
            </w:r>
          </w:p>
        </w:tc>
        <w:tc>
          <w:tcPr>
            <w:tcW w:type="dxa" w:w="74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Stateless application scaling where practical; cache and database capacity monitored.</w:t>
            </w:r>
          </w:p>
        </w:tc>
      </w:tr>
      <w:tr>
        <w:trPr>
          <w:cantSplit/>
        </w:trPr>
        <w:tc>
          <w:tcPr>
            <w:tcW w:type="dxa" w:w="1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Security</w:t>
            </w:r>
          </w:p>
        </w:tc>
        <w:tc>
          <w:tcPr>
            <w:tcW w:type="dxa" w:w="74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HTTPS, secure secrets, password hashing, RBAC, admin 2FA, validation, rate limiting and dependency/vulnerability review.</w:t>
            </w:r>
          </w:p>
        </w:tc>
      </w:tr>
      <w:tr>
        <w:trPr>
          <w:cantSplit/>
        </w:trPr>
        <w:tc>
          <w:tcPr>
            <w:tcW w:type="dxa" w:w="1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Privacy</w:t>
            </w:r>
          </w:p>
        </w:tc>
        <w:tc>
          <w:tcPr>
            <w:tcW w:type="dxa" w:w="74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Purpose limitation, consent records, masking, retention rules, access/export/deletion workflow and restricted administrative access.</w:t>
            </w:r>
          </w:p>
        </w:tc>
      </w:tr>
      <w:tr>
        <w:trPr>
          <w:cantSplit/>
        </w:trPr>
        <w:tc>
          <w:tcPr>
            <w:tcW w:type="dxa" w:w="1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Reliability</w:t>
            </w:r>
          </w:p>
        </w:tc>
        <w:tc>
          <w:tcPr>
            <w:tcW w:type="dxa" w:w="74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Idempotency, explicit state transitions, transactional writes, reconciliation and recoverable scheduled processing.</w:t>
            </w:r>
          </w:p>
        </w:tc>
      </w:tr>
      <w:tr>
        <w:trPr>
          <w:cantSplit/>
        </w:trPr>
        <w:tc>
          <w:tcPr>
            <w:tcW w:type="dxa" w:w="1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Backup/DR</w:t>
            </w:r>
          </w:p>
        </w:tc>
        <w:tc>
          <w:tcPr>
            <w:tcW w:type="dxa" w:w="74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Automated backups, retention, protected storage and tested restoration; RPO/RTO agreed before launch.</w:t>
            </w:r>
          </w:p>
        </w:tc>
      </w:tr>
      <w:tr>
        <w:trPr>
          <w:cantSplit/>
        </w:trPr>
        <w:tc>
          <w:tcPr>
            <w:tcW w:type="dxa" w:w="1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Observability</w:t>
            </w:r>
          </w:p>
        </w:tc>
        <w:tc>
          <w:tcPr>
            <w:tcW w:type="dxa" w:w="74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Central logs, metrics, traces/correlation IDs and alert routing for critical workflows.</w:t>
            </w:r>
          </w:p>
        </w:tc>
      </w:tr>
      <w:tr>
        <w:trPr>
          <w:cantSplit/>
        </w:trPr>
        <w:tc>
          <w:tcPr>
            <w:tcW w:type="dxa" w:w="1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Accessibility</w:t>
            </w:r>
          </w:p>
        </w:tc>
        <w:tc>
          <w:tcPr>
            <w:tcW w:type="dxa" w:w="74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Semantic navigation, keyboard operation, contrast and form labeling reviewed for customer pages.</w:t>
            </w:r>
          </w:p>
        </w:tc>
      </w:tr>
      <w:tr>
        <w:trPr>
          <w:cantSplit/>
        </w:trPr>
        <w:tc>
          <w:tcPr>
            <w:tcW w:type="dxa" w:w="1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Localization</w:t>
            </w:r>
          </w:p>
        </w:tc>
        <w:tc>
          <w:tcPr>
            <w:tcW w:type="dxa" w:w="74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Traditional Chinese and English framework; dates, time zones, currency and policies rendered consistently.</w:t>
            </w:r>
          </w:p>
        </w:tc>
      </w:tr>
      <w:tr>
        <w:trPr>
          <w:cantSplit/>
        </w:trPr>
        <w:tc>
          <w:tcPr>
            <w:tcW w:type="dxa" w:w="1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Maintainability</w:t>
            </w:r>
          </w:p>
        </w:tc>
        <w:tc>
          <w:tcPr>
            <w:tcW w:type="dxa" w:w="74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Documented APIs, configuration, code review, automated tests, release notes and operational runbooks.</w:t>
            </w:r>
          </w:p>
        </w:tc>
      </w:tr>
    </w:tbl>
    <w:p>
      <w:pPr>
        <w:spacing w:after="20"/>
      </w:pPr>
    </w:p>
    <w:p>
      <w:pPr>
        <w:pStyle w:val="Heading1"/>
      </w:pPr>
      <w:r>
        <w:t>9. Testing and Acceptance</w:t>
      </w:r>
    </w:p>
    <w:p>
      <w:pPr>
        <w:pStyle w:val="Heading2"/>
      </w:pPr>
      <w:r>
        <w:t>9.1 Test levels</w:t>
      </w:r>
    </w:p>
    <w:tbl>
      <w:tblPr>
        <w:tblStyle w:val="TableGrid"/>
        <w:tblW w:type="dxa" w:w="9360"/>
        <w:tblLayout w:type="fixed"/>
        <w:tblLook w:firstColumn="1" w:firstRow="1" w:lastColumn="0" w:lastRow="0" w:noHBand="0" w:noVBand="1" w:val="04A0"/>
        <w:jc w:val="center"/>
        <w:tblInd w:w="120" w:type="dxa"/>
      </w:tblPr>
      <w:tblGrid>
        <w:gridCol w:w="1900"/>
        <w:gridCol w:w="7460"/>
      </w:tblGrid>
      <w:tr>
        <w:trPr>
          <w:cantSplit/>
          <w:tblHeader w:val="true"/>
          <w:cantSplit/>
        </w:trPr>
        <w:tc>
          <w:tcPr>
            <w:tcW w:type="dxa" w:w="19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Test level</w:t>
            </w:r>
          </w:p>
        </w:tc>
        <w:tc>
          <w:tcPr>
            <w:tcW w:type="dxa" w:w="746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Coverage</w:t>
            </w:r>
          </w:p>
        </w:tc>
      </w:tr>
      <w:tr>
        <w:trPr>
          <w:cantSplit/>
        </w:trPr>
        <w:tc>
          <w:tcPr>
            <w:tcW w:type="dxa" w:w="1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Unit</w:t>
            </w:r>
          </w:p>
        </w:tc>
        <w:tc>
          <w:tcPr>
            <w:tcW w:type="dxa" w:w="74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Business rules, price calculations, permissions, status transitions and adapters.</w:t>
            </w:r>
          </w:p>
        </w:tc>
      </w:tr>
      <w:tr>
        <w:trPr>
          <w:cantSplit/>
        </w:trPr>
        <w:tc>
          <w:tcPr>
            <w:tcW w:type="dxa" w:w="1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API/contract</w:t>
            </w:r>
          </w:p>
        </w:tc>
        <w:tc>
          <w:tcPr>
            <w:tcW w:type="dxa" w:w="74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Schemas, authentication, error behavior and supplier/payment contract expectations.</w:t>
            </w:r>
          </w:p>
        </w:tc>
      </w:tr>
      <w:tr>
        <w:trPr>
          <w:cantSplit/>
        </w:trPr>
        <w:tc>
          <w:tcPr>
            <w:tcW w:type="dxa" w:w="1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Integration</w:t>
            </w:r>
          </w:p>
        </w:tc>
        <w:tc>
          <w:tcPr>
            <w:tcW w:type="dxa" w:w="74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Database, cache, files, email, payment and supplier interactions.</w:t>
            </w:r>
          </w:p>
        </w:tc>
      </w:tr>
      <w:tr>
        <w:trPr>
          <w:cantSplit/>
        </w:trPr>
        <w:tc>
          <w:tcPr>
            <w:tcW w:type="dxa" w:w="1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End-to-end</w:t>
            </w:r>
          </w:p>
        </w:tc>
        <w:tc>
          <w:tcPr>
            <w:tcW w:type="dxa" w:w="74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Search through payment, confirmation, voucher, cancellation and refund.</w:t>
            </w:r>
          </w:p>
        </w:tc>
      </w:tr>
      <w:tr>
        <w:trPr>
          <w:cantSplit/>
        </w:trPr>
        <w:tc>
          <w:tcPr>
            <w:tcW w:type="dxa" w:w="1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Concurrency</w:t>
            </w:r>
          </w:p>
        </w:tc>
        <w:tc>
          <w:tcPr>
            <w:tcW w:type="dxa" w:w="74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Inventory hold, last-seat booking, repeated submission and duplicate callback.</w:t>
            </w:r>
          </w:p>
        </w:tc>
      </w:tr>
      <w:tr>
        <w:trPr>
          <w:cantSplit/>
        </w:trPr>
        <w:tc>
          <w:tcPr>
            <w:tcW w:type="dxa" w:w="1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Security</w:t>
            </w:r>
          </w:p>
        </w:tc>
        <w:tc>
          <w:tcPr>
            <w:tcW w:type="dxa" w:w="74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Authorization, OWASP controls, session behavior, rate limits, secrets and vulnerability scan.</w:t>
            </w:r>
          </w:p>
        </w:tc>
      </w:tr>
      <w:tr>
        <w:trPr>
          <w:cantSplit/>
        </w:trPr>
        <w:tc>
          <w:tcPr>
            <w:tcW w:type="dxa" w:w="1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Performance</w:t>
            </w:r>
          </w:p>
        </w:tc>
        <w:tc>
          <w:tcPr>
            <w:tcW w:type="dxa" w:w="74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Expected and peak launch load, slow dependencies and recovery behavior.</w:t>
            </w:r>
          </w:p>
        </w:tc>
      </w:tr>
      <w:tr>
        <w:trPr>
          <w:cantSplit/>
        </w:trPr>
        <w:tc>
          <w:tcPr>
            <w:tcW w:type="dxa" w:w="1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UAT</w:t>
            </w:r>
          </w:p>
        </w:tc>
        <w:tc>
          <w:tcPr>
            <w:tcW w:type="dxa" w:w="74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Client-approved business scenarios across customer, supplier, support, finance and administration.</w:t>
            </w:r>
          </w:p>
        </w:tc>
      </w:tr>
      <w:tr>
        <w:trPr>
          <w:cantSplit/>
        </w:trPr>
        <w:tc>
          <w:tcPr>
            <w:tcW w:type="dxa" w:w="1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Recovery</w:t>
            </w:r>
          </w:p>
        </w:tc>
        <w:tc>
          <w:tcPr>
            <w:tcW w:type="dxa" w:w="74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Backup restore, failed job retry, provider outage and reconciliation.</w:t>
            </w:r>
          </w:p>
        </w:tc>
      </w:tr>
    </w:tbl>
    <w:p>
      <w:pPr>
        <w:spacing w:after="20"/>
      </w:pPr>
    </w:p>
    <w:p>
      <w:pPr>
        <w:pStyle w:val="Heading2"/>
      </w:pPr>
      <w:r>
        <w:t>9.2 Launch acceptance gates</w:t>
      </w:r>
    </w:p>
    <w:p>
      <w:pPr>
        <w:pStyle w:val="ListBullet"/>
        <w:spacing w:after="60" w:line="276" w:lineRule="auto"/>
      </w:pPr>
      <w:r>
        <w:rPr>
          <w:rFonts w:ascii="Calibri" w:hAnsi="Calibri"/>
          <w:b w:val="0"/>
          <w:i w:val="0"/>
          <w:color w:val="1F2937"/>
          <w:sz w:val="21"/>
        </w:rPr>
        <w:t>All critical customer and operations scenarios pass UAT.</w:t>
      </w:r>
    </w:p>
    <w:p>
      <w:pPr>
        <w:pStyle w:val="ListBullet"/>
        <w:spacing w:after="60" w:line="276" w:lineRule="auto"/>
      </w:pPr>
      <w:r>
        <w:rPr>
          <w:rFonts w:ascii="Calibri" w:hAnsi="Calibri"/>
          <w:b w:val="0"/>
          <w:i w:val="0"/>
          <w:color w:val="1F2937"/>
          <w:sz w:val="21"/>
        </w:rPr>
        <w:t>No open Severity 1 or Severity 2 launch-blocking defect; lower-severity deferrals are documented and approved.</w:t>
      </w:r>
    </w:p>
    <w:p>
      <w:pPr>
        <w:pStyle w:val="ListBullet"/>
        <w:spacing w:after="60" w:line="276" w:lineRule="auto"/>
      </w:pPr>
      <w:r>
        <w:rPr>
          <w:rFonts w:ascii="Calibri" w:hAnsi="Calibri"/>
          <w:b w:val="0"/>
          <w:i w:val="0"/>
          <w:color w:val="1F2937"/>
          <w:sz w:val="21"/>
        </w:rPr>
        <w:t>Payment and supplier certification/approval completed, or an explicitly approved manual fallback is in place.</w:t>
      </w:r>
    </w:p>
    <w:p>
      <w:pPr>
        <w:pStyle w:val="ListBullet"/>
        <w:spacing w:after="60" w:line="276" w:lineRule="auto"/>
      </w:pPr>
      <w:r>
        <w:rPr>
          <w:rFonts w:ascii="Calibri" w:hAnsi="Calibri"/>
          <w:b w:val="0"/>
          <w:i w:val="0"/>
          <w:color w:val="1F2937"/>
          <w:sz w:val="21"/>
        </w:rPr>
        <w:t>Critical security findings are remediated and re-tested.</w:t>
      </w:r>
    </w:p>
    <w:p>
      <w:pPr>
        <w:pStyle w:val="ListBullet"/>
        <w:spacing w:after="60" w:line="276" w:lineRule="auto"/>
      </w:pPr>
      <w:r>
        <w:rPr>
          <w:rFonts w:ascii="Calibri" w:hAnsi="Calibri"/>
          <w:b w:val="0"/>
          <w:i w:val="0"/>
          <w:color w:val="1F2937"/>
          <w:sz w:val="21"/>
        </w:rPr>
        <w:t>Backup restoration and incident notification are demonstrated.</w:t>
      </w:r>
    </w:p>
    <w:p>
      <w:pPr>
        <w:pStyle w:val="ListBullet"/>
        <w:spacing w:after="60" w:line="276" w:lineRule="auto"/>
      </w:pPr>
      <w:r>
        <w:rPr>
          <w:rFonts w:ascii="Calibri" w:hAnsi="Calibri"/>
          <w:b w:val="0"/>
          <w:i w:val="0"/>
          <w:color w:val="1F2937"/>
          <w:sz w:val="21"/>
        </w:rPr>
        <w:t>Production configuration, policies, content, DNS/TLS and credentials are verified.</w:t>
      </w:r>
    </w:p>
    <w:p>
      <w:pPr>
        <w:pStyle w:val="ListBullet"/>
        <w:spacing w:after="60" w:line="276" w:lineRule="auto"/>
      </w:pPr>
      <w:r>
        <w:rPr>
          <w:rFonts w:ascii="Calibri" w:hAnsi="Calibri"/>
          <w:b w:val="0"/>
          <w:i w:val="0"/>
          <w:color w:val="1F2937"/>
          <w:sz w:val="21"/>
        </w:rPr>
        <w:t>Operations, customer service and administrators complete training.</w:t>
      </w:r>
    </w:p>
    <w:p>
      <w:pPr>
        <w:pStyle w:val="ListBullet"/>
        <w:spacing w:after="60" w:line="276" w:lineRule="auto"/>
      </w:pPr>
      <w:r>
        <w:rPr>
          <w:rFonts w:ascii="Calibri" w:hAnsi="Calibri"/>
          <w:b w:val="0"/>
          <w:i w:val="0"/>
          <w:color w:val="1F2937"/>
          <w:sz w:val="21"/>
        </w:rPr>
        <w:t>Rollback, support ownership and hypercare contacts are approved.</w:t>
      </w:r>
    </w:p>
    <w:p>
      <w:pPr>
        <w:pStyle w:val="Heading2"/>
      </w:pPr>
      <w:r>
        <w:t>9.3 Defect severity</w:t>
      </w:r>
    </w:p>
    <w:tbl>
      <w:tblPr>
        <w:tblStyle w:val="TableGrid"/>
        <w:tblW w:type="dxa" w:w="9360"/>
        <w:tblLayout w:type="fixed"/>
        <w:tblLook w:firstColumn="1" w:firstRow="1" w:lastColumn="0" w:lastRow="0" w:noHBand="0" w:noVBand="1" w:val="04A0"/>
        <w:jc w:val="center"/>
        <w:tblInd w:w="120" w:type="dxa"/>
      </w:tblPr>
      <w:tblGrid>
        <w:gridCol w:w="1400"/>
        <w:gridCol w:w="4300"/>
        <w:gridCol w:w="3660"/>
      </w:tblGrid>
      <w:tr>
        <w:trPr>
          <w:cantSplit/>
          <w:tblHeader w:val="true"/>
          <w:cantSplit/>
        </w:trPr>
        <w:tc>
          <w:tcPr>
            <w:tcW w:type="dxa" w:w="14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Severity</w:t>
            </w:r>
          </w:p>
        </w:tc>
        <w:tc>
          <w:tcPr>
            <w:tcW w:type="dxa" w:w="43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Definition</w:t>
            </w:r>
          </w:p>
        </w:tc>
        <w:tc>
          <w:tcPr>
            <w:tcW w:type="dxa" w:w="366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Launch treatment</w:t>
            </w:r>
          </w:p>
        </w:tc>
      </w:tr>
      <w:tr>
        <w:trPr>
          <w:cantSplit/>
        </w:trPr>
        <w:tc>
          <w:tcPr>
            <w:tcW w:type="dxa" w:w="14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S1 Critical</w:t>
            </w:r>
          </w:p>
        </w:tc>
        <w:tc>
          <w:tcPr>
            <w:tcW w:type="dxa" w:w="43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Security breach, data loss, duplicate charge, system unavailable or widespread booking failure.</w:t>
            </w:r>
          </w:p>
        </w:tc>
        <w:tc>
          <w:tcPr>
            <w:tcW w:type="dxa" w:w="36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Must be fixed and re-tested.</w:t>
            </w:r>
          </w:p>
        </w:tc>
      </w:tr>
      <w:tr>
        <w:trPr>
          <w:cantSplit/>
        </w:trPr>
        <w:tc>
          <w:tcPr>
            <w:tcW w:type="dxa" w:w="14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S2 High</w:t>
            </w:r>
          </w:p>
        </w:tc>
        <w:tc>
          <w:tcPr>
            <w:tcW w:type="dxa" w:w="43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Major function unusable with no acceptable workaround.</w:t>
            </w:r>
          </w:p>
        </w:tc>
        <w:tc>
          <w:tcPr>
            <w:tcW w:type="dxa" w:w="36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Normally fixed before launch; exception requires sponsor approval.</w:t>
            </w:r>
          </w:p>
        </w:tc>
      </w:tr>
      <w:tr>
        <w:trPr>
          <w:cantSplit/>
        </w:trPr>
        <w:tc>
          <w:tcPr>
            <w:tcW w:type="dxa" w:w="14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S3 Medium</w:t>
            </w:r>
          </w:p>
        </w:tc>
        <w:tc>
          <w:tcPr>
            <w:tcW w:type="dxa" w:w="43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Limited impact with a documented workaround.</w:t>
            </w:r>
          </w:p>
        </w:tc>
        <w:tc>
          <w:tcPr>
            <w:tcW w:type="dxa" w:w="36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May be scheduled after launch by agreement.</w:t>
            </w:r>
          </w:p>
        </w:tc>
      </w:tr>
      <w:tr>
        <w:trPr>
          <w:cantSplit/>
        </w:trPr>
        <w:tc>
          <w:tcPr>
            <w:tcW w:type="dxa" w:w="14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S4 Low</w:t>
            </w:r>
          </w:p>
        </w:tc>
        <w:tc>
          <w:tcPr>
            <w:tcW w:type="dxa" w:w="43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Cosmetic or minor usability issue.</w:t>
            </w:r>
          </w:p>
        </w:tc>
        <w:tc>
          <w:tcPr>
            <w:tcW w:type="dxa" w:w="36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Prioritized in backlog.</w:t>
            </w:r>
          </w:p>
        </w:tc>
      </w:tr>
    </w:tbl>
    <w:p>
      <w:pPr>
        <w:spacing w:after="20"/>
      </w:pPr>
    </w:p>
    <w:p>
      <w:pPr>
        <w:pStyle w:val="Heading1"/>
      </w:pPr>
      <w:r>
        <w:t>10. Delivery Governance and Team</w:t>
      </w:r>
    </w:p>
    <w:p>
      <w:pPr>
        <w:pStyle w:val="Heading2"/>
      </w:pPr>
      <w:r>
        <w:t>10.1 Recommended delivery team</w:t>
      </w:r>
    </w:p>
    <w:tbl>
      <w:tblPr>
        <w:tblStyle w:val="TableGrid"/>
        <w:tblW w:type="dxa" w:w="9360"/>
        <w:tblLayout w:type="fixed"/>
        <w:tblLook w:firstColumn="1" w:firstRow="1" w:lastColumn="0" w:lastRow="0" w:noHBand="0" w:noVBand="1" w:val="04A0"/>
        <w:jc w:val="center"/>
        <w:tblInd w:w="120" w:type="dxa"/>
      </w:tblPr>
      <w:tblGrid>
        <w:gridCol w:w="2600"/>
        <w:gridCol w:w="1800"/>
        <w:gridCol w:w="4960"/>
      </w:tblGrid>
      <w:tr>
        <w:trPr>
          <w:cantSplit/>
          <w:tblHeader w:val="true"/>
          <w:cantSplit/>
        </w:trPr>
        <w:tc>
          <w:tcPr>
            <w:tcW w:type="dxa" w:w="26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Role</w:t>
            </w:r>
          </w:p>
        </w:tc>
        <w:tc>
          <w:tcPr>
            <w:tcW w:type="dxa" w:w="18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Suggested allocation</w:t>
            </w:r>
          </w:p>
        </w:tc>
        <w:tc>
          <w:tcPr>
            <w:tcW w:type="dxa" w:w="496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Primary responsibility</w:t>
            </w:r>
          </w:p>
        </w:tc>
      </w:tr>
      <w:tr>
        <w:trPr>
          <w:cantSplit/>
        </w:trPr>
        <w:tc>
          <w:tcPr>
            <w:tcW w:type="dxa" w:w="26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Client product owner</w:t>
            </w:r>
          </w:p>
        </w:tc>
        <w:tc>
          <w:tcPr>
            <w:tcW w:type="dxa" w:w="18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1</w:t>
            </w:r>
          </w:p>
        </w:tc>
        <w:tc>
          <w:tcPr>
            <w:tcW w:type="dxa" w:w="49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Priorities, policies, decisions, UAT and acceptance.</w:t>
            </w:r>
          </w:p>
        </w:tc>
      </w:tr>
      <w:tr>
        <w:trPr>
          <w:cantSplit/>
        </w:trPr>
        <w:tc>
          <w:tcPr>
            <w:tcW w:type="dxa" w:w="26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Project manager / business analyst</w:t>
            </w:r>
          </w:p>
        </w:tc>
        <w:tc>
          <w:tcPr>
            <w:tcW w:type="dxa" w:w="18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1</w:t>
            </w:r>
          </w:p>
        </w:tc>
        <w:tc>
          <w:tcPr>
            <w:tcW w:type="dxa" w:w="49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Plan, requirements, dependencies, reporting and change control.</w:t>
            </w:r>
          </w:p>
        </w:tc>
      </w:tr>
      <w:tr>
        <w:trPr>
          <w:cantSplit/>
        </w:trPr>
        <w:tc>
          <w:tcPr>
            <w:tcW w:type="dxa" w:w="26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Technical lead / architect</w:t>
            </w:r>
          </w:p>
        </w:tc>
        <w:tc>
          <w:tcPr>
            <w:tcW w:type="dxa" w:w="18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1</w:t>
            </w:r>
          </w:p>
        </w:tc>
        <w:tc>
          <w:tcPr>
            <w:tcW w:type="dxa" w:w="49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Architecture, engineering standards, integration and technical risk.</w:t>
            </w:r>
          </w:p>
        </w:tc>
      </w:tr>
      <w:tr>
        <w:trPr>
          <w:cantSplit/>
        </w:trPr>
        <w:tc>
          <w:tcPr>
            <w:tcW w:type="dxa" w:w="26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Backend engineers</w:t>
            </w:r>
          </w:p>
        </w:tc>
        <w:tc>
          <w:tcPr>
            <w:tcW w:type="dxa" w:w="18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2</w:t>
            </w:r>
          </w:p>
        </w:tc>
        <w:tc>
          <w:tcPr>
            <w:tcW w:type="dxa" w:w="49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Business services, data, supplier/payment, security and operations.</w:t>
            </w:r>
          </w:p>
        </w:tc>
      </w:tr>
      <w:tr>
        <w:trPr>
          <w:cantSplit/>
        </w:trPr>
        <w:tc>
          <w:tcPr>
            <w:tcW w:type="dxa" w:w="26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Frontend engineers</w:t>
            </w:r>
          </w:p>
        </w:tc>
        <w:tc>
          <w:tcPr>
            <w:tcW w:type="dxa" w:w="18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2</w:t>
            </w:r>
          </w:p>
        </w:tc>
        <w:tc>
          <w:tcPr>
            <w:tcW w:type="dxa" w:w="49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Customer, supplier and administration interfaces.</w:t>
            </w:r>
          </w:p>
        </w:tc>
      </w:tr>
      <w:tr>
        <w:trPr>
          <w:cantSplit/>
        </w:trPr>
        <w:tc>
          <w:tcPr>
            <w:tcW w:type="dxa" w:w="26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UI/UX designer</w:t>
            </w:r>
          </w:p>
        </w:tc>
        <w:tc>
          <w:tcPr>
            <w:tcW w:type="dxa" w:w="18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1</w:t>
            </w:r>
          </w:p>
        </w:tc>
        <w:tc>
          <w:tcPr>
            <w:tcW w:type="dxa" w:w="49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Journeys, prototypes, design system and usability.</w:t>
            </w:r>
          </w:p>
        </w:tc>
      </w:tr>
      <w:tr>
        <w:trPr>
          <w:cantSplit/>
        </w:trPr>
        <w:tc>
          <w:tcPr>
            <w:tcW w:type="dxa" w:w="26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QA engineers</w:t>
            </w:r>
          </w:p>
        </w:tc>
        <w:tc>
          <w:tcPr>
            <w:tcW w:type="dxa" w:w="18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1-2</w:t>
            </w:r>
          </w:p>
        </w:tc>
        <w:tc>
          <w:tcPr>
            <w:tcW w:type="dxa" w:w="49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Test planning, automation, regression, UAT support and evidence.</w:t>
            </w:r>
          </w:p>
        </w:tc>
      </w:tr>
      <w:tr>
        <w:trPr>
          <w:cantSplit/>
        </w:trPr>
        <w:tc>
          <w:tcPr>
            <w:tcW w:type="dxa" w:w="26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DevOps/security engineer</w:t>
            </w:r>
          </w:p>
        </w:tc>
        <w:tc>
          <w:tcPr>
            <w:tcW w:type="dxa" w:w="18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0.5-1</w:t>
            </w:r>
          </w:p>
        </w:tc>
        <w:tc>
          <w:tcPr>
            <w:tcW w:type="dxa" w:w="49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Environments, deployment, monitoring, backup and security controls.</w:t>
            </w:r>
          </w:p>
        </w:tc>
      </w:tr>
      <w:tr>
        <w:trPr>
          <w:cantSplit/>
        </w:trPr>
        <w:tc>
          <w:tcPr>
            <w:tcW w:type="dxa" w:w="26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Supplier/API specialist</w:t>
            </w:r>
          </w:p>
        </w:tc>
        <w:tc>
          <w:tcPr>
            <w:tcW w:type="dxa" w:w="18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1 or shared</w:t>
            </w:r>
          </w:p>
        </w:tc>
        <w:tc>
          <w:tcPr>
            <w:tcW w:type="dxa" w:w="49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Provider mapping, certification and operational exceptions.</w:t>
            </w:r>
          </w:p>
        </w:tc>
      </w:tr>
      <w:tr>
        <w:trPr>
          <w:cantSplit/>
        </w:trPr>
        <w:tc>
          <w:tcPr>
            <w:tcW w:type="dxa" w:w="26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Client operations/finance SMEs</w:t>
            </w:r>
          </w:p>
        </w:tc>
        <w:tc>
          <w:tcPr>
            <w:tcW w:type="dxa" w:w="18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Part-time</w:t>
            </w:r>
          </w:p>
        </w:tc>
        <w:tc>
          <w:tcPr>
            <w:tcW w:type="dxa" w:w="49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Operational rules, reconciliation, training and UAT.</w:t>
            </w:r>
          </w:p>
        </w:tc>
      </w:tr>
    </w:tbl>
    <w:p>
      <w:pPr>
        <w:spacing w:after="20"/>
      </w:pPr>
    </w:p>
    <w:p>
      <w:pPr>
        <w:pStyle w:val="Heading2"/>
      </w:pPr>
      <w:r>
        <w:t>10.2 Governance cadence</w:t>
      </w:r>
    </w:p>
    <w:tbl>
      <w:tblPr>
        <w:tblStyle w:val="TableGrid"/>
        <w:tblW w:type="dxa" w:w="9360"/>
        <w:tblLayout w:type="fixed"/>
        <w:tblLook w:firstColumn="1" w:firstRow="1" w:lastColumn="0" w:lastRow="0" w:noHBand="0" w:noVBand="1" w:val="04A0"/>
        <w:jc w:val="center"/>
        <w:tblInd w:w="120" w:type="dxa"/>
      </w:tblPr>
      <w:tblGrid>
        <w:gridCol w:w="1900"/>
        <w:gridCol w:w="3200"/>
        <w:gridCol w:w="4260"/>
      </w:tblGrid>
      <w:tr>
        <w:trPr>
          <w:cantSplit/>
          <w:tblHeader w:val="true"/>
          <w:cantSplit/>
        </w:trPr>
        <w:tc>
          <w:tcPr>
            <w:tcW w:type="dxa" w:w="19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Cadence</w:t>
            </w:r>
          </w:p>
        </w:tc>
        <w:tc>
          <w:tcPr>
            <w:tcW w:type="dxa" w:w="32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Participants</w:t>
            </w:r>
          </w:p>
        </w:tc>
        <w:tc>
          <w:tcPr>
            <w:tcW w:type="dxa" w:w="426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Purpose</w:t>
            </w:r>
          </w:p>
        </w:tc>
      </w:tr>
      <w:tr>
        <w:trPr>
          <w:cantSplit/>
        </w:trPr>
        <w:tc>
          <w:tcPr>
            <w:tcW w:type="dxa" w:w="1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Daily delivery sync</w:t>
            </w:r>
          </w:p>
        </w:tc>
        <w:tc>
          <w:tcPr>
            <w:tcW w:type="dxa" w:w="32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Implementation team</w:t>
            </w:r>
          </w:p>
        </w:tc>
        <w:tc>
          <w:tcPr>
            <w:tcW w:type="dxa" w:w="42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Progress, blockers and next actions.</w:t>
            </w:r>
          </w:p>
        </w:tc>
      </w:tr>
      <w:tr>
        <w:trPr>
          <w:cantSplit/>
        </w:trPr>
        <w:tc>
          <w:tcPr>
            <w:tcW w:type="dxa" w:w="1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Weekly status review</w:t>
            </w:r>
          </w:p>
        </w:tc>
        <w:tc>
          <w:tcPr>
            <w:tcW w:type="dxa" w:w="32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PM, product owner, technical lead</w:t>
            </w:r>
          </w:p>
        </w:tc>
        <w:tc>
          <w:tcPr>
            <w:tcW w:type="dxa" w:w="42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Scope, schedule, risk, decisions and demonstrations.</w:t>
            </w:r>
          </w:p>
        </w:tc>
      </w:tr>
      <w:tr>
        <w:trPr>
          <w:cantSplit/>
        </w:trPr>
        <w:tc>
          <w:tcPr>
            <w:tcW w:type="dxa" w:w="1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Biweekly steering review</w:t>
            </w:r>
          </w:p>
        </w:tc>
        <w:tc>
          <w:tcPr>
            <w:tcW w:type="dxa" w:w="32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Sponsor and leads</w:t>
            </w:r>
          </w:p>
        </w:tc>
        <w:tc>
          <w:tcPr>
            <w:tcW w:type="dxa" w:w="42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Milestone health, commercial dependencies and escalations.</w:t>
            </w:r>
          </w:p>
        </w:tc>
      </w:tr>
      <w:tr>
        <w:trPr>
          <w:cantSplit/>
        </w:trPr>
        <w:tc>
          <w:tcPr>
            <w:tcW w:type="dxa" w:w="1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End-of-month gate</w:t>
            </w:r>
          </w:p>
        </w:tc>
        <w:tc>
          <w:tcPr>
            <w:tcW w:type="dxa" w:w="32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Authorized approvers</w:t>
            </w:r>
          </w:p>
        </w:tc>
        <w:tc>
          <w:tcPr>
            <w:tcW w:type="dxa" w:w="42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Accept milestone or issue corrective actions.</w:t>
            </w:r>
          </w:p>
        </w:tc>
      </w:tr>
      <w:tr>
        <w:trPr>
          <w:cantSplit/>
        </w:trPr>
        <w:tc>
          <w:tcPr>
            <w:tcW w:type="dxa" w:w="1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Release readiness</w:t>
            </w:r>
          </w:p>
        </w:tc>
        <w:tc>
          <w:tcPr>
            <w:tcW w:type="dxa" w:w="32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All workstream leads</w:t>
            </w:r>
          </w:p>
        </w:tc>
        <w:tc>
          <w:tcPr>
            <w:tcW w:type="dxa" w:w="42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t>Evidence-based go/no-go decision.</w:t>
            </w:r>
          </w:p>
        </w:tc>
      </w:tr>
    </w:tbl>
    <w:p>
      <w:pPr>
        <w:spacing w:after="20"/>
      </w:pPr>
    </w:p>
    <w:p>
      <w:pPr>
        <w:pStyle w:val="Heading2"/>
      </w:pPr>
      <w:r>
        <w:t>10.3 Change control</w:t>
      </w:r>
    </w:p>
    <w:p>
      <w:pPr>
        <w:spacing w:after="140" w:line="300" w:lineRule="auto"/>
        <w:jc w:val="both"/>
      </w:pPr>
      <w:r>
        <w:rPr>
          <w:rFonts w:ascii="Calibri" w:hAnsi="Calibri"/>
          <w:b w:val="0"/>
          <w:i w:val="0"/>
          <w:color w:val="1F2937"/>
          <w:sz w:val="21"/>
        </w:rPr>
        <w:t>The approved requirements, milestones and exclusions form the delivery baseline. A requested change is assessed for business value, effort, schedule impact, risk and third-party dependency. No material change is added to the committed release until the client approves its impact. An item may be exchanged for an equal-sized item only after technical assessment and documented approval.</w:t>
      </w:r>
    </w:p>
    <w:p>
      <w:pPr>
        <w:pStyle w:val="Heading1"/>
      </w:pPr>
      <w:r>
        <w:t>11. Dependencies, Assumptions and Risks</w:t>
      </w:r>
    </w:p>
    <w:p>
      <w:pPr>
        <w:pStyle w:val="Heading2"/>
      </w:pPr>
      <w:r>
        <w:t>11.1 Client and third-party dependencies</w:t>
      </w:r>
    </w:p>
    <w:tbl>
      <w:tblPr>
        <w:tblStyle w:val="TableGrid"/>
        <w:tblW w:type="dxa" w:w="9360"/>
        <w:tblLayout w:type="fixed"/>
        <w:tblLook w:firstColumn="1" w:firstRow="1" w:lastColumn="0" w:lastRow="0" w:noHBand="0" w:noVBand="1" w:val="04A0"/>
        <w:jc w:val="center"/>
        <w:tblInd w:w="120" w:type="dxa"/>
      </w:tblPr>
      <w:tblGrid>
        <w:gridCol w:w="3150"/>
        <w:gridCol w:w="2050"/>
        <w:gridCol w:w="4160"/>
      </w:tblGrid>
      <w:tr>
        <w:trPr>
          <w:cantSplit/>
          <w:tblHeader w:val="true"/>
          <w:cantSplit/>
        </w:trPr>
        <w:tc>
          <w:tcPr>
            <w:tcW w:type="dxa" w:w="315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Dependency</w:t>
            </w:r>
          </w:p>
        </w:tc>
        <w:tc>
          <w:tcPr>
            <w:tcW w:type="dxa" w:w="205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Required timing</w:t>
            </w:r>
          </w:p>
        </w:tc>
        <w:tc>
          <w:tcPr>
            <w:tcW w:type="dxa" w:w="416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Impact if late</w:t>
            </w:r>
          </w:p>
        </w:tc>
      </w:tr>
      <w:tr>
        <w:trPr>
          <w:cantSplit/>
        </w:trPr>
        <w:tc>
          <w:tcPr>
            <w:tcW w:type="dxa" w:w="315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Product/category and business rules</w:t>
            </w:r>
          </w:p>
        </w:tc>
        <w:tc>
          <w:tcPr>
            <w:tcW w:type="dxa" w:w="20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Month 1, Week 1-2</w:t>
            </w:r>
          </w:p>
        </w:tc>
        <w:tc>
          <w:tcPr>
            <w:tcW w:type="dxa" w:w="41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Design and data model rework.</w:t>
            </w:r>
          </w:p>
        </w:tc>
      </w:tr>
      <w:tr>
        <w:trPr>
          <w:cantSplit/>
        </w:trPr>
        <w:tc>
          <w:tcPr>
            <w:tcW w:type="dxa" w:w="315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Supplier selection, contract, API documents and test credentials</w:t>
            </w:r>
          </w:p>
        </w:tc>
        <w:tc>
          <w:tcPr>
            <w:tcW w:type="dxa" w:w="20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Initiated Week 1; available during Month 1</w:t>
            </w:r>
          </w:p>
        </w:tc>
        <w:tc>
          <w:tcPr>
            <w:tcW w:type="dxa" w:w="41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Supplier automation and certification shift.</w:t>
            </w:r>
          </w:p>
        </w:tc>
      </w:tr>
      <w:tr>
        <w:trPr>
          <w:cantSplit/>
        </w:trPr>
        <w:tc>
          <w:tcPr>
            <w:tcW w:type="dxa" w:w="315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Payment merchant contract and credentials</w:t>
            </w:r>
          </w:p>
        </w:tc>
        <w:tc>
          <w:tcPr>
            <w:tcW w:type="dxa" w:w="20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Initiated Week 1</w:t>
            </w:r>
          </w:p>
        </w:tc>
        <w:tc>
          <w:tcPr>
            <w:tcW w:type="dxa" w:w="41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Production payment launch blocked.</w:t>
            </w:r>
          </w:p>
        </w:tc>
      </w:tr>
      <w:tr>
        <w:trPr>
          <w:cantSplit/>
        </w:trPr>
        <w:tc>
          <w:tcPr>
            <w:tcW w:type="dxa" w:w="315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Brand assets, content and translations</w:t>
            </w:r>
          </w:p>
        </w:tc>
        <w:tc>
          <w:tcPr>
            <w:tcW w:type="dxa" w:w="20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Design assets Month 1; content by Month 3</w:t>
            </w:r>
          </w:p>
        </w:tc>
        <w:tc>
          <w:tcPr>
            <w:tcW w:type="dxa" w:w="41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Incomplete UAT/launch content.</w:t>
            </w:r>
          </w:p>
        </w:tc>
      </w:tr>
      <w:tr>
        <w:trPr>
          <w:cantSplit/>
        </w:trPr>
        <w:tc>
          <w:tcPr>
            <w:tcW w:type="dxa" w:w="315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Privacy, terms, cancellation and refund policies</w:t>
            </w:r>
          </w:p>
        </w:tc>
        <w:tc>
          <w:tcPr>
            <w:tcW w:type="dxa" w:w="20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Draft by Month 2; final by Month 4</w:t>
            </w:r>
          </w:p>
        </w:tc>
        <w:tc>
          <w:tcPr>
            <w:tcW w:type="dxa" w:w="41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Checkout and launch approval blocked.</w:t>
            </w:r>
          </w:p>
        </w:tc>
      </w:tr>
      <w:tr>
        <w:trPr>
          <w:cantSplit/>
        </w:trPr>
        <w:tc>
          <w:tcPr>
            <w:tcW w:type="dxa" w:w="315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Tax/e-invoice/accounting decisions</w:t>
            </w:r>
          </w:p>
        </w:tc>
        <w:tc>
          <w:tcPr>
            <w:tcW w:type="dxa" w:w="20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By Month 2</w:t>
            </w:r>
          </w:p>
        </w:tc>
        <w:tc>
          <w:tcPr>
            <w:tcW w:type="dxa" w:w="41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Finance/reporting rework.</w:t>
            </w:r>
          </w:p>
        </w:tc>
      </w:tr>
      <w:tr>
        <w:trPr>
          <w:cantSplit/>
        </w:trPr>
        <w:tc>
          <w:tcPr>
            <w:tcW w:type="dxa" w:w="315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Client UAT users and decision makers</w:t>
            </w:r>
          </w:p>
        </w:tc>
        <w:tc>
          <w:tcPr>
            <w:tcW w:type="dxa" w:w="20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Named Month 1; available Month 5</w:t>
            </w:r>
          </w:p>
        </w:tc>
        <w:tc>
          <w:tcPr>
            <w:tcW w:type="dxa" w:w="41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Acceptance and launch delay.</w:t>
            </w:r>
          </w:p>
        </w:tc>
      </w:tr>
      <w:tr>
        <w:trPr>
          <w:cantSplit/>
        </w:trPr>
        <w:tc>
          <w:tcPr>
            <w:tcW w:type="dxa" w:w="315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LINE/SMS/map accounts if included</w:t>
            </w:r>
          </w:p>
        </w:tc>
        <w:tc>
          <w:tcPr>
            <w:tcW w:type="dxa" w:w="20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Before relevant integration sprint</w:t>
            </w:r>
          </w:p>
        </w:tc>
        <w:tc>
          <w:tcPr>
            <w:tcW w:type="dxa" w:w="41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Channel deferred without blocking email launch.</w:t>
            </w:r>
          </w:p>
        </w:tc>
      </w:tr>
    </w:tbl>
    <w:p>
      <w:pPr>
        <w:spacing w:after="20"/>
      </w:pPr>
    </w:p>
    <w:p>
      <w:pPr>
        <w:pStyle w:val="Heading2"/>
      </w:pPr>
      <w:r>
        <w:t>11.2 Key risks and mitigation</w:t>
      </w:r>
    </w:p>
    <w:tbl>
      <w:tblPr>
        <w:tblStyle w:val="TableGrid"/>
        <w:tblW w:type="dxa" w:w="9360"/>
        <w:tblLayout w:type="fixed"/>
        <w:tblLook w:firstColumn="1" w:firstRow="1" w:lastColumn="0" w:lastRow="0" w:noHBand="0" w:noVBand="1" w:val="04A0"/>
        <w:jc w:val="center"/>
        <w:tblInd w:w="120" w:type="dxa"/>
      </w:tblPr>
      <w:tblGrid>
        <w:gridCol w:w="2900"/>
        <w:gridCol w:w="2100"/>
        <w:gridCol w:w="4360"/>
      </w:tblGrid>
      <w:tr>
        <w:trPr>
          <w:cantSplit/>
          <w:tblHeader w:val="true"/>
          <w:cantSplit/>
        </w:trPr>
        <w:tc>
          <w:tcPr>
            <w:tcW w:type="dxa" w:w="29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Risk</w:t>
            </w:r>
          </w:p>
        </w:tc>
        <w:tc>
          <w:tcPr>
            <w:tcW w:type="dxa" w:w="21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Probability / impact</w:t>
            </w:r>
          </w:p>
        </w:tc>
        <w:tc>
          <w:tcPr>
            <w:tcW w:type="dxa" w:w="436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Mitigation</w:t>
            </w:r>
          </w:p>
        </w:tc>
      </w:tr>
      <w:tr>
        <w:trPr>
          <w:cantSplit/>
        </w:trPr>
        <w:tc>
          <w:tcPr>
            <w:tcW w:type="dxa" w:w="2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Supplier API incomplete or unstable</w:t>
            </w:r>
          </w:p>
        </w:tc>
        <w:tc>
          <w:tcPr>
            <w:tcW w:type="dxa" w:w="21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Medium / High</w:t>
            </w:r>
          </w:p>
        </w:tc>
        <w:tc>
          <w:tcPr>
            <w:tcW w:type="dxa" w:w="43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Early proof of concept, contract tests, exception queue and manual confirmation fallback.</w:t>
            </w:r>
          </w:p>
        </w:tc>
      </w:tr>
      <w:tr>
        <w:trPr>
          <w:cantSplit/>
        </w:trPr>
        <w:tc>
          <w:tcPr>
            <w:tcW w:type="dxa" w:w="2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Payment certification delay</w:t>
            </w:r>
          </w:p>
        </w:tc>
        <w:tc>
          <w:tcPr>
            <w:tcW w:type="dxa" w:w="21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Medium / High</w:t>
            </w:r>
          </w:p>
        </w:tc>
        <w:tc>
          <w:tcPr>
            <w:tcW w:type="dxa" w:w="43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Start onboarding Week 1, test early and retain staged release option.</w:t>
            </w:r>
          </w:p>
        </w:tc>
      </w:tr>
      <w:tr>
        <w:trPr>
          <w:cantSplit/>
        </w:trPr>
        <w:tc>
          <w:tcPr>
            <w:tcW w:type="dxa" w:w="2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Scope expansion</w:t>
            </w:r>
          </w:p>
        </w:tc>
        <w:tc>
          <w:tcPr>
            <w:tcW w:type="dxa" w:w="21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High / High</w:t>
            </w:r>
          </w:p>
        </w:tc>
        <w:tc>
          <w:tcPr>
            <w:tcW w:type="dxa" w:w="43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Signed baseline, change control and strict deferred backlog.</w:t>
            </w:r>
          </w:p>
        </w:tc>
      </w:tr>
      <w:tr>
        <w:trPr>
          <w:cantSplit/>
        </w:trPr>
        <w:tc>
          <w:tcPr>
            <w:tcW w:type="dxa" w:w="2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Business rules change late</w:t>
            </w:r>
          </w:p>
        </w:tc>
        <w:tc>
          <w:tcPr>
            <w:tcW w:type="dxa" w:w="21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Medium / High</w:t>
            </w:r>
          </w:p>
        </w:tc>
        <w:tc>
          <w:tcPr>
            <w:tcW w:type="dxa" w:w="43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Decision log, prototypes and Month 1 approval gate.</w:t>
            </w:r>
          </w:p>
        </w:tc>
      </w:tr>
      <w:tr>
        <w:trPr>
          <w:cantSplit/>
        </w:trPr>
        <w:tc>
          <w:tcPr>
            <w:tcW w:type="dxa" w:w="2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Insufficient UAT participation</w:t>
            </w:r>
          </w:p>
        </w:tc>
        <w:tc>
          <w:tcPr>
            <w:tcW w:type="dxa" w:w="21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Medium / High</w:t>
            </w:r>
          </w:p>
        </w:tc>
        <w:tc>
          <w:tcPr>
            <w:tcW w:type="dxa" w:w="43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Name users early, schedule scripts/training and time-box sign-off.</w:t>
            </w:r>
          </w:p>
        </w:tc>
      </w:tr>
      <w:tr>
        <w:trPr>
          <w:cantSplit/>
        </w:trPr>
        <w:tc>
          <w:tcPr>
            <w:tcW w:type="dxa" w:w="2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Overselling or inconsistent order state</w:t>
            </w:r>
          </w:p>
        </w:tc>
        <w:tc>
          <w:tcPr>
            <w:tcW w:type="dxa" w:w="21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Medium / High</w:t>
            </w:r>
          </w:p>
        </w:tc>
        <w:tc>
          <w:tcPr>
            <w:tcW w:type="dxa" w:w="43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Inventory holds, transaction boundaries, idempotency and concurrency testing.</w:t>
            </w:r>
          </w:p>
        </w:tc>
      </w:tr>
      <w:tr>
        <w:trPr>
          <w:cantSplit/>
        </w:trPr>
        <w:tc>
          <w:tcPr>
            <w:tcW w:type="dxa" w:w="2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Personal data exposure</w:t>
            </w:r>
          </w:p>
        </w:tc>
        <w:tc>
          <w:tcPr>
            <w:tcW w:type="dxa" w:w="21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Low / Critical</w:t>
            </w:r>
          </w:p>
        </w:tc>
        <w:tc>
          <w:tcPr>
            <w:tcW w:type="dxa" w:w="43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Least privilege, masking, encryption, audit, retention and security testing.</w:t>
            </w:r>
          </w:p>
        </w:tc>
      </w:tr>
      <w:tr>
        <w:trPr>
          <w:cantSplit/>
        </w:trPr>
        <w:tc>
          <w:tcPr>
            <w:tcW w:type="dxa" w:w="2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Third-party outage</w:t>
            </w:r>
          </w:p>
        </w:tc>
        <w:tc>
          <w:tcPr>
            <w:tcW w:type="dxa" w:w="21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Medium / Medium</w:t>
            </w:r>
          </w:p>
        </w:tc>
        <w:tc>
          <w:tcPr>
            <w:tcW w:type="dxa" w:w="43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Timeouts, circuit/failure handling, customer messaging and operator reconciliation.</w:t>
            </w:r>
          </w:p>
        </w:tc>
      </w:tr>
      <w:tr>
        <w:trPr>
          <w:cantSplit/>
        </w:trPr>
        <w:tc>
          <w:tcPr>
            <w:tcW w:type="dxa" w:w="2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Production support gap</w:t>
            </w:r>
          </w:p>
        </w:tc>
        <w:tc>
          <w:tcPr>
            <w:tcW w:type="dxa" w:w="21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Medium / High</w:t>
            </w:r>
          </w:p>
        </w:tc>
        <w:tc>
          <w:tcPr>
            <w:tcW w:type="dxa" w:w="43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Runbooks, training, monitoring, on-call ownership and launch hypercare.</w:t>
            </w:r>
          </w:p>
        </w:tc>
      </w:tr>
    </w:tbl>
    <w:p>
      <w:pPr>
        <w:spacing w:after="20"/>
      </w:pPr>
    </w:p>
    <w:p>
      <w:pPr>
        <w:pStyle w:val="Heading2"/>
      </w:pPr>
      <w:r>
        <w:t>11.3 Planning assumptions</w:t>
      </w:r>
    </w:p>
    <w:p>
      <w:pPr>
        <w:pStyle w:val="ListBullet"/>
        <w:spacing w:after="60" w:line="276" w:lineRule="auto"/>
      </w:pPr>
      <w:r>
        <w:rPr>
          <w:rFonts w:ascii="Calibri" w:hAnsi="Calibri"/>
          <w:b w:val="0"/>
          <w:i w:val="0"/>
          <w:color w:val="1F2937"/>
          <w:sz w:val="21"/>
        </w:rPr>
        <w:t>The initial release operates primarily in Taiwan and settles customer transactions in TWD.</w:t>
      </w:r>
    </w:p>
    <w:p>
      <w:pPr>
        <w:pStyle w:val="ListBullet"/>
        <w:spacing w:after="60" w:line="276" w:lineRule="auto"/>
      </w:pPr>
      <w:r>
        <w:rPr>
          <w:rFonts w:ascii="Calibri" w:hAnsi="Calibri"/>
          <w:b w:val="0"/>
          <w:i w:val="0"/>
          <w:color w:val="1F2937"/>
          <w:sz w:val="21"/>
        </w:rPr>
        <w:t>The client provides legally approved policies and is responsible for merchant/supplier contracts.</w:t>
      </w:r>
    </w:p>
    <w:p>
      <w:pPr>
        <w:pStyle w:val="ListBullet"/>
        <w:spacing w:after="60" w:line="276" w:lineRule="auto"/>
      </w:pPr>
      <w:r>
        <w:rPr>
          <w:rFonts w:ascii="Calibri" w:hAnsi="Calibri"/>
          <w:b w:val="0"/>
          <w:i w:val="0"/>
          <w:color w:val="1F2937"/>
          <w:sz w:val="21"/>
        </w:rPr>
        <w:t>One supplier is integrated during the five-month baseline; additional suppliers are post-launch scope.</w:t>
      </w:r>
    </w:p>
    <w:p>
      <w:pPr>
        <w:pStyle w:val="ListBullet"/>
        <w:spacing w:after="60" w:line="276" w:lineRule="auto"/>
      </w:pPr>
      <w:r>
        <w:rPr>
          <w:rFonts w:ascii="Calibri" w:hAnsi="Calibri"/>
          <w:b w:val="0"/>
          <w:i w:val="0"/>
          <w:color w:val="1F2937"/>
          <w:sz w:val="21"/>
        </w:rPr>
        <w:t>The supplier API capabilities may limit real-time ticketing, cancellation or refund automation.</w:t>
      </w:r>
    </w:p>
    <w:p>
      <w:pPr>
        <w:pStyle w:val="ListBullet"/>
        <w:spacing w:after="60" w:line="276" w:lineRule="auto"/>
      </w:pPr>
      <w:r>
        <w:rPr>
          <w:rFonts w:ascii="Calibri" w:hAnsi="Calibri"/>
          <w:b w:val="0"/>
          <w:i w:val="0"/>
          <w:color w:val="1F2937"/>
          <w:sz w:val="21"/>
        </w:rPr>
        <w:t>Hosting, gateway, supplier, messaging, map, invoice and other usage fees are separate from this implementation plan.</w:t>
      </w:r>
    </w:p>
    <w:p>
      <w:pPr>
        <w:pStyle w:val="ListBullet"/>
        <w:spacing w:after="60" w:line="276" w:lineRule="auto"/>
      </w:pPr>
      <w:r>
        <w:rPr>
          <w:rFonts w:ascii="Calibri" w:hAnsi="Calibri"/>
          <w:b w:val="0"/>
          <w:i w:val="0"/>
          <w:color w:val="1F2937"/>
          <w:sz w:val="21"/>
        </w:rPr>
        <w:t>Final technology stack and cloud services will be confirmed during Month 1 architecture approval.</w:t>
      </w:r>
    </w:p>
    <w:p>
      <w:r>
        <w:br w:type="page"/>
      </w:r>
    </w:p>
    <w:p>
      <w:pPr>
        <w:pStyle w:val="Heading1"/>
      </w:pPr>
      <w:r>
        <w:t>12. Phase 3 and Beyond - Monthly Roadmap</w:t>
      </w:r>
    </w:p>
    <w:p>
      <w:pPr>
        <w:spacing w:after="140" w:line="300" w:lineRule="auto"/>
        <w:jc w:val="both"/>
      </w:pPr>
      <w:r>
        <w:rPr>
          <w:rFonts w:ascii="Calibri" w:hAnsi="Calibri"/>
          <w:b w:val="0"/>
          <w:i w:val="0"/>
          <w:color w:val="1F2937"/>
          <w:sz w:val="21"/>
        </w:rPr>
        <w:t>After the five-month launch, enhancements should be released in monthly increments based on real customer demand, supplier readiness, operational pain points and measured return. The roadmap below is a planning sequence and may be reprioritized through governance.</w:t>
      </w:r>
    </w:p>
    <w:tbl>
      <w:tblPr>
        <w:tblStyle w:val="TableGrid"/>
        <w:tblW w:type="dxa" w:w="9360"/>
        <w:tblLayout w:type="fixed"/>
        <w:tblLook w:firstColumn="1" w:firstRow="1" w:lastColumn="0" w:lastRow="0" w:noHBand="0" w:noVBand="1" w:val="04A0"/>
        <w:jc w:val="center"/>
        <w:tblInd w:w="120" w:type="dxa"/>
      </w:tblPr>
      <w:tblGrid>
        <w:gridCol w:w="900"/>
        <w:gridCol w:w="2100"/>
        <w:gridCol w:w="6360"/>
      </w:tblGrid>
      <w:tr>
        <w:trPr>
          <w:cantSplit/>
          <w:tblHeader w:val="true"/>
          <w:cantSplit/>
        </w:trPr>
        <w:tc>
          <w:tcPr>
            <w:tcW w:type="dxa" w:w="9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Month</w:t>
            </w:r>
          </w:p>
        </w:tc>
        <w:tc>
          <w:tcPr>
            <w:tcW w:type="dxa" w:w="21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Theme</w:t>
            </w:r>
          </w:p>
        </w:tc>
        <w:tc>
          <w:tcPr>
            <w:tcW w:type="dxa" w:w="636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Planned capabilities</w:t>
            </w:r>
          </w:p>
        </w:tc>
      </w:tr>
      <w:tr>
        <w:trPr>
          <w:cantSplit/>
        </w:trPr>
        <w:tc>
          <w:tcPr>
            <w:tcW w:type="dxa" w:w="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6</w:t>
            </w:r>
          </w:p>
        </w:tc>
        <w:tc>
          <w:tcPr>
            <w:tcW w:type="dxa" w:w="21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Stabilization and insight</w:t>
            </w:r>
          </w:p>
        </w:tc>
        <w:tc>
          <w:tcPr>
            <w:tcW w:type="dxa" w:w="63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Launch defects, performance tuning, funnel analytics, supplier health, reconciliation automation and feedback-driven UX.</w:t>
            </w:r>
          </w:p>
        </w:tc>
      </w:tr>
      <w:tr>
        <w:trPr>
          <w:cantSplit/>
        </w:trPr>
        <w:tc>
          <w:tcPr>
            <w:tcW w:type="dxa" w:w="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7</w:t>
            </w:r>
          </w:p>
        </w:tc>
        <w:tc>
          <w:tcPr>
            <w:tcW w:type="dxa" w:w="21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Membership and loyalty</w:t>
            </w:r>
          </w:p>
        </w:tc>
        <w:tc>
          <w:tcPr>
            <w:tcW w:type="dxa" w:w="63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Levels, points wallet, earning/redemption, expiry, member prices, coupon wallet and referral rewards.</w:t>
            </w:r>
          </w:p>
        </w:tc>
      </w:tr>
      <w:tr>
        <w:trPr>
          <w:cantSplit/>
        </w:trPr>
        <w:tc>
          <w:tcPr>
            <w:tcW w:type="dxa" w:w="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8</w:t>
            </w:r>
          </w:p>
        </w:tc>
        <w:tc>
          <w:tcPr>
            <w:tcW w:type="dxa" w:w="21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Marketing automation</w:t>
            </w:r>
          </w:p>
        </w:tc>
        <w:tc>
          <w:tcPr>
            <w:tcW w:type="dxa" w:w="63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LINE OA/SMS, customer segments, abandoned-cart reminders, campaigns, automated coupons and enhanced attribution.</w:t>
            </w:r>
          </w:p>
        </w:tc>
      </w:tr>
      <w:tr>
        <w:trPr>
          <w:cantSplit/>
        </w:trPr>
        <w:tc>
          <w:tcPr>
            <w:tcW w:type="dxa" w:w="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9</w:t>
            </w:r>
          </w:p>
        </w:tc>
        <w:tc>
          <w:tcPr>
            <w:tcW w:type="dxa" w:w="21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Supplier expansion</w:t>
            </w:r>
          </w:p>
        </w:tc>
        <w:tc>
          <w:tcPr>
            <w:tcW w:type="dxa" w:w="63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Second/third supplier, product normalization, duplicate mapping, comparison, priority/fallback and API health scoring.</w:t>
            </w:r>
          </w:p>
        </w:tc>
      </w:tr>
      <w:tr>
        <w:trPr>
          <w:cantSplit/>
        </w:trPr>
        <w:tc>
          <w:tcPr>
            <w:tcW w:type="dxa" w:w="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10</w:t>
            </w:r>
          </w:p>
        </w:tc>
        <w:tc>
          <w:tcPr>
            <w:tcW w:type="dxa" w:w="21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Advanced transport</w:t>
            </w:r>
          </w:p>
        </w:tc>
        <w:tc>
          <w:tcPr>
            <w:tcW w:type="dxa" w:w="63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Round trips, multi-stop, complex passenger rules, luggage/accessibility, pickup maps and trip-status functions.</w:t>
            </w:r>
          </w:p>
        </w:tc>
      </w:tr>
      <w:tr>
        <w:trPr>
          <w:cantSplit/>
        </w:trPr>
        <w:tc>
          <w:tcPr>
            <w:tcW w:type="dxa" w:w="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11</w:t>
            </w:r>
          </w:p>
        </w:tc>
        <w:tc>
          <w:tcPr>
            <w:tcW w:type="dxa" w:w="21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Finance and e-invoice</w:t>
            </w:r>
          </w:p>
        </w:tc>
        <w:tc>
          <w:tcPr>
            <w:tcW w:type="dxa" w:w="63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Supplier statements, approval workflow, tax, electronic invoice, credit notes, accounting export and finance audit.</w:t>
            </w:r>
          </w:p>
        </w:tc>
      </w:tr>
      <w:tr>
        <w:trPr>
          <w:cantSplit/>
        </w:trPr>
        <w:tc>
          <w:tcPr>
            <w:tcW w:type="dxa" w:w="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12</w:t>
            </w:r>
          </w:p>
        </w:tc>
        <w:tc>
          <w:tcPr>
            <w:tcW w:type="dxa" w:w="21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Growth ecosystem</w:t>
            </w:r>
          </w:p>
        </w:tc>
        <w:tc>
          <w:tcPr>
            <w:tcW w:type="dxa" w:w="63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Affiliate/reseller portal, corporate accounts, group booking, commission rules and campaign stacking.</w:t>
            </w:r>
          </w:p>
        </w:tc>
      </w:tr>
      <w:tr>
        <w:trPr>
          <w:cantSplit/>
        </w:trPr>
        <w:tc>
          <w:tcPr>
            <w:tcW w:type="dxa" w:w="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13</w:t>
            </w:r>
          </w:p>
        </w:tc>
        <w:tc>
          <w:tcPr>
            <w:tcW w:type="dxa" w:w="21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AI and personalization</w:t>
            </w:r>
          </w:p>
        </w:tc>
        <w:tc>
          <w:tcPr>
            <w:tcW w:type="dxa" w:w="63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Recommendations, personalized ranking, demand forecasting, support assistant and anomaly/fraud indicators.</w:t>
            </w:r>
          </w:p>
        </w:tc>
      </w:tr>
      <w:tr>
        <w:trPr>
          <w:cantSplit/>
        </w:trPr>
        <w:tc>
          <w:tcPr>
            <w:tcW w:type="dxa" w:w="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14</w:t>
            </w:r>
          </w:p>
        </w:tc>
        <w:tc>
          <w:tcPr>
            <w:tcW w:type="dxa" w:w="21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Native mobile apps</w:t>
            </w:r>
          </w:p>
        </w:tc>
        <w:tc>
          <w:tcPr>
            <w:tcW w:type="dxa" w:w="63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iOS/Android, biometric login, push, wallet, deep links, analytics and store submission.</w:t>
            </w:r>
          </w:p>
        </w:tc>
      </w:tr>
      <w:tr>
        <w:trPr>
          <w:cantSplit/>
        </w:trPr>
        <w:tc>
          <w:tcPr>
            <w:tcW w:type="dxa" w:w="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15+</w:t>
            </w:r>
          </w:p>
        </w:tc>
        <w:tc>
          <w:tcPr>
            <w:tcW w:type="dxa" w:w="21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Full OTA expansion</w:t>
            </w:r>
          </w:p>
        </w:tc>
        <w:tc>
          <w:tcPr>
            <w:tcW w:type="dxa" w:w="63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Hotels, activities, packages, cross-category cart, international payments/suppliers and regional scale.</w:t>
            </w:r>
          </w:p>
        </w:tc>
      </w:tr>
    </w:tbl>
    <w:p>
      <w:pPr>
        <w:spacing w:after="20"/>
      </w:pPr>
    </w:p>
    <w:p>
      <w:pPr>
        <w:pStyle w:val="Heading2"/>
      </w:pPr>
      <w:r>
        <w:t>12.1 Prioritization method</w:t>
      </w:r>
    </w:p>
    <w:p>
      <w:pPr>
        <w:spacing w:after="140" w:line="300" w:lineRule="auto"/>
        <w:jc w:val="both"/>
      </w:pPr>
      <w:r>
        <w:rPr>
          <w:rFonts w:ascii="Calibri" w:hAnsi="Calibri"/>
          <w:b w:val="0"/>
          <w:i w:val="0"/>
          <w:color w:val="1F2937"/>
          <w:sz w:val="21"/>
        </w:rPr>
        <w:t>Each monthly release should be selected using five factors: measurable customer value, operational benefit, revenue potential, technical readiness and dependency risk. Features requiring supplier certification, regulated payment changes or app-store review should begin earlier than their target release month.</w:t>
      </w:r>
    </w:p>
    <w:p>
      <w:pPr>
        <w:pStyle w:val="Heading1"/>
      </w:pPr>
      <w:r>
        <w:t>13. Handover, Support and Approval</w:t>
      </w:r>
    </w:p>
    <w:p>
      <w:pPr>
        <w:pStyle w:val="Heading2"/>
      </w:pPr>
      <w:r>
        <w:t>13.1 Handover package</w:t>
      </w:r>
    </w:p>
    <w:p>
      <w:pPr>
        <w:pStyle w:val="ListBullet"/>
        <w:spacing w:after="60" w:line="276" w:lineRule="auto"/>
      </w:pPr>
      <w:r>
        <w:rPr>
          <w:rFonts w:ascii="Calibri" w:hAnsi="Calibri"/>
          <w:b w:val="0"/>
          <w:i w:val="0"/>
          <w:color w:val="1F2937"/>
          <w:sz w:val="21"/>
        </w:rPr>
        <w:t>Source code and release tags in the agreed repository.</w:t>
      </w:r>
    </w:p>
    <w:p>
      <w:pPr>
        <w:pStyle w:val="ListBullet"/>
        <w:spacing w:after="60" w:line="276" w:lineRule="auto"/>
      </w:pPr>
      <w:r>
        <w:rPr>
          <w:rFonts w:ascii="Calibri" w:hAnsi="Calibri"/>
          <w:b w:val="0"/>
          <w:i w:val="0"/>
          <w:color w:val="1F2937"/>
          <w:sz w:val="21"/>
        </w:rPr>
        <w:t>Environment and configuration inventory without exposing credentials in documents.</w:t>
      </w:r>
    </w:p>
    <w:p>
      <w:pPr>
        <w:pStyle w:val="ListBullet"/>
        <w:spacing w:after="60" w:line="276" w:lineRule="auto"/>
      </w:pPr>
      <w:r>
        <w:rPr>
          <w:rFonts w:ascii="Calibri" w:hAnsi="Calibri"/>
          <w:b w:val="0"/>
          <w:i w:val="0"/>
          <w:color w:val="1F2937"/>
          <w:sz w:val="21"/>
        </w:rPr>
        <w:t>Architecture, database and API documentation.</w:t>
      </w:r>
    </w:p>
    <w:p>
      <w:pPr>
        <w:pStyle w:val="ListBullet"/>
        <w:spacing w:after="60" w:line="276" w:lineRule="auto"/>
      </w:pPr>
      <w:r>
        <w:rPr>
          <w:rFonts w:ascii="Calibri" w:hAnsi="Calibri"/>
          <w:b w:val="0"/>
          <w:i w:val="0"/>
          <w:color w:val="1F2937"/>
          <w:sz w:val="21"/>
        </w:rPr>
        <w:t>Supplier and payment integration mapping.</w:t>
      </w:r>
    </w:p>
    <w:p>
      <w:pPr>
        <w:pStyle w:val="ListBullet"/>
        <w:spacing w:after="60" w:line="276" w:lineRule="auto"/>
      </w:pPr>
      <w:r>
        <w:rPr>
          <w:rFonts w:ascii="Calibri" w:hAnsi="Calibri"/>
          <w:b w:val="0"/>
          <w:i w:val="0"/>
          <w:color w:val="1F2937"/>
          <w:sz w:val="21"/>
        </w:rPr>
        <w:t>Deployment, rollback, backup and restoration procedures.</w:t>
      </w:r>
    </w:p>
    <w:p>
      <w:pPr>
        <w:pStyle w:val="ListBullet"/>
        <w:spacing w:after="60" w:line="276" w:lineRule="auto"/>
      </w:pPr>
      <w:r>
        <w:rPr>
          <w:rFonts w:ascii="Calibri" w:hAnsi="Calibri"/>
          <w:b w:val="0"/>
          <w:i w:val="0"/>
          <w:color w:val="1F2937"/>
          <w:sz w:val="21"/>
        </w:rPr>
        <w:t>Monitoring dashboards, alert rules and incident runbooks.</w:t>
      </w:r>
    </w:p>
    <w:p>
      <w:pPr>
        <w:pStyle w:val="ListBullet"/>
        <w:spacing w:after="60" w:line="276" w:lineRule="auto"/>
      </w:pPr>
      <w:r>
        <w:rPr>
          <w:rFonts w:ascii="Calibri" w:hAnsi="Calibri"/>
          <w:b w:val="0"/>
          <w:i w:val="0"/>
          <w:color w:val="1F2937"/>
          <w:sz w:val="21"/>
        </w:rPr>
        <w:t>Administrator, supplier, support and finance user guides.</w:t>
      </w:r>
    </w:p>
    <w:p>
      <w:pPr>
        <w:pStyle w:val="ListBullet"/>
        <w:spacing w:after="60" w:line="276" w:lineRule="auto"/>
      </w:pPr>
      <w:r>
        <w:rPr>
          <w:rFonts w:ascii="Calibri" w:hAnsi="Calibri"/>
          <w:b w:val="0"/>
          <w:i w:val="0"/>
          <w:color w:val="1F2937"/>
          <w:sz w:val="21"/>
        </w:rPr>
        <w:t>Test summary, UAT record, known issues and approved backlog.</w:t>
      </w:r>
    </w:p>
    <w:p>
      <w:pPr>
        <w:pStyle w:val="ListBullet"/>
        <w:spacing w:after="60" w:line="276" w:lineRule="auto"/>
      </w:pPr>
      <w:r>
        <w:rPr>
          <w:rFonts w:ascii="Calibri" w:hAnsi="Calibri"/>
          <w:b w:val="0"/>
          <w:i w:val="0"/>
          <w:color w:val="1F2937"/>
          <w:sz w:val="21"/>
        </w:rPr>
        <w:t>Training sessions and knowledge-transfer record.</w:t>
      </w:r>
    </w:p>
    <w:p>
      <w:pPr>
        <w:pStyle w:val="Heading2"/>
      </w:pPr>
      <w:r>
        <w:t>13.2 Launch support</w:t>
      </w:r>
    </w:p>
    <w:p>
      <w:pPr>
        <w:spacing w:after="140" w:line="300" w:lineRule="auto"/>
        <w:jc w:val="both"/>
      </w:pPr>
      <w:r>
        <w:rPr>
          <w:rFonts w:ascii="Calibri" w:hAnsi="Calibri"/>
          <w:b w:val="0"/>
          <w:i w:val="0"/>
          <w:color w:val="1F2937"/>
          <w:sz w:val="21"/>
        </w:rPr>
        <w:t>A hypercare period should begin at soft launch. During hypercare, booking, payment and supplier failures receive priority monitoring, daily review and rapid triage. Ongoing maintenance scope, service hours, response targets, warranty period and enhancement capacity should be defined in the commercial agreement or a separate support schedule.</w:t>
      </w:r>
    </w:p>
    <w:p>
      <w:pPr>
        <w:pStyle w:val="Heading2"/>
      </w:pPr>
      <w:r>
        <w:t>13.3 Client approval statement</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150" w:type="dxa"/>
              <w:start w:w="180" w:type="dxa"/>
              <w:bottom w:w="150" w:type="dxa"/>
              <w:end w:w="180" w:type="dxa"/>
            </w:tcMar>
            <w:vAlign w:val="center"/>
            <w:shd w:fill="F4F6F9"/>
          </w:tcPr>
          <w:p>
            <w:pPr>
              <w:spacing w:after="60"/>
            </w:pPr>
            <w:r>
              <w:rPr>
                <w:rFonts w:ascii="Calibri" w:hAnsi="Calibri"/>
                <w:b/>
                <w:i w:val="0"/>
                <w:color w:val="2E74B5"/>
                <w:sz w:val="21"/>
              </w:rPr>
              <w:t xml:space="preserve">Approval meaning  </w:t>
            </w:r>
            <w:r>
              <w:rPr>
                <w:rFonts w:ascii="Calibri" w:hAnsi="Calibri"/>
                <w:b w:val="0"/>
                <w:i w:val="0"/>
                <w:color w:val="1F2937"/>
                <w:sz w:val="21"/>
              </w:rPr>
              <w:t>Approval confirms the scope, assumptions, milestone gates, dependencies and exclusions described in this plan. Detailed commercial terms, final technology choices and third-party charges remain subject to the governing agreement.</w:t>
            </w:r>
          </w:p>
        </w:tc>
      </w:tr>
    </w:tbl>
    <w:p>
      <w:pPr>
        <w:spacing w:after="20"/>
      </w:pPr>
    </w:p>
    <w:tbl>
      <w:tblPr>
        <w:tblStyle w:val="TableGrid"/>
        <w:tblW w:type="dxa" w:w="9360"/>
        <w:tblLayout w:type="fixed"/>
        <w:tblLook w:firstColumn="1" w:firstRow="1" w:lastColumn="0" w:lastRow="0" w:noHBand="0" w:noVBand="1" w:val="04A0"/>
        <w:jc w:val="center"/>
        <w:tblInd w:w="120" w:type="dxa"/>
      </w:tblPr>
      <w:tblGrid>
        <w:gridCol w:w="2200"/>
        <w:gridCol w:w="2300"/>
        <w:gridCol w:w="2600"/>
        <w:gridCol w:w="2260"/>
      </w:tblGrid>
      <w:tr>
        <w:trPr>
          <w:cantSplit/>
          <w:tblHeader w:val="true"/>
          <w:cantSplit/>
        </w:trPr>
        <w:tc>
          <w:tcPr>
            <w:tcW w:type="dxa" w:w="22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Authorized role</w:t>
            </w:r>
          </w:p>
        </w:tc>
        <w:tc>
          <w:tcPr>
            <w:tcW w:type="dxa" w:w="23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Name</w:t>
            </w:r>
          </w:p>
        </w:tc>
        <w:tc>
          <w:tcPr>
            <w:tcW w:type="dxa" w:w="26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Signature</w:t>
            </w:r>
          </w:p>
        </w:tc>
        <w:tc>
          <w:tcPr>
            <w:tcW w:type="dxa" w:w="226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8"/>
              </w:rPr>
              <w:t>Date</w:t>
            </w:r>
          </w:p>
        </w:tc>
      </w:tr>
      <w:tr>
        <w:trPr>
          <w:cantSplit/>
        </w:trPr>
        <w:tc>
          <w:tcPr>
            <w:tcW w:type="dxa" w:w="22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Client Sponsor</w:t>
            </w:r>
          </w:p>
        </w:tc>
        <w:tc>
          <w:tcPr>
            <w:tcW w:type="dxa" w:w="23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r>
          </w:p>
        </w:tc>
        <w:tc>
          <w:tcPr>
            <w:tcW w:type="dxa" w:w="26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r>
          </w:p>
        </w:tc>
        <w:tc>
          <w:tcPr>
            <w:tcW w:type="dxa" w:w="22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r>
          </w:p>
        </w:tc>
      </w:tr>
      <w:tr>
        <w:trPr>
          <w:cantSplit/>
        </w:trPr>
        <w:tc>
          <w:tcPr>
            <w:tcW w:type="dxa" w:w="22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Client Product Owner</w:t>
            </w:r>
          </w:p>
        </w:tc>
        <w:tc>
          <w:tcPr>
            <w:tcW w:type="dxa" w:w="23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r>
          </w:p>
        </w:tc>
        <w:tc>
          <w:tcPr>
            <w:tcW w:type="dxa" w:w="26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r>
          </w:p>
        </w:tc>
        <w:tc>
          <w:tcPr>
            <w:tcW w:type="dxa" w:w="22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r>
          </w:p>
        </w:tc>
      </w:tr>
      <w:tr>
        <w:trPr>
          <w:cantSplit/>
        </w:trPr>
        <w:tc>
          <w:tcPr>
            <w:tcW w:type="dxa" w:w="22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8"/>
              </w:rPr>
              <w:t>Implementation Partner</w:t>
            </w:r>
          </w:p>
        </w:tc>
        <w:tc>
          <w:tcPr>
            <w:tcW w:type="dxa" w:w="23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r>
          </w:p>
        </w:tc>
        <w:tc>
          <w:tcPr>
            <w:tcW w:type="dxa" w:w="26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r>
          </w:p>
        </w:tc>
        <w:tc>
          <w:tcPr>
            <w:tcW w:type="dxa" w:w="22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8"/>
              </w:rPr>
            </w:r>
          </w:p>
        </w:tc>
      </w:tr>
    </w:tbl>
    <w:p>
      <w:pPr>
        <w:spacing w:after="20"/>
      </w:pPr>
    </w:p>
    <w:p>
      <w:r>
        <w:br w:type="page"/>
      </w:r>
    </w:p>
    <w:p>
      <w:pPr>
        <w:pStyle w:val="Heading1"/>
      </w:pPr>
      <w:r>
        <w:t>Appendix A - Five-Month Deliverables Register</w:t>
      </w:r>
    </w:p>
    <w:tbl>
      <w:tblPr>
        <w:tblStyle w:val="TableGrid"/>
        <w:tblW w:type="dxa" w:w="9360"/>
        <w:tblLayout w:type="fixed"/>
        <w:tblLook w:firstColumn="1" w:firstRow="1" w:lastColumn="0" w:lastRow="0" w:noHBand="0" w:noVBand="1" w:val="04A0"/>
        <w:jc w:val="center"/>
        <w:tblInd w:w="120" w:type="dxa"/>
      </w:tblPr>
      <w:tblGrid>
        <w:gridCol w:w="900"/>
        <w:gridCol w:w="4850"/>
        <w:gridCol w:w="1100"/>
        <w:gridCol w:w="2510"/>
      </w:tblGrid>
      <w:tr>
        <w:trPr>
          <w:cantSplit/>
          <w:tblHeader w:val="true"/>
          <w:cantSplit/>
        </w:trPr>
        <w:tc>
          <w:tcPr>
            <w:tcW w:type="dxa" w:w="9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ID</w:t>
            </w:r>
          </w:p>
        </w:tc>
        <w:tc>
          <w:tcPr>
            <w:tcW w:type="dxa" w:w="485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Deliverable</w:t>
            </w:r>
          </w:p>
        </w:tc>
        <w:tc>
          <w:tcPr>
            <w:tcW w:type="dxa" w:w="11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Target</w:t>
            </w:r>
          </w:p>
        </w:tc>
        <w:tc>
          <w:tcPr>
            <w:tcW w:type="dxa" w:w="251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Acceptance owner</w:t>
            </w:r>
          </w:p>
        </w:tc>
      </w:tr>
      <w:tr>
        <w:trPr>
          <w:cantSplit/>
        </w:trPr>
        <w:tc>
          <w:tcPr>
            <w:tcW w:type="dxa" w:w="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D01</w:t>
            </w:r>
          </w:p>
        </w:tc>
        <w:tc>
          <w:tcPr>
            <w:tcW w:type="dxa" w:w="48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Requirements and business-rule catalogue</w:t>
            </w:r>
          </w:p>
        </w:tc>
        <w:tc>
          <w:tcPr>
            <w:tcW w:type="dxa" w:w="11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M1</w:t>
            </w:r>
          </w:p>
        </w:tc>
        <w:tc>
          <w:tcPr>
            <w:tcW w:type="dxa" w:w="2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Product Owner</w:t>
            </w:r>
          </w:p>
        </w:tc>
      </w:tr>
      <w:tr>
        <w:trPr>
          <w:cantSplit/>
        </w:trPr>
        <w:tc>
          <w:tcPr>
            <w:tcW w:type="dxa" w:w="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D02</w:t>
            </w:r>
          </w:p>
        </w:tc>
        <w:tc>
          <w:tcPr>
            <w:tcW w:type="dxa" w:w="48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UX/UI prototype and design baseline</w:t>
            </w:r>
          </w:p>
        </w:tc>
        <w:tc>
          <w:tcPr>
            <w:tcW w:type="dxa" w:w="11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M1</w:t>
            </w:r>
          </w:p>
        </w:tc>
        <w:tc>
          <w:tcPr>
            <w:tcW w:type="dxa" w:w="2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Product Owner</w:t>
            </w:r>
          </w:p>
        </w:tc>
      </w:tr>
      <w:tr>
        <w:trPr>
          <w:cantSplit/>
        </w:trPr>
        <w:tc>
          <w:tcPr>
            <w:tcW w:type="dxa" w:w="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D03</w:t>
            </w:r>
          </w:p>
        </w:tc>
        <w:tc>
          <w:tcPr>
            <w:tcW w:type="dxa" w:w="48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Architecture, data model and API conventions</w:t>
            </w:r>
          </w:p>
        </w:tc>
        <w:tc>
          <w:tcPr>
            <w:tcW w:type="dxa" w:w="11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M1</w:t>
            </w:r>
          </w:p>
        </w:tc>
        <w:tc>
          <w:tcPr>
            <w:tcW w:type="dxa" w:w="2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Technical Leads</w:t>
            </w:r>
          </w:p>
        </w:tc>
      </w:tr>
      <w:tr>
        <w:trPr>
          <w:cantSplit/>
        </w:trPr>
        <w:tc>
          <w:tcPr>
            <w:tcW w:type="dxa" w:w="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D04</w:t>
            </w:r>
          </w:p>
        </w:tc>
        <w:tc>
          <w:tcPr>
            <w:tcW w:type="dxa" w:w="48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Development/test environments and CI/CD</w:t>
            </w:r>
          </w:p>
        </w:tc>
        <w:tc>
          <w:tcPr>
            <w:tcW w:type="dxa" w:w="11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M1</w:t>
            </w:r>
          </w:p>
        </w:tc>
        <w:tc>
          <w:tcPr>
            <w:tcW w:type="dxa" w:w="2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Technical Lead</w:t>
            </w:r>
          </w:p>
        </w:tc>
      </w:tr>
      <w:tr>
        <w:trPr>
          <w:cantSplit/>
        </w:trPr>
        <w:tc>
          <w:tcPr>
            <w:tcW w:type="dxa" w:w="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D05</w:t>
            </w:r>
          </w:p>
        </w:tc>
        <w:tc>
          <w:tcPr>
            <w:tcW w:type="dxa" w:w="48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Member, catalog, search and checkout MVP</w:t>
            </w:r>
          </w:p>
        </w:tc>
        <w:tc>
          <w:tcPr>
            <w:tcW w:type="dxa" w:w="11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M2</w:t>
            </w:r>
          </w:p>
        </w:tc>
        <w:tc>
          <w:tcPr>
            <w:tcW w:type="dxa" w:w="2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Product Owner</w:t>
            </w:r>
          </w:p>
        </w:tc>
      </w:tr>
      <w:tr>
        <w:trPr>
          <w:cantSplit/>
        </w:trPr>
        <w:tc>
          <w:tcPr>
            <w:tcW w:type="dxa" w:w="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D06</w:t>
            </w:r>
          </w:p>
        </w:tc>
        <w:tc>
          <w:tcPr>
            <w:tcW w:type="dxa" w:w="48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Sandbox payment, order and test voucher</w:t>
            </w:r>
          </w:p>
        </w:tc>
        <w:tc>
          <w:tcPr>
            <w:tcW w:type="dxa" w:w="11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M2</w:t>
            </w:r>
          </w:p>
        </w:tc>
        <w:tc>
          <w:tcPr>
            <w:tcW w:type="dxa" w:w="2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Product Owner / QA</w:t>
            </w:r>
          </w:p>
        </w:tc>
      </w:tr>
      <w:tr>
        <w:trPr>
          <w:cantSplit/>
        </w:trPr>
        <w:tc>
          <w:tcPr>
            <w:tcW w:type="dxa" w:w="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D07</w:t>
            </w:r>
          </w:p>
        </w:tc>
        <w:tc>
          <w:tcPr>
            <w:tcW w:type="dxa" w:w="48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Production payment and complete order lifecycle</w:t>
            </w:r>
          </w:p>
        </w:tc>
        <w:tc>
          <w:tcPr>
            <w:tcW w:type="dxa" w:w="11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M3</w:t>
            </w:r>
          </w:p>
        </w:tc>
        <w:tc>
          <w:tcPr>
            <w:tcW w:type="dxa" w:w="2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Finance / Operations</w:t>
            </w:r>
          </w:p>
        </w:tc>
      </w:tr>
      <w:tr>
        <w:trPr>
          <w:cantSplit/>
        </w:trPr>
        <w:tc>
          <w:tcPr>
            <w:tcW w:type="dxa" w:w="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D08</w:t>
            </w:r>
          </w:p>
        </w:tc>
        <w:tc>
          <w:tcPr>
            <w:tcW w:type="dxa" w:w="48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QR/PDF voucher and notification templates</w:t>
            </w:r>
          </w:p>
        </w:tc>
        <w:tc>
          <w:tcPr>
            <w:tcW w:type="dxa" w:w="11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M3</w:t>
            </w:r>
          </w:p>
        </w:tc>
        <w:tc>
          <w:tcPr>
            <w:tcW w:type="dxa" w:w="2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Operations</w:t>
            </w:r>
          </w:p>
        </w:tc>
      </w:tr>
      <w:tr>
        <w:trPr>
          <w:cantSplit/>
        </w:trPr>
        <w:tc>
          <w:tcPr>
            <w:tcW w:type="dxa" w:w="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D09</w:t>
            </w:r>
          </w:p>
        </w:tc>
        <w:tc>
          <w:tcPr>
            <w:tcW w:type="dxa" w:w="48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First supplier adapter and synchronization</w:t>
            </w:r>
          </w:p>
        </w:tc>
        <w:tc>
          <w:tcPr>
            <w:tcW w:type="dxa" w:w="11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M4</w:t>
            </w:r>
          </w:p>
        </w:tc>
        <w:tc>
          <w:tcPr>
            <w:tcW w:type="dxa" w:w="2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Supplier / Product Owner</w:t>
            </w:r>
          </w:p>
        </w:tc>
      </w:tr>
      <w:tr>
        <w:trPr>
          <w:cantSplit/>
        </w:trPr>
        <w:tc>
          <w:tcPr>
            <w:tcW w:type="dxa" w:w="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D10</w:t>
            </w:r>
          </w:p>
        </w:tc>
        <w:tc>
          <w:tcPr>
            <w:tcW w:type="dxa" w:w="48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Supplier, support and finance consoles</w:t>
            </w:r>
          </w:p>
        </w:tc>
        <w:tc>
          <w:tcPr>
            <w:tcW w:type="dxa" w:w="11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M4</w:t>
            </w:r>
          </w:p>
        </w:tc>
        <w:tc>
          <w:tcPr>
            <w:tcW w:type="dxa" w:w="2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Operations / Finance</w:t>
            </w:r>
          </w:p>
        </w:tc>
      </w:tr>
      <w:tr>
        <w:trPr>
          <w:cantSplit/>
        </w:trPr>
        <w:tc>
          <w:tcPr>
            <w:tcW w:type="dxa" w:w="9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D11</w:t>
            </w:r>
          </w:p>
        </w:tc>
        <w:tc>
          <w:tcPr>
            <w:tcW w:type="dxa" w:w="485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Security, performance and recovery evidence</w:t>
            </w:r>
          </w:p>
        </w:tc>
        <w:tc>
          <w:tcPr>
            <w:tcW w:type="dxa" w:w="11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M5</w:t>
            </w:r>
          </w:p>
        </w:tc>
        <w:tc>
          <w:tcPr>
            <w:tcW w:type="dxa" w:w="251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Technical Lead</w:t>
            </w:r>
          </w:p>
        </w:tc>
      </w:tr>
      <w:tr>
        <w:trPr>
          <w:cantSplit/>
        </w:trPr>
        <w:tc>
          <w:tcPr>
            <w:tcW w:type="dxa" w:w="9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D12</w:t>
            </w:r>
          </w:p>
        </w:tc>
        <w:tc>
          <w:tcPr>
            <w:tcW w:type="dxa" w:w="485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UAT, training, cutover and production release</w:t>
            </w:r>
          </w:p>
        </w:tc>
        <w:tc>
          <w:tcPr>
            <w:tcW w:type="dxa" w:w="11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M5</w:t>
            </w:r>
          </w:p>
        </w:tc>
        <w:tc>
          <w:tcPr>
            <w:tcW w:type="dxa" w:w="251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Client Sponsor</w:t>
            </w:r>
          </w:p>
        </w:tc>
      </w:tr>
    </w:tbl>
    <w:p>
      <w:pPr>
        <w:spacing w:after="20"/>
      </w:pPr>
    </w:p>
    <w:p>
      <w:pPr>
        <w:pStyle w:val="Heading1"/>
      </w:pPr>
      <w:r>
        <w:t>Appendix B - High-Level Status Definitions</w:t>
      </w:r>
    </w:p>
    <w:tbl>
      <w:tblPr>
        <w:tblStyle w:val="TableGrid"/>
        <w:tblW w:type="dxa" w:w="9360"/>
        <w:tblLayout w:type="fixed"/>
        <w:tblLook w:firstColumn="1" w:firstRow="1" w:lastColumn="0" w:lastRow="0" w:noHBand="0" w:noVBand="1" w:val="04A0"/>
        <w:jc w:val="center"/>
        <w:tblInd w:w="120" w:type="dxa"/>
      </w:tblPr>
      <w:tblGrid>
        <w:gridCol w:w="1300"/>
        <w:gridCol w:w="2200"/>
        <w:gridCol w:w="5860"/>
      </w:tblGrid>
      <w:tr>
        <w:trPr>
          <w:cantSplit/>
          <w:tblHeader w:val="true"/>
          <w:cantSplit/>
        </w:trPr>
        <w:tc>
          <w:tcPr>
            <w:tcW w:type="dxa" w:w="13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Domain</w:t>
            </w:r>
          </w:p>
        </w:tc>
        <w:tc>
          <w:tcPr>
            <w:tcW w:type="dxa" w:w="220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Status</w:t>
            </w:r>
          </w:p>
        </w:tc>
        <w:tc>
          <w:tcPr>
            <w:tcW w:type="dxa" w:w="5860"/>
            <w:tcMar>
              <w:top w:w="80" w:type="dxa"/>
              <w:start w:w="120" w:type="dxa"/>
              <w:bottom w:w="80" w:type="dxa"/>
              <w:end w:w="120" w:type="dxa"/>
            </w:tcMar>
            <w:vAlign w:val="center"/>
            <w:shd w:fill="17365D"/>
          </w:tcPr>
          <w:p>
            <w:pPr>
              <w:spacing w:after="0" w:line="252" w:lineRule="auto"/>
              <w:jc w:val="center"/>
            </w:pPr>
            <w:r/>
            <w:r>
              <w:rPr>
                <w:rFonts w:ascii="Calibri" w:hAnsi="Calibri"/>
                <w:b/>
                <w:i w:val="0"/>
                <w:color w:val="FFFFFF"/>
                <w:sz w:val="17"/>
              </w:rPr>
              <w:t>Meaning</w:t>
            </w:r>
          </w:p>
        </w:tc>
      </w:tr>
      <w:tr>
        <w:trPr>
          <w:cantSplit/>
        </w:trPr>
        <w:tc>
          <w:tcPr>
            <w:tcW w:type="dxa" w:w="13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Order</w:t>
            </w:r>
          </w:p>
        </w:tc>
        <w:tc>
          <w:tcPr>
            <w:tcW w:type="dxa" w:w="22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Pending payment</w:t>
            </w:r>
          </w:p>
        </w:tc>
        <w:tc>
          <w:tcPr>
            <w:tcW w:type="dxa" w:w="58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Order created; valid payment not yet confirmed.</w:t>
            </w:r>
          </w:p>
        </w:tc>
      </w:tr>
      <w:tr>
        <w:trPr>
          <w:cantSplit/>
        </w:trPr>
        <w:tc>
          <w:tcPr>
            <w:tcW w:type="dxa" w:w="13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Order</w:t>
            </w:r>
          </w:p>
        </w:tc>
        <w:tc>
          <w:tcPr>
            <w:tcW w:type="dxa" w:w="22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Paid</w:t>
            </w:r>
          </w:p>
        </w:tc>
        <w:tc>
          <w:tcPr>
            <w:tcW w:type="dxa" w:w="58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Gateway-confirmed payment recorded; supplier confirmation may be pending.</w:t>
            </w:r>
          </w:p>
        </w:tc>
      </w:tr>
      <w:tr>
        <w:trPr>
          <w:cantSplit/>
        </w:trPr>
        <w:tc>
          <w:tcPr>
            <w:tcW w:type="dxa" w:w="13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Order</w:t>
            </w:r>
          </w:p>
        </w:tc>
        <w:tc>
          <w:tcPr>
            <w:tcW w:type="dxa" w:w="22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Confirmed</w:t>
            </w:r>
          </w:p>
        </w:tc>
        <w:tc>
          <w:tcPr>
            <w:tcW w:type="dxa" w:w="58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Supplier/platform has accepted and reserved the service.</w:t>
            </w:r>
          </w:p>
        </w:tc>
      </w:tr>
      <w:tr>
        <w:trPr>
          <w:cantSplit/>
        </w:trPr>
        <w:tc>
          <w:tcPr>
            <w:tcW w:type="dxa" w:w="13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Order</w:t>
            </w:r>
          </w:p>
        </w:tc>
        <w:tc>
          <w:tcPr>
            <w:tcW w:type="dxa" w:w="22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Ticketed</w:t>
            </w:r>
          </w:p>
        </w:tc>
        <w:tc>
          <w:tcPr>
            <w:tcW w:type="dxa" w:w="58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Voucher/ticket has been issued.</w:t>
            </w:r>
          </w:p>
        </w:tc>
      </w:tr>
      <w:tr>
        <w:trPr>
          <w:cantSplit/>
        </w:trPr>
        <w:tc>
          <w:tcPr>
            <w:tcW w:type="dxa" w:w="13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Order</w:t>
            </w:r>
          </w:p>
        </w:tc>
        <w:tc>
          <w:tcPr>
            <w:tcW w:type="dxa" w:w="22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Completed</w:t>
            </w:r>
          </w:p>
        </w:tc>
        <w:tc>
          <w:tcPr>
            <w:tcW w:type="dxa" w:w="58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Travel/service completed or administratively closed.</w:t>
            </w:r>
          </w:p>
        </w:tc>
      </w:tr>
      <w:tr>
        <w:trPr>
          <w:cantSplit/>
        </w:trPr>
        <w:tc>
          <w:tcPr>
            <w:tcW w:type="dxa" w:w="13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Order</w:t>
            </w:r>
          </w:p>
        </w:tc>
        <w:tc>
          <w:tcPr>
            <w:tcW w:type="dxa" w:w="22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Cancelled</w:t>
            </w:r>
          </w:p>
        </w:tc>
        <w:tc>
          <w:tcPr>
            <w:tcW w:type="dxa" w:w="58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Booking cancelled; refund may be separate.</w:t>
            </w:r>
          </w:p>
        </w:tc>
      </w:tr>
      <w:tr>
        <w:trPr>
          <w:cantSplit/>
        </w:trPr>
        <w:tc>
          <w:tcPr>
            <w:tcW w:type="dxa" w:w="13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Payment</w:t>
            </w:r>
          </w:p>
        </w:tc>
        <w:tc>
          <w:tcPr>
            <w:tcW w:type="dxa" w:w="22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Pending</w:t>
            </w:r>
          </w:p>
        </w:tc>
        <w:tc>
          <w:tcPr>
            <w:tcW w:type="dxa" w:w="58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Final gateway result not yet known.</w:t>
            </w:r>
          </w:p>
        </w:tc>
      </w:tr>
      <w:tr>
        <w:trPr>
          <w:cantSplit/>
        </w:trPr>
        <w:tc>
          <w:tcPr>
            <w:tcW w:type="dxa" w:w="13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Payment</w:t>
            </w:r>
          </w:p>
        </w:tc>
        <w:tc>
          <w:tcPr>
            <w:tcW w:type="dxa" w:w="22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Succeeded</w:t>
            </w:r>
          </w:p>
        </w:tc>
        <w:tc>
          <w:tcPr>
            <w:tcW w:type="dxa" w:w="58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Verified successful charge recorded once.</w:t>
            </w:r>
          </w:p>
        </w:tc>
      </w:tr>
      <w:tr>
        <w:trPr>
          <w:cantSplit/>
        </w:trPr>
        <w:tc>
          <w:tcPr>
            <w:tcW w:type="dxa" w:w="13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Payment</w:t>
            </w:r>
          </w:p>
        </w:tc>
        <w:tc>
          <w:tcPr>
            <w:tcW w:type="dxa" w:w="22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Failed</w:t>
            </w:r>
          </w:p>
        </w:tc>
        <w:tc>
          <w:tcPr>
            <w:tcW w:type="dxa" w:w="58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Charge failed or was rejected.</w:t>
            </w:r>
          </w:p>
        </w:tc>
      </w:tr>
      <w:tr>
        <w:trPr>
          <w:cantSplit/>
        </w:trPr>
        <w:tc>
          <w:tcPr>
            <w:tcW w:type="dxa" w:w="13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Refund</w:t>
            </w:r>
          </w:p>
        </w:tc>
        <w:tc>
          <w:tcPr>
            <w:tcW w:type="dxa" w:w="22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Pending</w:t>
            </w:r>
          </w:p>
        </w:tc>
        <w:tc>
          <w:tcPr>
            <w:tcW w:type="dxa" w:w="58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Approved/requested refund awaiting provider completion.</w:t>
            </w:r>
          </w:p>
        </w:tc>
      </w:tr>
      <w:tr>
        <w:trPr>
          <w:cantSplit/>
        </w:trPr>
        <w:tc>
          <w:tcPr>
            <w:tcW w:type="dxa" w:w="13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Refund</w:t>
            </w:r>
          </w:p>
        </w:tc>
        <w:tc>
          <w:tcPr>
            <w:tcW w:type="dxa" w:w="22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Partially refunded</w:t>
            </w:r>
          </w:p>
        </w:tc>
        <w:tc>
          <w:tcPr>
            <w:tcW w:type="dxa" w:w="58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 portion of the captured amount was returned.</w:t>
            </w:r>
          </w:p>
        </w:tc>
      </w:tr>
      <w:tr>
        <w:trPr>
          <w:cantSplit/>
        </w:trPr>
        <w:tc>
          <w:tcPr>
            <w:tcW w:type="dxa" w:w="1300"/>
            <w:shd w:fill="F8FAFC"/>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Refund</w:t>
            </w:r>
          </w:p>
        </w:tc>
        <w:tc>
          <w:tcPr>
            <w:tcW w:type="dxa" w:w="220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Refunded</w:t>
            </w:r>
          </w:p>
        </w:tc>
        <w:tc>
          <w:tcPr>
            <w:tcW w:type="dxa" w:w="5860"/>
            <w:shd w:fill="F8FAFC"/>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Approved amount returned and reconciled.</w:t>
            </w:r>
          </w:p>
        </w:tc>
      </w:tr>
      <w:tr>
        <w:trPr>
          <w:cantSplit/>
        </w:trPr>
        <w:tc>
          <w:tcPr>
            <w:tcW w:type="dxa" w:w="1300"/>
            <w:tcMar>
              <w:top w:w="80" w:type="dxa"/>
              <w:start w:w="120" w:type="dxa"/>
              <w:bottom w:w="80" w:type="dxa"/>
              <w:end w:w="120" w:type="dxa"/>
            </w:tcMar>
            <w:vAlign w:val="center"/>
          </w:tcPr>
          <w:p>
            <w:pPr>
              <w:spacing w:after="0" w:line="252" w:lineRule="auto"/>
              <w:jc w:val="center"/>
            </w:pPr>
            <w:r/>
            <w:r>
              <w:rPr>
                <w:rFonts w:ascii="Calibri" w:hAnsi="Calibri"/>
                <w:b w:val="0"/>
                <w:i w:val="0"/>
                <w:color w:val="1F2937"/>
                <w:sz w:val="16"/>
              </w:rPr>
              <w:t>Supplier</w:t>
            </w:r>
          </w:p>
        </w:tc>
        <w:tc>
          <w:tcPr>
            <w:tcW w:type="dxa" w:w="220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Exception</w:t>
            </w:r>
          </w:p>
        </w:tc>
        <w:tc>
          <w:tcPr>
            <w:tcW w:type="dxa" w:w="5860"/>
            <w:tcMar>
              <w:top w:w="80" w:type="dxa"/>
              <w:start w:w="120" w:type="dxa"/>
              <w:bottom w:w="80" w:type="dxa"/>
              <w:end w:w="120" w:type="dxa"/>
            </w:tcMar>
            <w:vAlign w:val="center"/>
          </w:tcPr>
          <w:p>
            <w:pPr>
              <w:spacing w:after="0" w:line="252" w:lineRule="auto"/>
              <w:jc w:val="left"/>
            </w:pPr>
            <w:r/>
            <w:r>
              <w:rPr>
                <w:rFonts w:ascii="Calibri" w:hAnsi="Calibri"/>
                <w:b w:val="0"/>
                <w:i w:val="0"/>
                <w:color w:val="1F2937"/>
                <w:sz w:val="16"/>
              </w:rPr>
              <w:t>Automated action failed or outcome is uncertain; operator action required.</w:t>
            </w:r>
          </w:p>
        </w:tc>
      </w:tr>
    </w:tbl>
    <w:p>
      <w:pPr>
        <w:spacing w:after="20"/>
      </w:pPr>
    </w:p>
    <w:p>
      <w:pPr>
        <w:pStyle w:val="Heading1"/>
      </w:pPr>
      <w:r>
        <w:t>Appendix C - Explicit Scope Exclusions for Phase 1-2</w:t>
      </w:r>
    </w:p>
    <w:p>
      <w:pPr>
        <w:pStyle w:val="ListBullet"/>
        <w:spacing w:after="60" w:line="276" w:lineRule="auto"/>
      </w:pPr>
      <w:r>
        <w:rPr>
          <w:rFonts w:ascii="Calibri" w:hAnsi="Calibri"/>
          <w:b w:val="0"/>
          <w:i w:val="0"/>
          <w:color w:val="1F2937"/>
          <w:sz w:val="21"/>
        </w:rPr>
        <w:t>Multiple travel categories such as hotels, attractions and packaged tours.</w:t>
      </w:r>
    </w:p>
    <w:p>
      <w:pPr>
        <w:pStyle w:val="ListBullet"/>
        <w:spacing w:after="60" w:line="276" w:lineRule="auto"/>
      </w:pPr>
      <w:r>
        <w:rPr>
          <w:rFonts w:ascii="Calibri" w:hAnsi="Calibri"/>
          <w:b w:val="0"/>
          <w:i w:val="0"/>
          <w:color w:val="1F2937"/>
          <w:sz w:val="21"/>
        </w:rPr>
        <w:t>More than one major supplier API unless separately estimated and approved.</w:t>
      </w:r>
    </w:p>
    <w:p>
      <w:pPr>
        <w:pStyle w:val="ListBullet"/>
        <w:spacing w:after="60" w:line="276" w:lineRule="auto"/>
      </w:pPr>
      <w:r>
        <w:rPr>
          <w:rFonts w:ascii="Calibri" w:hAnsi="Calibri"/>
          <w:b w:val="0"/>
          <w:i w:val="0"/>
          <w:color w:val="1F2937"/>
          <w:sz w:val="21"/>
        </w:rPr>
        <w:t>Native iOS and Android applications.</w:t>
      </w:r>
    </w:p>
    <w:p>
      <w:pPr>
        <w:pStyle w:val="ListBullet"/>
        <w:spacing w:after="60" w:line="276" w:lineRule="auto"/>
      </w:pPr>
      <w:r>
        <w:rPr>
          <w:rFonts w:ascii="Calibri" w:hAnsi="Calibri"/>
          <w:b w:val="0"/>
          <w:i w:val="0"/>
          <w:color w:val="1F2937"/>
          <w:sz w:val="21"/>
        </w:rPr>
        <w:t>Advanced points wallet, tier engine, affiliate network and reseller settlement.</w:t>
      </w:r>
    </w:p>
    <w:p>
      <w:pPr>
        <w:pStyle w:val="ListBullet"/>
        <w:spacing w:after="60" w:line="276" w:lineRule="auto"/>
      </w:pPr>
      <w:r>
        <w:rPr>
          <w:rFonts w:ascii="Calibri" w:hAnsi="Calibri"/>
          <w:b w:val="0"/>
          <w:i w:val="0"/>
          <w:color w:val="1F2937"/>
          <w:sz w:val="21"/>
        </w:rPr>
        <w:t>Dynamic packages and cross-category shopping cart.</w:t>
      </w:r>
    </w:p>
    <w:p>
      <w:pPr>
        <w:pStyle w:val="ListBullet"/>
        <w:spacing w:after="60" w:line="276" w:lineRule="auto"/>
      </w:pPr>
      <w:r>
        <w:rPr>
          <w:rFonts w:ascii="Calibri" w:hAnsi="Calibri"/>
          <w:b w:val="0"/>
          <w:i w:val="0"/>
          <w:color w:val="1F2937"/>
          <w:sz w:val="21"/>
        </w:rPr>
        <w:t>AI recommendation, forecasting or autonomous customer-service decisions.</w:t>
      </w:r>
    </w:p>
    <w:p>
      <w:pPr>
        <w:pStyle w:val="ListBullet"/>
        <w:spacing w:after="60" w:line="276" w:lineRule="auto"/>
      </w:pPr>
      <w:r>
        <w:rPr>
          <w:rFonts w:ascii="Calibri" w:hAnsi="Calibri"/>
          <w:b w:val="0"/>
          <w:i w:val="0"/>
          <w:color w:val="1F2937"/>
          <w:sz w:val="21"/>
        </w:rPr>
        <w:t>Complex international multi-currency and cross-border tax settlement.</w:t>
      </w:r>
    </w:p>
    <w:p>
      <w:pPr>
        <w:pStyle w:val="ListBullet"/>
        <w:spacing w:after="60" w:line="276" w:lineRule="auto"/>
      </w:pPr>
      <w:r>
        <w:rPr>
          <w:rFonts w:ascii="Calibri" w:hAnsi="Calibri"/>
          <w:b w:val="0"/>
          <w:i w:val="0"/>
          <w:color w:val="1F2937"/>
          <w:sz w:val="21"/>
        </w:rPr>
        <w:t>Full ERP, CRM or accounting-system integration beyond agreed exports.</w:t>
      </w:r>
    </w:p>
    <w:p>
      <w:pPr>
        <w:pStyle w:val="ListBullet"/>
        <w:spacing w:after="60" w:line="276" w:lineRule="auto"/>
      </w:pPr>
      <w:r>
        <w:rPr>
          <w:rFonts w:ascii="Calibri" w:hAnsi="Calibri"/>
          <w:b w:val="0"/>
          <w:i w:val="0"/>
          <w:color w:val="1F2937"/>
          <w:sz w:val="21"/>
        </w:rPr>
        <w:t>Large-scale microservice/Kafka/Kubernetes architecture without an approved operational requirement.</w:t>
      </w:r>
    </w:p>
    <w:p>
      <w:pPr>
        <w:pStyle w:val="ListBullet"/>
        <w:spacing w:after="60" w:line="276" w:lineRule="auto"/>
      </w:pPr>
      <w:r>
        <w:rPr>
          <w:rFonts w:ascii="Calibri" w:hAnsi="Calibri"/>
          <w:b w:val="0"/>
          <w:i w:val="0"/>
          <w:color w:val="1F2937"/>
          <w:sz w:val="21"/>
        </w:rPr>
        <w:t>Custom features not described in the approved requirement baseline.</w:t>
      </w:r>
    </w:p>
    <w:sectPr w:rsidR="00FC693F" w:rsidRPr="0006063C" w:rsidSect="00034616">
      <w:headerReference w:type="default" r:id="rId9"/>
      <w:footerReference w:type="default" r:id="rId10"/>
      <w:pgSz w:w="12240" w:h="15840"/>
      <w:pgMar w:top="1440"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573"/>
        <w:sz w:val="16"/>
      </w:rPr>
      <w:t xml:space="preserve">Confidential - Prepared for Client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B6573"/>
        <w:sz w:val="17"/>
      </w:rPr>
      <w:t>TRANSPORT OTA IMPLEMENTATION PLAN  |  CLIENT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90"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