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before="0" w:line="308.5714285714286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9"/>
          <w:szCs w:val="39"/>
        </w:rPr>
      </w:pPr>
      <w:bookmarkStart w:colFirst="0" w:colLast="0" w:name="_g6sus49qzdr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2"/>
          <w:szCs w:val="42"/>
          <w:rtl w:val="0"/>
        </w:rPr>
        <w:t xml:space="preserve">Building Diversified Portfolios Using Hierarchical Risk Parity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Students: Xinyu Guo, Peicheng Wang, Zehao Dong, Yukang Zhou, Run Qiao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10/28/2019</w:t>
      </w:r>
    </w:p>
    <w:p w:rsidR="00000000" w:rsidDel="00000000" w:rsidP="00000000" w:rsidRDefault="00000000" w:rsidRPr="00000000" w14:paraId="00000006">
      <w:pPr>
        <w:widowControl w:val="0"/>
        <w:spacing w:after="1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1opq2jw467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bkhytiwh6m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project,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want to implement and test the Hierarchical Risk Parity (HRP) approach on portfolio construction proposed by Marcos Lopez de Prado in his paper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rtl w:val="0"/>
          </w:rPr>
          <w:t xml:space="preserve">Building Diversified Portfolios that Outperform Out-of-Sample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Portfolios with higher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risk-adjusted returns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expected to be constructed through HRP compared to traditional methods. 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Introduction: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nycr562et0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HRP applies modern mathematics to build a diversified portfolio based on the information contained in the covariance matrix. It does not require the invertibility of the covariance matrix and it can compute a portfolio on an ill-degenerated or even a singular covariance matrix. </w:t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j6962eo7tu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HRP algorithm works in three stages: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 clustering: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group similar investments into clusters based on their correlation matrix. Having a hierarchical structure helps us to improve stability issues of quadratic optimizers when inverting the covariance matrix.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Quasi-diagonalization: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reorganize the covariance matrix so similar investments will be placed together. This matrix diagonalization allows us to distribute weights optimally following an inverse-variance allocation.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Recursive bisection: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distribute the allocation through recursive bisection based on cluster covariance.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required: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plan to use constituent stocks in S&amp;P 100 index as our sample data from Bloomberg.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17">
      <w:pPr>
        <w:spacing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Prado, M. L. D. (2016). Building Diversified Portfolios that Outperform Out of Sample.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Journal of Portfolio 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(4), 59–69. doi: 10.3905/jpm.2016.42.4.059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pers.ssrn.com/sol3/papers.cfm?abstract_id=2708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