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After reading the article I think learning style doesn't matter in the classroom. However they are characteristic of how we approach challenges and projects as individuals.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For example some when building legos or furnicher will follow the institution to the letter while other will jump right in and start building.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