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Stock Market Assistant - Архитектура системы</w:t>
      </w:r>
    </w:p>
    <w:p>
      <w:pPr>
        <w:pStyle w:val="Heading1"/>
      </w:pPr>
      <w:r>
        <w:t>Stock Market Assistant - Архитектура системы</w:t>
      </w:r>
    </w:p>
    <w:p>
      <w:pPr>
        <w:pStyle w:val="Heading2"/>
      </w:pPr>
      <w:r>
        <w:t>1. Общая архитектура (Component Diagram)</w:t>
      </w:r>
    </w:p>
    <w:p>
      <w:pPr>
        <w:spacing w:after="240"/>
        <w:jc w:val="center"/>
      </w:pPr>
      <w:r>
        <w:drawing>
          <wp:inline xmlns:a="http://schemas.openxmlformats.org/drawingml/2006/main" xmlns:pic="http://schemas.openxmlformats.org/drawingml/2006/picture">
            <wp:extent cx="5943600" cy="471545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154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2. Event-Driven Architecture (Kafka Flow)</w:t>
      </w:r>
    </w:p>
    <w:p>
      <w:pPr>
        <w:spacing w:after="240"/>
        <w:jc w:val="center"/>
      </w:pPr>
      <w:r>
        <w:drawing>
          <wp:inline xmlns:a="http://schemas.openxmlformats.org/drawingml/2006/main" xmlns:pic="http://schemas.openxmlformats.org/drawingml/2006/picture">
            <wp:extent cx="5943600" cy="474578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457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3. Детальная архитектура сервисов</w:t>
      </w:r>
    </w:p>
    <w:p>
      <w:pPr>
        <w:spacing w:after="240"/>
        <w:jc w:val="center"/>
      </w:pPr>
      <w:r>
        <w:drawing>
          <wp:inline xmlns:a="http://schemas.openxmlformats.org/drawingml/2006/main" xmlns:pic="http://schemas.openxmlformats.org/drawingml/2006/picture">
            <wp:extent cx="5943600" cy="374507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450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4. Data Flow Diagram</w:t>
      </w:r>
    </w:p>
    <w:p>
      <w:pPr>
        <w:spacing w:after="240"/>
        <w:jc w:val="center"/>
      </w:pPr>
      <w:r>
        <w:drawing>
          <wp:inline xmlns:a="http://schemas.openxmlformats.org/drawingml/2006/main" xmlns:pic="http://schemas.openxmlformats.org/drawingml/2006/picture">
            <wp:extent cx="5943600" cy="463964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396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5. Database Schema Overview</w:t>
      </w:r>
    </w:p>
    <w:p>
      <w:pPr>
        <w:spacing w:after="240"/>
        <w:jc w:val="center"/>
      </w:pPr>
      <w:r>
        <w:drawing>
          <wp:inline xmlns:a="http://schemas.openxmlformats.org/drawingml/2006/main" xmlns:pic="http://schemas.openxmlformats.org/drawingml/2006/picture">
            <wp:extent cx="5943600" cy="995401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9540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6. Deployment Architecture</w:t>
      </w:r>
    </w:p>
    <w:p>
      <w:pPr>
        <w:spacing w:after="240"/>
        <w:jc w:val="center"/>
      </w:pPr>
      <w:r>
        <w:drawing>
          <wp:inline xmlns:a="http://schemas.openxmlformats.org/drawingml/2006/main" xmlns:pic="http://schemas.openxmlformats.org/drawingml/2006/picture">
            <wp:extent cx="5943600" cy="319923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92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7. Security Architecture</w:t>
      </w:r>
    </w:p>
    <w:p>
      <w:pPr>
        <w:spacing w:after="240"/>
        <w:jc w:val="center"/>
      </w:pPr>
      <w:r>
        <w:drawing>
          <wp:inline xmlns:a="http://schemas.openxmlformats.org/drawingml/2006/main" xmlns:pic="http://schemas.openxmlformats.org/drawingml/2006/picture">
            <wp:extent cx="5943600" cy="280501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50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8. Monitoring &amp; Observability</w:t>
      </w:r>
    </w:p>
    <w:p>
      <w:pPr>
        <w:spacing w:after="240"/>
        <w:jc w:val="center"/>
      </w:pPr>
      <w:r>
        <w:drawing>
          <wp:inline xmlns:a="http://schemas.openxmlformats.org/drawingml/2006/main" xmlns:pic="http://schemas.openxmlformats.org/drawingml/2006/picture">
            <wp:extent cx="5943600" cy="1872537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725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Примечания</w:t>
      </w:r>
    </w:p>
    <w:p>
      <w:pPr>
        <w:pStyle w:val="ListBullet"/>
      </w:pPr>
      <w:r>
        <w:t>Все сервисы используют Clean Architecture (Domain, Application, Infrastructure, Presentation)</w:t>
      </w:r>
    </w:p>
    <w:p>
      <w:pPr>
        <w:pStyle w:val="ListBullet"/>
      </w:pPr>
      <w:r>
        <w:t>Коммуникация между сервисами: REST API (синхронная) и Kafka (асинхронная)</w:t>
      </w:r>
    </w:p>
    <w:p>
      <w:pPr>
        <w:pStyle w:val="ListBullet"/>
      </w:pPr>
      <w:r>
        <w:t>Каждый сервис имеет свою базу данных (Database per Service pattern)</w:t>
      </w:r>
    </w:p>
    <w:p>
      <w:pPr>
        <w:pStyle w:val="ListBullet"/>
      </w:pPr>
      <w:r>
        <w:t>Redis используется для кэширования данных StockCardService</w:t>
      </w:r>
    </w:p>
    <w:p>
      <w:pPr>
        <w:pStyle w:val="ListBullet"/>
      </w:pPr>
      <w:r>
        <w:t>OpenSearch используется для централизованного логирования и мониторинга</w:t>
      </w:r>
    </w:p>
    <w:p>
      <w:pPr>
        <w:pStyle w:val="ListBullet"/>
      </w:pPr>
      <w:r>
        <w:t>Kafka обеспечивает event-driven коммуникацию между PortfolioService, AnalyticsService и NotificationService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Relationship Id="rId16" Type="http://schemas.openxmlformats.org/officeDocument/2006/relationships/image" Target="media/image8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