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r w:rsidR="00E307E4" w:rsidRPr="00E307E4">
        <w:rPr>
          <w:rFonts w:ascii="Times New Roman" w:hAnsi="Times New Roman" w:cs="Times New Roman"/>
          <w:color w:val="000000" w:themeColor="text1"/>
          <w:sz w:val="24"/>
          <w:szCs w:val="24"/>
        </w:rPr>
        <w:t xml:space="preserve">Mesocosm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A339E6" w:rsidP="005F057B">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Mesocosm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A339E6"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Sujan Henkanaththegedara</w:t>
      </w:r>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Hoak</w:t>
      </w: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5" w:history="1">
        <w:r w:rsidRPr="00635C22">
          <w:rPr>
            <w:rStyle w:val="Hyperlink"/>
            <w:rFonts w:ascii="Times New Roman" w:hAnsi="Times New Roman" w:cs="Times New Roman"/>
            <w:color w:val="000000" w:themeColor="text1"/>
            <w:sz w:val="24"/>
            <w:szCs w:val="24"/>
          </w:rPr>
          <w:t>Henkanaththegedarasm@longwood.edu</w:t>
        </w:r>
      </w:hyperlink>
    </w:p>
    <w:p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6" w:history="1">
        <w:r w:rsidRPr="00566DC8">
          <w:rPr>
            <w:rStyle w:val="Hyperlink"/>
            <w:rFonts w:ascii="Times New Roman" w:hAnsi="Times New Roman" w:cs="Times New Roman"/>
            <w:sz w:val="24"/>
            <w:szCs w:val="24"/>
          </w:rPr>
          <w:t>fortinok@longwood.edu</w:t>
        </w:r>
      </w:hyperlink>
    </w:p>
    <w:p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7" w:history="1">
        <w:r w:rsidRPr="00E24AC8">
          <w:rPr>
            <w:rStyle w:val="Hyperlink"/>
            <w:rFonts w:ascii="Times New Roman" w:hAnsi="Times New Roman" w:cs="Times New Roman"/>
            <w:sz w:val="24"/>
            <w:szCs w:val="24"/>
          </w:rPr>
          <w:t>connor.perry@live.longwood.edu</w:t>
        </w:r>
      </w:hyperlink>
    </w:p>
    <w:p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8" w:history="1">
        <w:r w:rsidRPr="00E24AC8">
          <w:rPr>
            <w:rStyle w:val="Hyperlink"/>
            <w:rFonts w:ascii="Times New Roman" w:hAnsi="Times New Roman" w:cs="Times New Roman"/>
            <w:sz w:val="24"/>
            <w:szCs w:val="24"/>
          </w:rPr>
          <w:t>david.conner@live.longwood.edu</w:t>
        </w:r>
      </w:hyperlink>
    </w:p>
    <w:p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Hoak - </w:t>
      </w:r>
      <w:hyperlink r:id="rId9" w:history="1">
        <w:r w:rsidRPr="00566DC8">
          <w:rPr>
            <w:rStyle w:val="Hyperlink"/>
            <w:rFonts w:ascii="Times New Roman" w:hAnsi="Times New Roman" w:cs="Times New Roman"/>
            <w:sz w:val="24"/>
            <w:szCs w:val="24"/>
          </w:rPr>
          <w:t>jessica.hoak@live.longwood.edu</w:t>
        </w:r>
      </w:hyperlink>
    </w:p>
    <w:p w:rsidR="00E307E4" w:rsidRPr="00E307E4" w:rsidRDefault="00E307E4" w:rsidP="005F057B">
      <w:pPr>
        <w:spacing w:after="0" w:line="240" w:lineRule="auto"/>
        <w:rPr>
          <w:rFonts w:ascii="Times New Roman" w:hAnsi="Times New Roman" w:cs="Times New Roman"/>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after="0" w:line="240" w:lineRule="auto"/>
        <w:rPr>
          <w:rFonts w:ascii="Times New Roman" w:hAnsi="Times New Roman" w:cs="Times New Roman"/>
          <w:color w:val="000000" w:themeColor="text1"/>
          <w:sz w:val="24"/>
          <w:szCs w:val="24"/>
        </w:rPr>
      </w:pPr>
    </w:p>
    <w:p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rsidR="005F057B" w:rsidRPr="00635C22" w:rsidRDefault="005F057B" w:rsidP="005F057B">
      <w:pPr>
        <w:spacing w:line="240" w:lineRule="auto"/>
        <w:rPr>
          <w:rFonts w:ascii="Times New Roman" w:hAnsi="Times New Roman" w:cs="Times New Roman"/>
          <w:color w:val="000000" w:themeColor="text1"/>
          <w:sz w:val="24"/>
          <w:szCs w:val="24"/>
        </w:rPr>
      </w:pPr>
    </w:p>
    <w:p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rsidR="005F057B" w:rsidRPr="00635C22" w:rsidRDefault="005F057B" w:rsidP="005F057B">
      <w:pPr>
        <w:spacing w:line="240" w:lineRule="auto"/>
        <w:rPr>
          <w:rFonts w:ascii="Times New Roman" w:hAnsi="Times New Roman" w:cs="Times New Roman"/>
          <w:b/>
          <w:color w:val="000000" w:themeColor="text1"/>
          <w:sz w:val="24"/>
          <w:szCs w:val="24"/>
        </w:rPr>
      </w:pPr>
    </w:p>
    <w:p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   )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  ). Additionally, non-native crayfish </w:t>
      </w:r>
      <w:r w:rsidR="00A43BB8">
        <w:rPr>
          <w:rFonts w:ascii="Times New Roman" w:hAnsi="Times New Roman" w:cs="Times New Roman"/>
          <w:sz w:val="24"/>
          <w:szCs w:val="24"/>
        </w:rPr>
        <w:t xml:space="preserve">may degrade the quality of aquatic habitats, mainly due to removal of aquatic macrophytes and </w:t>
      </w:r>
      <w:bookmarkStart w:id="0" w:name="_GoBack"/>
      <w:bookmarkEnd w:id="0"/>
      <w:r w:rsidR="00A43BB8">
        <w:rPr>
          <w:rFonts w:ascii="Times New Roman" w:hAnsi="Times New Roman" w:cs="Times New Roman"/>
          <w:sz w:val="24"/>
          <w:szCs w:val="24"/>
        </w:rPr>
        <w:t xml:space="preserve">macroinvertebrates ( ), and also act as vectors for diseases such as crayfish plague ( ). </w:t>
      </w:r>
    </w:p>
    <w:p w:rsidR="00A43BB8" w:rsidRDefault="00A43BB8" w:rsidP="00E07EAA">
      <w:pPr>
        <w:spacing w:line="240" w:lineRule="auto"/>
        <w:rPr>
          <w:rFonts w:ascii="Times New Roman" w:hAnsi="Times New Roman" w:cs="Times New Roman"/>
          <w:sz w:val="24"/>
          <w:szCs w:val="24"/>
        </w:rPr>
      </w:pPr>
    </w:p>
    <w:p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Paragraph elaborating population/community level impacts- Sujan.</w:t>
      </w:r>
      <w:proofErr w:type="gramEnd"/>
    </w:p>
    <w:p w:rsidR="00A43BB8" w:rsidRDefault="00A43BB8" w:rsidP="00E07EAA">
      <w:pPr>
        <w:spacing w:line="240" w:lineRule="auto"/>
        <w:rPr>
          <w:rFonts w:ascii="Times New Roman" w:hAnsi="Times New Roman" w:cs="Times New Roman"/>
          <w:sz w:val="24"/>
          <w:szCs w:val="24"/>
        </w:rPr>
      </w:pPr>
    </w:p>
    <w:p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1"/>
      <w:r w:rsidRPr="00A43BB8">
        <w:rPr>
          <w:rFonts w:ascii="Times New Roman" w:hAnsi="Times New Roman" w:cs="Times New Roman"/>
          <w:sz w:val="24"/>
          <w:szCs w:val="24"/>
          <w:highlight w:val="yellow"/>
        </w:rPr>
        <w:t>quality</w:t>
      </w:r>
      <w:commentRangeEnd w:id="1"/>
      <w:r>
        <w:rPr>
          <w:rStyle w:val="CommentReference"/>
        </w:rPr>
        <w:commentReference w:id="1"/>
      </w:r>
      <w:r>
        <w:rPr>
          <w:rFonts w:ascii="Times New Roman" w:hAnsi="Times New Roman" w:cs="Times New Roman"/>
          <w:sz w:val="24"/>
          <w:szCs w:val="24"/>
        </w:rPr>
        <w:t xml:space="preserve"> </w:t>
      </w:r>
    </w:p>
    <w:p w:rsidR="00A43BB8" w:rsidRDefault="00A43BB8" w:rsidP="00E07EAA">
      <w:pPr>
        <w:spacing w:line="240" w:lineRule="auto"/>
        <w:rPr>
          <w:rFonts w:ascii="Times New Roman" w:hAnsi="Times New Roman" w:cs="Times New Roman"/>
          <w:sz w:val="24"/>
          <w:szCs w:val="24"/>
        </w:rPr>
      </w:pPr>
    </w:p>
    <w:p w:rsidR="00A43BB8" w:rsidRDefault="00A43BB8" w:rsidP="00E07EAA">
      <w:pPr>
        <w:spacing w:line="240" w:lineRule="auto"/>
        <w:rPr>
          <w:rFonts w:ascii="Times New Roman" w:hAnsi="Times New Roman" w:cs="Times New Roman"/>
          <w:sz w:val="24"/>
          <w:szCs w:val="24"/>
        </w:rPr>
      </w:pPr>
    </w:p>
    <w:p w:rsidR="00A43BB8" w:rsidRDefault="00A43BB8" w:rsidP="00E07EAA">
      <w:pPr>
        <w:spacing w:line="240" w:lineRule="auto"/>
        <w:rPr>
          <w:rFonts w:ascii="Times New Roman" w:hAnsi="Times New Roman" w:cs="Times New Roman"/>
          <w:sz w:val="24"/>
          <w:szCs w:val="24"/>
        </w:rPr>
      </w:pPr>
    </w:p>
    <w:p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r w:rsidR="00FA02B3" w:rsidRPr="00FA02B3">
        <w:rPr>
          <w:rFonts w:ascii="Times New Roman" w:hAnsi="Times New Roman" w:cs="Times New Roman"/>
          <w:i/>
          <w:sz w:val="24"/>
          <w:szCs w:val="24"/>
        </w:rPr>
        <w:t>Procambarus clarkii</w:t>
      </w:r>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r w:rsidRPr="00E07EAA">
        <w:rPr>
          <w:rFonts w:ascii="Times New Roman" w:hAnsi="Times New Roman" w:cs="Times New Roman"/>
          <w:i/>
          <w:sz w:val="24"/>
          <w:szCs w:val="24"/>
        </w:rPr>
        <w:t>Orconectes virilis</w:t>
      </w:r>
      <w:r>
        <w:rPr>
          <w:rFonts w:ascii="Times New Roman" w:hAnsi="Times New Roman" w:cs="Times New Roman"/>
          <w:sz w:val="24"/>
          <w:szCs w:val="24"/>
        </w:rPr>
        <w:t xml:space="preserve">) could </w:t>
      </w:r>
      <w:proofErr w:type="gramStart"/>
      <w:r>
        <w:rPr>
          <w:rFonts w:ascii="Times New Roman" w:hAnsi="Times New Roman" w:cs="Times New Roman"/>
          <w:sz w:val="24"/>
          <w:szCs w:val="24"/>
        </w:rPr>
        <w:t>outcompete</w:t>
      </w:r>
      <w:proofErr w:type="gramEnd"/>
      <w:r>
        <w:rPr>
          <w:rFonts w:ascii="Times New Roman" w:hAnsi="Times New Roman" w:cs="Times New Roman"/>
          <w:sz w:val="24"/>
          <w:szCs w:val="24"/>
        </w:rPr>
        <w:t xml:space="preserve"> native Piedmont crayfish (</w:t>
      </w:r>
      <w:r w:rsidRPr="00E07EAA">
        <w:rPr>
          <w:rFonts w:ascii="Times New Roman" w:hAnsi="Times New Roman" w:cs="Times New Roman"/>
          <w:i/>
          <w:sz w:val="24"/>
          <w:szCs w:val="24"/>
        </w:rPr>
        <w:t>Cambarus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sympatry (Hale et al. 2016).  </w:t>
      </w:r>
    </w:p>
    <w:p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mesocosm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(Henkanaththegedara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mesocosms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rsidR="005F057B" w:rsidRDefault="005F057B" w:rsidP="005F057B">
      <w:pPr>
        <w:spacing w:line="240" w:lineRule="auto"/>
        <w:rPr>
          <w:rFonts w:ascii="Times New Roman" w:hAnsi="Times New Roman" w:cs="Times New Roman"/>
          <w:b/>
          <w:color w:val="000000" w:themeColor="text1"/>
          <w:sz w:val="24"/>
          <w:szCs w:val="24"/>
        </w:rPr>
      </w:pPr>
    </w:p>
    <w:p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METHODS</w:t>
      </w:r>
    </w:p>
    <w:p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O. virilis</w:t>
      </w:r>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r w:rsidRPr="005F057B">
        <w:rPr>
          <w:rFonts w:ascii="Times New Roman" w:hAnsi="Times New Roman" w:cs="Times New Roman"/>
          <w:i/>
          <w:color w:val="000000" w:themeColor="text1"/>
          <w:sz w:val="24"/>
          <w:szCs w:val="24"/>
        </w:rPr>
        <w:t>Cambarus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mesocosms for 24 hours before stocking. </w:t>
      </w:r>
    </w:p>
    <w:p w:rsidR="005F057B" w:rsidRPr="002347AB" w:rsidRDefault="005F057B" w:rsidP="002347AB">
      <w:pPr>
        <w:spacing w:line="240" w:lineRule="auto"/>
        <w:rPr>
          <w:rFonts w:ascii="Times New Roman" w:hAnsi="Times New Roman" w:cs="Times New Roman"/>
          <w:i/>
          <w:color w:val="000000" w:themeColor="text1"/>
          <w:sz w:val="24"/>
          <w:szCs w:val="24"/>
        </w:rPr>
      </w:pPr>
      <w:r w:rsidRPr="00093641">
        <w:rPr>
          <w:rFonts w:ascii="Times New Roman" w:hAnsi="Times New Roman" w:cs="Times New Roman"/>
          <w:i/>
          <w:color w:val="000000" w:themeColor="text1"/>
          <w:sz w:val="24"/>
          <w:szCs w:val="24"/>
        </w:rPr>
        <w:t>Mesocosm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mesocosm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Tanks were setup in an outside field at Longwood University, Farmville, Virginia allowing us to include the effects of natural variation of environmental conditions (e.g. temperature and precipitation) and natural colonizers of water bodies. Mesocosms</w:t>
      </w:r>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r w:rsidR="00903672">
        <w:rPr>
          <w:rFonts w:ascii="Times New Roman" w:eastAsia="Times New Roman" w:hAnsi="Times New Roman" w:cs="Times New Roman"/>
          <w:color w:val="000000"/>
          <w:sz w:val="24"/>
          <w:szCs w:val="24"/>
          <w:lang w:eastAsia="de-DE"/>
        </w:rPr>
        <w:t>mesocosm</w:t>
      </w:r>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rsidTr="00093641">
        <w:tc>
          <w:tcPr>
            <w:tcW w:w="2088" w:type="dxa"/>
          </w:tcPr>
          <w:p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high-density</w:t>
            </w:r>
          </w:p>
        </w:tc>
        <w:tc>
          <w:tcPr>
            <w:tcW w:w="1260" w:type="dxa"/>
          </w:tcPr>
          <w:p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rsidTr="00093641">
        <w:tc>
          <w:tcPr>
            <w:tcW w:w="2088" w:type="dxa"/>
          </w:tcPr>
          <w:p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r w:rsidR="00903672" w:rsidRPr="00903672">
              <w:rPr>
                <w:rFonts w:ascii="Times New Roman" w:eastAsia="Times New Roman" w:hAnsi="Times New Roman" w:cs="Times New Roman"/>
                <w:i/>
                <w:color w:val="000000"/>
                <w:sz w:val="24"/>
                <w:szCs w:val="24"/>
                <w:lang w:eastAsia="de-DE"/>
              </w:rPr>
              <w:t>Cambarus sp. C</w:t>
            </w:r>
          </w:p>
        </w:tc>
        <w:tc>
          <w:tcPr>
            <w:tcW w:w="135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rsidTr="00093641">
        <w:tc>
          <w:tcPr>
            <w:tcW w:w="2088" w:type="dxa"/>
          </w:tcPr>
          <w:p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 virilis</w:t>
            </w:r>
          </w:p>
        </w:tc>
        <w:tc>
          <w:tcPr>
            <w:tcW w:w="135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rsidTr="00093641">
        <w:tc>
          <w:tcPr>
            <w:tcW w:w="2088" w:type="dxa"/>
          </w:tcPr>
          <w:p w:rsidR="00093641" w:rsidRDefault="00093641" w:rsidP="00903672">
            <w:pPr>
              <w:jc w:val="both"/>
              <w:rPr>
                <w:rFonts w:ascii="Times New Roman" w:eastAsia="Times New Roman" w:hAnsi="Times New Roman" w:cs="Times New Roman"/>
                <w:color w:val="000000"/>
                <w:sz w:val="24"/>
                <w:szCs w:val="24"/>
                <w:lang w:eastAsia="de-DE"/>
              </w:rPr>
            </w:pPr>
          </w:p>
          <w:p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w:t>
      </w:r>
      <w:proofErr w:type="gramStart"/>
      <w:r w:rsidRPr="005F057B">
        <w:rPr>
          <w:rFonts w:ascii="Times New Roman" w:hAnsi="Times New Roman" w:cs="Times New Roman"/>
          <w:color w:val="000000" w:themeColor="text1"/>
          <w:sz w:val="24"/>
          <w:szCs w:val="24"/>
        </w:rPr>
        <w:t>scale,</w:t>
      </w:r>
      <w:proofErr w:type="gramEnd"/>
      <w:r w:rsidRPr="005F057B">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mesocosm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body size of invasive crayfish with native crayfish to eliminate any biased results due to extremely large crayfish. </w:t>
      </w:r>
    </w:p>
    <w:p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lastRenderedPageBreak/>
        <w:t>Crayfish sampling</w:t>
      </w:r>
    </w:p>
    <w:p w:rsidR="00903672" w:rsidRDefault="0086325E" w:rsidP="0086325E">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w:t>
      </w:r>
      <w:proofErr w:type="gramStart"/>
      <w:r w:rsidR="008B1D54" w:rsidRPr="005F057B">
        <w:rPr>
          <w:rFonts w:ascii="Times New Roman" w:hAnsi="Times New Roman" w:cs="Times New Roman"/>
          <w:color w:val="000000" w:themeColor="text1"/>
          <w:sz w:val="24"/>
          <w:szCs w:val="24"/>
        </w:rPr>
        <w:t>scale,</w:t>
      </w:r>
      <w:proofErr w:type="gramEnd"/>
      <w:r w:rsidR="008B1D54" w:rsidRPr="005F057B">
        <w:rPr>
          <w:rFonts w:ascii="Times New Roman" w:hAnsi="Times New Roman" w:cs="Times New Roman"/>
          <w:color w:val="000000" w:themeColor="text1"/>
          <w:sz w:val="24"/>
          <w:szCs w:val="24"/>
        </w:rPr>
        <w:t xml:space="preserv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rsidR="00903672" w:rsidRDefault="00903672" w:rsidP="00A339E6">
      <w:pPr>
        <w:spacing w:line="240" w:lineRule="auto"/>
        <w:jc w:val="both"/>
        <w:rPr>
          <w:rFonts w:ascii="Times New Roman" w:eastAsia="Times New Roman" w:hAnsi="Times New Roman" w:cs="Times New Roman"/>
          <w:color w:val="000000"/>
          <w:sz w:val="24"/>
          <w:szCs w:val="24"/>
          <w:lang w:eastAsia="de-DE"/>
        </w:rPr>
      </w:pPr>
    </w:p>
    <w:p w:rsidR="00A339E6" w:rsidRPr="00A43BB8" w:rsidRDefault="00A339E6" w:rsidP="00A339E6">
      <w:pPr>
        <w:spacing w:line="240" w:lineRule="auto"/>
        <w:jc w:val="both"/>
        <w:rPr>
          <w:rFonts w:ascii="Times New Roman" w:eastAsia="Times New Roman" w:hAnsi="Times New Roman" w:cs="Times New Roman"/>
          <w:i/>
          <w:color w:val="000000"/>
          <w:sz w:val="24"/>
          <w:szCs w:val="24"/>
          <w:highlight w:val="yellow"/>
          <w:lang w:eastAsia="de-DE"/>
        </w:rPr>
      </w:pPr>
      <w:commentRangeStart w:id="2"/>
      <w:r w:rsidRPr="00A43BB8">
        <w:rPr>
          <w:rFonts w:ascii="Times New Roman" w:eastAsia="Times New Roman" w:hAnsi="Times New Roman" w:cs="Times New Roman"/>
          <w:i/>
          <w:color w:val="000000"/>
          <w:sz w:val="24"/>
          <w:szCs w:val="24"/>
          <w:highlight w:val="yellow"/>
          <w:lang w:eastAsia="de-DE"/>
        </w:rPr>
        <w:t>Leaf litter decomposition rate</w:t>
      </w:r>
    </w:p>
    <w:p w:rsidR="00A339E6" w:rsidRPr="00A43BB8" w:rsidRDefault="00A339E6" w:rsidP="00A339E6">
      <w:pPr>
        <w:spacing w:line="240" w:lineRule="auto"/>
        <w:jc w:val="both"/>
        <w:rPr>
          <w:rFonts w:ascii="Times New Roman" w:eastAsia="Times New Roman" w:hAnsi="Times New Roman" w:cs="Times New Roman"/>
          <w:i/>
          <w:color w:val="000000"/>
          <w:sz w:val="24"/>
          <w:szCs w:val="24"/>
          <w:highlight w:val="yellow"/>
          <w:lang w:eastAsia="de-DE"/>
        </w:rPr>
      </w:pPr>
    </w:p>
    <w:p w:rsidR="00A339E6" w:rsidRPr="00A339E6" w:rsidRDefault="00A339E6" w:rsidP="00A339E6">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highlight w:val="yellow"/>
          <w:lang w:eastAsia="de-DE"/>
        </w:rPr>
        <w:t>Water quality measurements</w:t>
      </w:r>
      <w:commentRangeEnd w:id="2"/>
      <w:r w:rsidR="00A43BB8">
        <w:rPr>
          <w:rStyle w:val="CommentReference"/>
        </w:rPr>
        <w:commentReference w:id="2"/>
      </w:r>
    </w:p>
    <w:p w:rsidR="00903672" w:rsidRDefault="00903672" w:rsidP="00A43BB8">
      <w:pPr>
        <w:spacing w:line="240" w:lineRule="auto"/>
        <w:jc w:val="both"/>
        <w:rPr>
          <w:rFonts w:ascii="Times New Roman" w:eastAsia="Times New Roman" w:hAnsi="Times New Roman" w:cs="Times New Roman"/>
          <w:color w:val="000000"/>
          <w:sz w:val="24"/>
          <w:szCs w:val="24"/>
          <w:lang w:eastAsia="de-DE"/>
        </w:rPr>
      </w:pPr>
    </w:p>
    <w:p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rsidR="00903672" w:rsidRDefault="00903672" w:rsidP="002347AB">
      <w:pPr>
        <w:spacing w:line="240" w:lineRule="auto"/>
        <w:ind w:firstLine="288"/>
        <w:jc w:val="both"/>
        <w:rPr>
          <w:rFonts w:ascii="Times New Roman" w:eastAsia="Times New Roman" w:hAnsi="Times New Roman" w:cs="Times New Roman"/>
          <w:color w:val="000000"/>
          <w:sz w:val="24"/>
          <w:szCs w:val="24"/>
          <w:lang w:eastAsia="de-DE"/>
        </w:rPr>
      </w:pPr>
    </w:p>
    <w:p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Henkanaththegedara (2016)</w:t>
      </w:r>
      <w:r w:rsidRPr="00C3566C">
        <w:rPr>
          <w:b w:val="0"/>
          <w:color w:val="000000" w:themeColor="text1"/>
          <w:sz w:val="24"/>
          <w:szCs w:val="24"/>
        </w:rPr>
        <w:t xml:space="preserve"> Potential impacts of invasive virile crayfish (Orconectes virilis) and red swamp crayfish (Procambarus clarkii) on native Piedmont crayfish (Cambarus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rsidR="00C3566C" w:rsidRPr="00C3566C" w:rsidRDefault="00C3566C" w:rsidP="00C3566C">
      <w:pPr>
        <w:pStyle w:val="Heading1"/>
        <w:spacing w:after="0"/>
        <w:ind w:left="720" w:hanging="720"/>
        <w:rPr>
          <w:b w:val="0"/>
          <w:color w:val="000000" w:themeColor="text1"/>
          <w:sz w:val="24"/>
          <w:szCs w:val="24"/>
        </w:rPr>
      </w:pPr>
      <w:r w:rsidRPr="00C3566C">
        <w:rPr>
          <w:b w:val="0"/>
          <w:color w:val="000000" w:themeColor="text1"/>
          <w:sz w:val="24"/>
          <w:szCs w:val="24"/>
        </w:rPr>
        <w:t>Henkanaththegedara,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w:t>
      </w:r>
      <w:proofErr w:type="gramEnd"/>
      <w:r w:rsidRPr="00C3566C">
        <w:rPr>
          <w:b w:val="0"/>
          <w:color w:val="000000" w:themeColor="text1"/>
          <w:sz w:val="24"/>
          <w:szCs w:val="24"/>
        </w:rPr>
        <w:t xml:space="preserve">10.3390/d7010003   </w:t>
      </w:r>
    </w:p>
    <w:p w:rsidR="00C3566C" w:rsidRDefault="00C3566C" w:rsidP="00C3566C">
      <w:pPr>
        <w:pStyle w:val="Heading1"/>
        <w:spacing w:before="0" w:beforeAutospacing="0" w:after="0" w:afterAutospacing="0"/>
        <w:ind w:left="720" w:hanging="720"/>
        <w:rPr>
          <w:b w:val="0"/>
          <w:color w:val="000000" w:themeColor="text1"/>
          <w:sz w:val="24"/>
          <w:szCs w:val="24"/>
        </w:rPr>
      </w:pPr>
      <w:r w:rsidRPr="00C3566C">
        <w:rPr>
          <w:b w:val="0"/>
          <w:color w:val="000000" w:themeColor="text1"/>
          <w:sz w:val="24"/>
          <w:szCs w:val="24"/>
        </w:rPr>
        <w:t>Henkanaththe</w:t>
      </w:r>
      <w:r>
        <w:rPr>
          <w:b w:val="0"/>
          <w:color w:val="000000" w:themeColor="text1"/>
          <w:sz w:val="24"/>
          <w:szCs w:val="24"/>
        </w:rPr>
        <w:t xml:space="preserve">gedara,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Journal of Applied Ecology 51: 1057–1065.</w:t>
      </w:r>
    </w:p>
    <w:p w:rsidR="00C3566C" w:rsidRDefault="00C3566C" w:rsidP="00C3566C">
      <w:pPr>
        <w:pStyle w:val="Heading1"/>
        <w:spacing w:before="0" w:beforeAutospacing="0" w:after="0" w:afterAutospacing="0"/>
        <w:ind w:left="720" w:hanging="720"/>
        <w:rPr>
          <w:b w:val="0"/>
          <w:color w:val="000000" w:themeColor="text1"/>
          <w:sz w:val="24"/>
          <w:szCs w:val="24"/>
        </w:rPr>
      </w:pPr>
    </w:p>
    <w:p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w:t>
      </w:r>
      <w:proofErr w:type="gramStart"/>
      <w:r w:rsidRPr="00635C22">
        <w:rPr>
          <w:b w:val="0"/>
          <w:color w:val="000000" w:themeColor="text1"/>
          <w:sz w:val="24"/>
          <w:szCs w:val="24"/>
        </w:rPr>
        <w:t>AM</w:t>
      </w:r>
      <w:proofErr w:type="gramEnd"/>
      <w:r w:rsidRPr="00635C22">
        <w:rPr>
          <w:b w:val="0"/>
          <w:color w:val="000000" w:themeColor="text1"/>
          <w:sz w:val="24"/>
          <w:szCs w:val="24"/>
        </w:rPr>
        <w:t xml:space="preserve">, Lodge DM (1994) Diel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rsidR="00A43BB8" w:rsidRPr="00635C22" w:rsidRDefault="00A43BB8" w:rsidP="00A43BB8">
      <w:pPr>
        <w:pStyle w:val="Heading1"/>
        <w:spacing w:before="0" w:beforeAutospacing="0" w:after="0" w:afterAutospacing="0"/>
        <w:ind w:left="720" w:hanging="720"/>
        <w:rPr>
          <w:b w:val="0"/>
          <w:color w:val="000000" w:themeColor="text1"/>
          <w:sz w:val="24"/>
          <w:szCs w:val="24"/>
        </w:rPr>
      </w:pPr>
    </w:p>
    <w:p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lastRenderedPageBreak/>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rsidR="00A43BB8" w:rsidRPr="00635C22" w:rsidRDefault="00A43BB8" w:rsidP="00A43BB8">
      <w:pPr>
        <w:pStyle w:val="Heading1"/>
        <w:spacing w:before="0" w:beforeAutospacing="0" w:after="0" w:afterAutospacing="0"/>
        <w:ind w:left="720" w:hanging="720"/>
        <w:rPr>
          <w:b w:val="0"/>
          <w:color w:val="000000" w:themeColor="text1"/>
          <w:sz w:val="24"/>
          <w:szCs w:val="24"/>
        </w:rPr>
      </w:pPr>
    </w:p>
    <w:p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rsidR="00A43BB8" w:rsidRPr="00A905F3" w:rsidRDefault="00A43BB8" w:rsidP="00A43BB8">
      <w:pPr>
        <w:spacing w:after="0" w:line="240" w:lineRule="auto"/>
        <w:rPr>
          <w:rFonts w:ascii="Times New Roman" w:hAnsi="Times New Roman" w:cs="Times New Roman"/>
          <w:color w:val="000000" w:themeColor="text1"/>
          <w:sz w:val="24"/>
          <w:szCs w:val="24"/>
        </w:rPr>
      </w:pPr>
    </w:p>
    <w:p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r w:rsidRPr="00F31270">
        <w:rPr>
          <w:rFonts w:ascii="Times New Roman" w:eastAsia="AdvOTd67905e7" w:hAnsi="Times New Roman" w:cs="Times New Roman"/>
          <w:color w:val="000000" w:themeColor="text1"/>
          <w:sz w:val="24"/>
          <w:szCs w:val="24"/>
          <w:lang w:val="de-DE"/>
        </w:rPr>
        <w:t xml:space="preserve">Richman, N.I. et al. </w:t>
      </w:r>
      <w:r w:rsidRPr="00635C22">
        <w:rPr>
          <w:rFonts w:ascii="Times New Roman" w:eastAsia="AdvOTd67905e7" w:hAnsi="Times New Roman" w:cs="Times New Roman"/>
          <w:color w:val="000000" w:themeColor="text1"/>
          <w:sz w:val="24"/>
          <w:szCs w:val="24"/>
        </w:rPr>
        <w:t xml:space="preserve">(2015) </w:t>
      </w:r>
      <w:proofErr w:type="gramStart"/>
      <w:r w:rsidRPr="00635C22">
        <w:rPr>
          <w:rFonts w:ascii="Times New Roman" w:eastAsia="AdvOTd67905e7" w:hAnsi="Times New Roman" w:cs="Times New Roman"/>
          <w:color w:val="000000" w:themeColor="text1"/>
          <w:sz w:val="24"/>
          <w:szCs w:val="24"/>
        </w:rPr>
        <w:t>Multiple</w:t>
      </w:r>
      <w:proofErr w:type="gramEnd"/>
      <w:r w:rsidRPr="00635C22">
        <w:rPr>
          <w:rFonts w:ascii="Times New Roman" w:eastAsia="AdvOTd67905e7" w:hAnsi="Times New Roman" w:cs="Times New Roman"/>
          <w:color w:val="000000" w:themeColor="text1"/>
          <w:sz w:val="24"/>
          <w:szCs w:val="24"/>
        </w:rPr>
        <w:t xml:space="preserv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DiStefano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rsidR="00A43BB8" w:rsidRPr="00A905F3" w:rsidRDefault="00A43BB8" w:rsidP="00A43BB8">
      <w:pPr>
        <w:rPr>
          <w:rFonts w:ascii="Times New Roman" w:hAnsi="Times New Roman" w:cs="Times New Roman"/>
        </w:rPr>
      </w:pPr>
    </w:p>
    <w:p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Mesocosm setup utilized for current experiments. </w:t>
      </w:r>
    </w:p>
    <w:p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cademiccomputing" w:date="2016-07-25T13:50:00Z" w:initials="a">
    <w:p w:rsidR="00A43BB8" w:rsidRDefault="00A43BB8">
      <w:pPr>
        <w:pStyle w:val="CommentText"/>
      </w:pPr>
      <w:r>
        <w:rPr>
          <w:rStyle w:val="CommentReference"/>
        </w:rPr>
        <w:annotationRef/>
      </w:r>
      <w:r>
        <w:t>Ken, can you write this section</w:t>
      </w:r>
    </w:p>
  </w:comment>
  <w:comment w:id="2" w:author="academiccomputing" w:date="2016-07-25T13:51:00Z" w:initials="a">
    <w:p w:rsidR="00A43BB8" w:rsidRDefault="00A43BB8">
      <w:pPr>
        <w:pStyle w:val="CommentText"/>
      </w:pPr>
      <w:r>
        <w:rPr>
          <w:rStyle w:val="CommentReference"/>
        </w:rPr>
        <w:annotationRef/>
      </w:r>
      <w:r>
        <w:t>Ken can you please write these two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d67905e7">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93641"/>
    <w:rsid w:val="000A119E"/>
    <w:rsid w:val="002347AB"/>
    <w:rsid w:val="005F057B"/>
    <w:rsid w:val="0086325E"/>
    <w:rsid w:val="008B1D54"/>
    <w:rsid w:val="00903672"/>
    <w:rsid w:val="00A339E6"/>
    <w:rsid w:val="00A43BB8"/>
    <w:rsid w:val="00B166B1"/>
    <w:rsid w:val="00BB09FB"/>
    <w:rsid w:val="00C036A3"/>
    <w:rsid w:val="00C3566C"/>
    <w:rsid w:val="00E07EAA"/>
    <w:rsid w:val="00E307E4"/>
    <w:rsid w:val="00EB6190"/>
    <w:rsid w:val="00FA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onner@live.longwood.edu" TargetMode="External"/><Relationship Id="rId3" Type="http://schemas.openxmlformats.org/officeDocument/2006/relationships/settings" Target="settings.xml"/><Relationship Id="rId7" Type="http://schemas.openxmlformats.org/officeDocument/2006/relationships/hyperlink" Target="mailto:connor.perry@live.longwood.ed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ortinok@longwood.edu" TargetMode="External"/><Relationship Id="rId11" Type="http://schemas.openxmlformats.org/officeDocument/2006/relationships/fontTable" Target="fontTable.xml"/><Relationship Id="rId5" Type="http://schemas.openxmlformats.org/officeDocument/2006/relationships/hyperlink" Target="mailto:Henkanaththegedarasm@longwood.edu"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jessica.hoak@live.longw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academiccomputing</cp:lastModifiedBy>
  <cp:revision>8</cp:revision>
  <dcterms:created xsi:type="dcterms:W3CDTF">2016-05-31T18:16:00Z</dcterms:created>
  <dcterms:modified xsi:type="dcterms:W3CDTF">2016-07-25T17:56:00Z</dcterms:modified>
</cp:coreProperties>
</file>