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Окрашивание и ламинирование бровей</w:t>
      </w:r>
    </w:p>
    <w:p>
      <w:r>
        <w:br/>
        <w:t xml:space="preserve">    Процедура включает:</w:t>
        <w:br/>
        <w:t xml:space="preserve">    - Окрашивание бровей с индивидуальным подбором оттенков</w:t>
        <w:br/>
        <w:t xml:space="preserve">    - Ламинирование бровей с применением продуктов бренда icFactory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