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Окрашивание и ламинирование бровей</w:t>
      </w:r>
    </w:p>
    <w:p>
      <w:r>
        <w:br/>
        <w:t xml:space="preserve">    Этапы процедуры:</w:t>
        <w:br/>
        <w:t xml:space="preserve">    1. Очищение кожи</w:t>
        <w:br/>
        <w:t xml:space="preserve">    2. Подготовка бровей</w:t>
        <w:br/>
        <w:t xml:space="preserve">    3. Окрашивание бровей профессиональными красителями</w:t>
        <w:br/>
        <w:t xml:space="preserve">    4. Ламинирование бровей с применением icFactory</w:t>
        <w:br/>
        <w:t xml:space="preserve">    5. Финальная коррекция и фиксация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