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Business Requirements Document</w:t>
      </w:r>
    </w:p>
    <w:p>
      <w:r>
        <w:t>CRM Implementation | Business Analysis Portfolio | Version 1.0 | 27 October 2026</w:t>
      </w:r>
    </w:p>
    <w:p>
      <w:r>
        <w:t>Case-study artefact. Roles are proposed, and all targets, dates, and approvals require stakeholder confirmation.</w:t>
      </w:r>
    </w:p>
    <w:p>
      <w:pPr>
        <w:pStyle w:val="Heading1"/>
      </w:pPr>
      <w:r>
        <w:t>Executive summary</w:t>
      </w:r>
    </w:p>
    <w:p>
      <w:r>
        <w:t>Project Tiger proposes an integrated CRM for SecureSure Insurance to address disconnected customer data and fragmented sales and service workflows.</w:t>
      </w:r>
    </w:p>
    <w:p>
      <w:pPr>
        <w:pStyle w:val="Heading1"/>
      </w:pPr>
      <w:r>
        <w:t>Problem statement</w:t>
      </w:r>
    </w:p>
    <w:p>
      <w:r>
        <w:t>Separate Auto and Life Sales systems and independent Customer Service tooling prevent a consistent customer view, weaken collaboration and limit cross-sell and retention analysis.</w:t>
      </w:r>
    </w:p>
    <w:p>
      <w:pPr>
        <w:pStyle w:val="Heading1"/>
      </w:pPr>
      <w:r>
        <w:t>Objectives and scope</w:t>
      </w:r>
    </w:p>
    <w:p>
      <w:r>
        <w:t>Deliver governed unified profiles, integrated service and sales activity, reporting and secure adoption. Excludes replacement of policy administration and claims processing.</w:t>
      </w:r>
    </w:p>
    <w:p>
      <w:pPr>
        <w:pStyle w:val="Heading1"/>
      </w:pPr>
      <w:r>
        <w:t>Stakeholders</w:t>
      </w:r>
    </w:p>
    <w:p>
      <w:r>
        <w:t>Executive Sponsor, PM, BA, Sales Leads, Customer Service Lead, IT, DPO, vendor and end users. Refer to Stakeholder Register and RACI.</w:t>
      </w:r>
    </w:p>
    <w:p>
      <w:pPr>
        <w:pStyle w:val="Heading1"/>
      </w:pPr>
      <w:r>
        <w:t>Requirements catalogue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BR01</w:t>
            </w:r>
          </w:p>
        </w:tc>
        <w:tc>
          <w:tcPr>
            <w:tcW w:type="dxa" w:w="2160"/>
          </w:tcPr>
          <w:p>
            <w:r>
              <w:t>Unified customer view</w:t>
            </w:r>
          </w:p>
        </w:tc>
        <w:tc>
          <w:tcPr>
            <w:tcW w:type="dxa" w:w="2160"/>
          </w:tcPr>
          <w:p>
            <w:r>
              <w:t>Business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FR01</w:t>
            </w:r>
          </w:p>
        </w:tc>
        <w:tc>
          <w:tcPr>
            <w:tcW w:type="dxa" w:w="2160"/>
          </w:tcPr>
          <w:p>
            <w:r>
              <w:t>Search customers by unique ID and approved attributes</w:t>
            </w:r>
          </w:p>
        </w:tc>
        <w:tc>
          <w:tcPr>
            <w:tcW w:type="dxa" w:w="2160"/>
          </w:tcPr>
          <w:p>
            <w:r>
              <w:t>Functional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FR02</w:t>
            </w:r>
          </w:p>
        </w:tc>
        <w:tc>
          <w:tcPr>
            <w:tcW w:type="dxa" w:w="2160"/>
          </w:tcPr>
          <w:p>
            <w:r>
              <w:t>Show Auto and Life policies in one authorized profile</w:t>
            </w:r>
          </w:p>
        </w:tc>
        <w:tc>
          <w:tcPr>
            <w:tcW w:type="dxa" w:w="2160"/>
          </w:tcPr>
          <w:p>
            <w:r>
              <w:t>Functional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FR03</w:t>
            </w:r>
          </w:p>
        </w:tc>
        <w:tc>
          <w:tcPr>
            <w:tcW w:type="dxa" w:w="2160"/>
          </w:tcPr>
          <w:p>
            <w:r>
              <w:t>Record calls, emails and service cases on a timeline</w:t>
            </w:r>
          </w:p>
        </w:tc>
        <w:tc>
          <w:tcPr>
            <w:tcW w:type="dxa" w:w="2160"/>
          </w:tcPr>
          <w:p>
            <w:r>
              <w:t>Functional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FR04</w:t>
            </w:r>
          </w:p>
        </w:tc>
        <w:tc>
          <w:tcPr>
            <w:tcW w:type="dxa" w:w="2160"/>
          </w:tcPr>
          <w:p>
            <w:r>
              <w:t>Create and assign follow-up tasks with due dates</w:t>
            </w:r>
          </w:p>
        </w:tc>
        <w:tc>
          <w:tcPr>
            <w:tcW w:type="dxa" w:w="2160"/>
          </w:tcPr>
          <w:p>
            <w:r>
              <w:t>Functional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FR05</w:t>
            </w:r>
          </w:p>
        </w:tc>
        <w:tc>
          <w:tcPr>
            <w:tcW w:type="dxa" w:w="2160"/>
          </w:tcPr>
          <w:p>
            <w:r>
              <w:t>Flag duplicate candidate records for review</w:t>
            </w:r>
          </w:p>
        </w:tc>
        <w:tc>
          <w:tcPr>
            <w:tcW w:type="dxa" w:w="2160"/>
          </w:tcPr>
          <w:p>
            <w:r>
              <w:t>Functional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FR06</w:t>
            </w:r>
          </w:p>
        </w:tc>
        <w:tc>
          <w:tcPr>
            <w:tcW w:type="dxa" w:w="2160"/>
          </w:tcPr>
          <w:p>
            <w:r>
              <w:t>Dashboard by team, cases, opportunities and retention</w:t>
            </w:r>
          </w:p>
        </w:tc>
        <w:tc>
          <w:tcPr>
            <w:tcW w:type="dxa" w:w="2160"/>
          </w:tcPr>
          <w:p>
            <w:r>
              <w:t>Functional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</w:tr>
      <w:tr>
        <w:tc>
          <w:tcPr>
            <w:tcW w:type="dxa" w:w="2160"/>
          </w:tcPr>
          <w:p>
            <w:r>
              <w:t>NFR01</w:t>
            </w:r>
          </w:p>
        </w:tc>
        <w:tc>
          <w:tcPr>
            <w:tcW w:type="dxa" w:w="2160"/>
          </w:tcPr>
          <w:p>
            <w:r>
              <w:t>Role-based access and audit logs</w:t>
            </w:r>
          </w:p>
        </w:tc>
        <w:tc>
          <w:tcPr>
            <w:tcW w:type="dxa" w:w="2160"/>
          </w:tcPr>
          <w:p>
            <w:r>
              <w:t>Non-functional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NFR02</w:t>
            </w:r>
          </w:p>
        </w:tc>
        <w:tc>
          <w:tcPr>
            <w:tcW w:type="dxa" w:w="2160"/>
          </w:tcPr>
          <w:p>
            <w:r>
              <w:t>Define agreed search performance threshold during design</w:t>
            </w:r>
          </w:p>
        </w:tc>
        <w:tc>
          <w:tcPr>
            <w:tcW w:type="dxa" w:w="2160"/>
          </w:tcPr>
          <w:p>
            <w:r>
              <w:t>Non-functional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NFR03</w:t>
            </w:r>
          </w:p>
        </w:tc>
        <w:tc>
          <w:tcPr>
            <w:tcW w:type="dxa" w:w="2160"/>
          </w:tcPr>
          <w:p>
            <w:r>
              <w:t>Protect personal data during migration and retention</w:t>
            </w:r>
          </w:p>
        </w:tc>
        <w:tc>
          <w:tcPr>
            <w:tcW w:type="dxa" w:w="2160"/>
          </w:tcPr>
          <w:p>
            <w:r>
              <w:t>Non-functional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</w:tbl>
    <w:p>
      <w:pPr>
        <w:pStyle w:val="Heading1"/>
      </w:pPr>
      <w:r>
        <w:t>Business rules</w:t>
      </w:r>
    </w:p>
    <w:p>
      <w:pPr>
        <w:pStyle w:val="ListBullet"/>
      </w:pPr>
      <w:r>
        <w:t>Customer records require a unique master identifier and documented matching rules.</w:t>
      </w:r>
    </w:p>
    <w:p>
      <w:pPr>
        <w:pStyle w:val="ListBullet"/>
      </w:pPr>
      <w:r>
        <w:t>Only authorised staff may view or edit customer information.</w:t>
      </w:r>
    </w:p>
    <w:p>
      <w:pPr>
        <w:pStyle w:val="ListBullet"/>
      </w:pPr>
      <w:r>
        <w:t>Service cases require owner, status, timestamp and audit history.</w:t>
      </w:r>
    </w:p>
    <w:p>
      <w:pPr>
        <w:pStyle w:val="ListBullet"/>
      </w:pPr>
      <w:r>
        <w:t>Cross-selling communications must comply with applicable consent and privacy rules.</w:t>
      </w:r>
    </w:p>
    <w:p>
      <w:pPr>
        <w:pStyle w:val="Heading1"/>
      </w:pPr>
      <w:r>
        <w:t>Acceptance and success</w:t>
      </w:r>
    </w:p>
    <w:p>
      <w:r>
        <w:t>Each requirement must have test evidence and business-owner acceptance. Target values for search speed, duplicate reduction, adoption and service performance require baseline and sponsor approval.</w:t>
      </w:r>
    </w:p>
    <w:p>
      <w:pPr>
        <w:pStyle w:val="Heading1"/>
      </w:pPr>
      <w:r>
        <w:t>Dependencies and risks</w:t>
      </w:r>
    </w:p>
    <w:p>
      <w:r>
        <w:t>Legacy data quality, API availability, privacy, vendor delivery, training capacity and operational disruption.</w:t>
      </w:r>
    </w:p>
    <w:p>
      <w:pPr>
        <w:pStyle w:val="Heading1"/>
      </w:pPr>
      <w:r>
        <w:t>Sign-off</w:t>
      </w:r>
    </w:p>
    <w:p>
      <w:r>
        <w:t>Business Owner: __________  IT Lead: __________  DPO: __________  Sponsor: __________  Dates: __________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SECURESURE INSURANCE  |  PROJECT TIGER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