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77B5" w14:textId="77777777" w:rsidR="005C76F6" w:rsidRDefault="00000000">
      <w:pPr>
        <w:spacing w:after="20"/>
        <w:rPr>
          <w:rFonts w:hint="eastAsia"/>
        </w:rPr>
      </w:pPr>
      <w:r>
        <w:rPr>
          <w:b/>
          <w:color w:val="1F4E79"/>
          <w:sz w:val="44"/>
        </w:rPr>
        <w:t>A Forward-Looking Measure of Underlying UK GDP</w:t>
      </w:r>
    </w:p>
    <w:p w14:paraId="46A64920" w14:textId="77777777" w:rsidR="005C76F6" w:rsidRDefault="00000000">
      <w:pPr>
        <w:pBdr>
          <w:bottom w:val="single" w:sz="10" w:space="1" w:color="1F4E78"/>
        </w:pBdr>
        <w:spacing w:after="120"/>
        <w:rPr>
          <w:rFonts w:hint="eastAsia"/>
        </w:rPr>
      </w:pPr>
      <w:r>
        <w:rPr>
          <w:color w:val="595959"/>
          <w:sz w:val="22"/>
        </w:rPr>
        <w:t>Albacore-components replication using quarterly GVA industry indices</w:t>
      </w:r>
    </w:p>
    <w:p w14:paraId="74501987" w14:textId="77777777" w:rsidR="005C76F6" w:rsidRDefault="00000000">
      <w:pPr>
        <w:spacing w:after="160"/>
        <w:rPr>
          <w:rFonts w:hint="eastAsia"/>
        </w:rPr>
      </w:pPr>
      <w:r>
        <w:rPr>
          <w:color w:val="646464"/>
          <w:sz w:val="17"/>
        </w:rPr>
        <w:t>Policy note | Prepared from UK GDP/GVA workbook replication | Sample through 2025 Q4</w:t>
      </w:r>
    </w:p>
    <w:tbl>
      <w:tblPr>
        <w:tblW w:w="0" w:type="auto"/>
        <w:tblLook w:val="04A0" w:firstRow="1" w:lastRow="0" w:firstColumn="1" w:lastColumn="0" w:noHBand="0" w:noVBand="1"/>
      </w:tblPr>
      <w:tblGrid>
        <w:gridCol w:w="10312"/>
      </w:tblGrid>
      <w:tr w:rsidR="005C76F6" w14:paraId="67A13A19" w14:textId="77777777">
        <w:tc>
          <w:tcPr>
            <w:tcW w:w="10312" w:type="dxa"/>
            <w:shd w:val="clear" w:color="auto" w:fill="EAF2F8"/>
          </w:tcPr>
          <w:p w14:paraId="3FF04621" w14:textId="77777777" w:rsidR="005C76F6" w:rsidRDefault="00000000">
            <w:pPr>
              <w:spacing w:after="40"/>
              <w:rPr>
                <w:rFonts w:hint="eastAsia"/>
              </w:rPr>
            </w:pPr>
            <w:r>
              <w:rPr>
                <w:b/>
                <w:color w:val="1F4E79"/>
                <w:sz w:val="20"/>
              </w:rPr>
              <w:t>Main message</w:t>
            </w:r>
          </w:p>
          <w:p w14:paraId="7FBF4404" w14:textId="77777777" w:rsidR="005C76F6" w:rsidRDefault="00000000">
            <w:pPr>
              <w:spacing w:after="0"/>
              <w:rPr>
                <w:rFonts w:hint="eastAsia"/>
              </w:rPr>
            </w:pPr>
            <w:r>
              <w:rPr>
                <w:sz w:val="18"/>
              </w:rPr>
              <w:t>Survey-based nowcasts and business intelligence remain central for assessing current activity, but they are not the only way to infer the underlying state of GDP. A component-based Albacore measure uses the realized cross-section of industry GVA growth to construct a transparent, forward-looking signal of future headline GDP growth. It is designed to filter short-lived quarterly noise while preserving information from sectors that historically matter for subsequent GDP developments.</w:t>
            </w:r>
          </w:p>
        </w:tc>
      </w:tr>
    </w:tbl>
    <w:p w14:paraId="2F3EB975" w14:textId="77777777" w:rsidR="005C76F6" w:rsidRDefault="005C76F6">
      <w:pPr>
        <w:spacing w:after="20"/>
        <w:rPr>
          <w:rFonts w:hint="eastAsia"/>
        </w:rPr>
      </w:pPr>
    </w:p>
    <w:p w14:paraId="145D9852" w14:textId="77777777" w:rsidR="005C76F6" w:rsidRDefault="00000000">
      <w:pPr>
        <w:spacing w:before="160" w:after="60"/>
        <w:rPr>
          <w:rFonts w:hint="eastAsia"/>
        </w:rPr>
      </w:pPr>
      <w:r>
        <w:rPr>
          <w:b/>
          <w:color w:val="1F4E79"/>
          <w:sz w:val="26"/>
        </w:rPr>
        <w:t>Why This Matters</w:t>
      </w:r>
    </w:p>
    <w:p w14:paraId="65A93AF5" w14:textId="77777777" w:rsidR="005C76F6" w:rsidRDefault="00000000">
      <w:pPr>
        <w:spacing w:after="80" w:line="252" w:lineRule="auto"/>
        <w:rPr>
          <w:rFonts w:hint="eastAsia"/>
        </w:rPr>
      </w:pPr>
      <w:r>
        <w:t>Current policy frameworks often lean heavily on survey evidence to judge underlying GDP momentum, especially when official GDP is noisy, revised, or affected by sector-specific disruptions. Surveys are timely and forward-looking, but they are also qualitative, can be subject to sentiment swings, and may decouple from measured output around turning points. The Albacore approach adds a complementary signal: it extracts information directly from the published GVA components while explicitly training the aggregate to be informative about future headline GDP growth.</w:t>
      </w:r>
    </w:p>
    <w:p w14:paraId="2847B98C" w14:textId="77777777" w:rsidR="005C76F6" w:rsidRDefault="00000000">
      <w:pPr>
        <w:spacing w:after="80" w:line="252" w:lineRule="auto"/>
        <w:rPr>
          <w:rFonts w:hint="eastAsia"/>
        </w:rPr>
      </w:pPr>
      <w:r>
        <w:t>For policy makers, the benefit is not another black-box forecast. The output is a weighted average of observed industry growth rates. Its weights can be inspected, compared with official GVA weights, decomposed into sector contributions, and stress-tested. That makes it suitable for a policy audience that wants both timeliness and accountability.</w:t>
      </w:r>
    </w:p>
    <w:p w14:paraId="62A602F4" w14:textId="77777777" w:rsidR="005C76F6" w:rsidRDefault="00000000">
      <w:pPr>
        <w:spacing w:before="160" w:after="60"/>
        <w:rPr>
          <w:rFonts w:hint="eastAsia"/>
        </w:rPr>
      </w:pPr>
      <w:r>
        <w:rPr>
          <w:b/>
          <w:color w:val="1F4E79"/>
          <w:sz w:val="26"/>
        </w:rPr>
        <w:t>The Method In Policy Language</w:t>
      </w:r>
    </w:p>
    <w:p w14:paraId="15CC3557" w14:textId="77777777" w:rsidR="005C76F6" w:rsidRDefault="00000000">
      <w:pPr>
        <w:spacing w:after="80" w:line="252" w:lineRule="auto"/>
        <w:rPr>
          <w:rFonts w:hint="eastAsia"/>
        </w:rPr>
      </w:pPr>
      <w:r>
        <w:t>The Albacore-components method asks a simple question: if today’s industry-level GVA growth rates are to be combined into one summary indicator, which weights make that indicator most useful for predicting future headline GDP growth? In this replication, the target is the average headline GDP growth over the next four quarters. The predictors are the 20 quarterly GVA component growth rates.</w:t>
      </w:r>
    </w:p>
    <w:p w14:paraId="56271742" w14:textId="77777777" w:rsidR="005C76F6" w:rsidRDefault="00000000">
      <w:pPr>
        <w:spacing w:after="50"/>
        <w:ind w:left="255" w:hanging="125"/>
        <w:rPr>
          <w:rFonts w:hint="eastAsia"/>
        </w:rPr>
      </w:pPr>
      <w:r>
        <w:rPr>
          <w:color w:val="1F4E79"/>
          <w:sz w:val="18"/>
        </w:rPr>
        <w:t xml:space="preserve">• </w:t>
      </w:r>
      <w:r>
        <w:rPr>
          <w:sz w:val="18"/>
        </w:rPr>
        <w:t>Start with the 20 industry GVA indices and Total GVA from sheet 2b of the workbook.</w:t>
      </w:r>
    </w:p>
    <w:p w14:paraId="34B411D9" w14:textId="77777777" w:rsidR="005C76F6" w:rsidRDefault="00000000">
      <w:pPr>
        <w:spacing w:after="50"/>
        <w:ind w:left="255" w:hanging="125"/>
        <w:rPr>
          <w:rFonts w:hint="eastAsia"/>
        </w:rPr>
      </w:pPr>
      <w:r>
        <w:rPr>
          <w:color w:val="1F4E79"/>
          <w:sz w:val="18"/>
        </w:rPr>
        <w:t xml:space="preserve">• </w:t>
      </w:r>
      <w:r>
        <w:rPr>
          <w:sz w:val="18"/>
        </w:rPr>
        <w:t>Convert each index into quarterly log growth.</w:t>
      </w:r>
    </w:p>
    <w:p w14:paraId="7B1D879F" w14:textId="77777777" w:rsidR="005C76F6" w:rsidRDefault="00000000">
      <w:pPr>
        <w:spacing w:after="50"/>
        <w:ind w:left="255" w:hanging="125"/>
        <w:rPr>
          <w:rFonts w:hint="eastAsia"/>
        </w:rPr>
      </w:pPr>
      <w:r>
        <w:rPr>
          <w:color w:val="1F4E79"/>
          <w:sz w:val="18"/>
        </w:rPr>
        <w:t xml:space="preserve">• </w:t>
      </w:r>
      <w:r>
        <w:rPr>
          <w:sz w:val="18"/>
        </w:rPr>
        <w:t>Smooth component growth with a trailing four-quarter average so the core measure does not mechanically inherit every quarterly GDP shock.</w:t>
      </w:r>
    </w:p>
    <w:p w14:paraId="36E8DE24" w14:textId="77777777" w:rsidR="005C76F6" w:rsidRDefault="00000000">
      <w:pPr>
        <w:spacing w:after="50"/>
        <w:ind w:left="255" w:hanging="125"/>
        <w:rPr>
          <w:rFonts w:hint="eastAsia"/>
        </w:rPr>
      </w:pPr>
      <w:r>
        <w:rPr>
          <w:color w:val="1F4E79"/>
          <w:sz w:val="18"/>
        </w:rPr>
        <w:t xml:space="preserve">• </w:t>
      </w:r>
      <w:r>
        <w:rPr>
          <w:sz w:val="18"/>
        </w:rPr>
        <w:t>Estimate non-negative component weights that sum to one, so the result remains interpretable as an economic aggregate.</w:t>
      </w:r>
    </w:p>
    <w:p w14:paraId="1E9EDCD4" w14:textId="77777777" w:rsidR="005C76F6" w:rsidRDefault="00000000">
      <w:pPr>
        <w:spacing w:after="50"/>
        <w:ind w:left="255" w:hanging="125"/>
        <w:rPr>
          <w:rFonts w:hint="eastAsia"/>
        </w:rPr>
      </w:pPr>
      <w:r>
        <w:rPr>
          <w:color w:val="1F4E79"/>
          <w:sz w:val="18"/>
        </w:rPr>
        <w:t xml:space="preserve">• </w:t>
      </w:r>
      <w:r>
        <w:rPr>
          <w:sz w:val="18"/>
        </w:rPr>
        <w:t>Use ridge shrinkage toward the official headline GVA weights, then select the penalty using blocked cross-validation.</w:t>
      </w:r>
    </w:p>
    <w:p w14:paraId="4F8A6B02" w14:textId="77777777" w:rsidR="005C76F6" w:rsidRDefault="00000000">
      <w:pPr>
        <w:spacing w:after="50"/>
        <w:ind w:left="255" w:hanging="125"/>
        <w:rPr>
          <w:rFonts w:hint="eastAsia"/>
        </w:rPr>
      </w:pPr>
      <w:r>
        <w:rPr>
          <w:color w:val="1F4E79"/>
          <w:sz w:val="18"/>
        </w:rPr>
        <w:t xml:space="preserve">• </w:t>
      </w:r>
      <w:r>
        <w:rPr>
          <w:sz w:val="18"/>
        </w:rPr>
        <w:t>To avoid weights being almost identical to headline weights, use a relaxed-CV rule: select the smallest penalty within 3 percent of the minimum CV error.</w:t>
      </w:r>
    </w:p>
    <w:tbl>
      <w:tblPr>
        <w:tblW w:w="0" w:type="auto"/>
        <w:tblLook w:val="04A0" w:firstRow="1" w:lastRow="0" w:firstColumn="1" w:lastColumn="0" w:noHBand="0" w:noVBand="1"/>
      </w:tblPr>
      <w:tblGrid>
        <w:gridCol w:w="10312"/>
      </w:tblGrid>
      <w:tr w:rsidR="005C76F6" w14:paraId="5D2CE3B3" w14:textId="77777777">
        <w:tc>
          <w:tcPr>
            <w:tcW w:w="10312" w:type="dxa"/>
            <w:shd w:val="clear" w:color="auto" w:fill="EAF2F8"/>
          </w:tcPr>
          <w:p w14:paraId="0C381C33" w14:textId="77777777" w:rsidR="005C76F6" w:rsidRDefault="00000000">
            <w:pPr>
              <w:spacing w:after="40"/>
              <w:rPr>
                <w:rFonts w:hint="eastAsia"/>
              </w:rPr>
            </w:pPr>
            <w:r>
              <w:rPr>
                <w:b/>
                <w:color w:val="1F4E79"/>
                <w:sz w:val="20"/>
              </w:rPr>
              <w:t>Interpretation</w:t>
            </w:r>
          </w:p>
          <w:p w14:paraId="5F9E764A" w14:textId="77777777" w:rsidR="005C76F6" w:rsidRDefault="00000000">
            <w:pPr>
              <w:spacing w:after="0"/>
              <w:rPr>
                <w:rFonts w:hint="eastAsia"/>
              </w:rPr>
            </w:pPr>
            <w:r>
              <w:rPr>
                <w:sz w:val="18"/>
              </w:rPr>
              <w:t>Albacore GDP is not a replacement for headline GDP. It is an underlying activity signal trained to summarize the part of the industry cross-section that has historically been most informative about future GDP growth.</w:t>
            </w:r>
          </w:p>
        </w:tc>
      </w:tr>
    </w:tbl>
    <w:p w14:paraId="1E283CAC" w14:textId="77777777" w:rsidR="005C76F6" w:rsidRDefault="005C76F6">
      <w:pPr>
        <w:spacing w:after="20"/>
        <w:rPr>
          <w:rFonts w:hint="eastAsia"/>
        </w:rPr>
      </w:pPr>
    </w:p>
    <w:p w14:paraId="08AC4284" w14:textId="77777777" w:rsidR="005C76F6" w:rsidRDefault="005C76F6">
      <w:pPr>
        <w:rPr>
          <w:rFonts w:hint="eastAsia"/>
        </w:rPr>
        <w:sectPr w:rsidR="005C76F6">
          <w:pgSz w:w="12240" w:h="15840"/>
          <w:pgMar w:top="879" w:right="964" w:bottom="879" w:left="964" w:header="720" w:footer="720" w:gutter="0"/>
          <w:cols w:space="720"/>
          <w:docGrid w:linePitch="360"/>
        </w:sectPr>
      </w:pPr>
    </w:p>
    <w:p w14:paraId="538085FD" w14:textId="77777777" w:rsidR="005C76F6" w:rsidRDefault="00000000">
      <w:pPr>
        <w:spacing w:before="160" w:after="60"/>
        <w:rPr>
          <w:rFonts w:hint="eastAsia"/>
        </w:rPr>
      </w:pPr>
      <w:r>
        <w:rPr>
          <w:b/>
          <w:color w:val="1F4E79"/>
          <w:sz w:val="26"/>
        </w:rPr>
        <w:lastRenderedPageBreak/>
        <w:t>Replication Choices</w:t>
      </w:r>
    </w:p>
    <w:tbl>
      <w:tblPr>
        <w:tblStyle w:val="TableGrid"/>
        <w:tblW w:w="0" w:type="auto"/>
        <w:tblLook w:val="04A0" w:firstRow="1" w:lastRow="0" w:firstColumn="1" w:lastColumn="0" w:noHBand="0" w:noVBand="1"/>
      </w:tblPr>
      <w:tblGrid>
        <w:gridCol w:w="2592"/>
        <w:gridCol w:w="6912"/>
      </w:tblGrid>
      <w:tr w:rsidR="005C76F6" w14:paraId="1DF8B390" w14:textId="77777777">
        <w:tc>
          <w:tcPr>
            <w:tcW w:w="2592" w:type="dxa"/>
            <w:shd w:val="clear" w:color="auto" w:fill="1F4E78"/>
            <w:vAlign w:val="center"/>
          </w:tcPr>
          <w:p w14:paraId="04A1120E" w14:textId="77777777" w:rsidR="005C76F6" w:rsidRDefault="00000000">
            <w:pPr>
              <w:rPr>
                <w:rFonts w:hint="eastAsia"/>
              </w:rPr>
            </w:pPr>
            <w:r>
              <w:rPr>
                <w:b/>
                <w:color w:val="FFFFFF"/>
              </w:rPr>
              <w:t>Choice</w:t>
            </w:r>
          </w:p>
        </w:tc>
        <w:tc>
          <w:tcPr>
            <w:tcW w:w="6912" w:type="dxa"/>
            <w:shd w:val="clear" w:color="auto" w:fill="1F4E78"/>
            <w:vAlign w:val="center"/>
          </w:tcPr>
          <w:p w14:paraId="323E6014" w14:textId="77777777" w:rsidR="005C76F6" w:rsidRDefault="00000000">
            <w:pPr>
              <w:rPr>
                <w:rFonts w:hint="eastAsia"/>
              </w:rPr>
            </w:pPr>
            <w:r>
              <w:rPr>
                <w:b/>
                <w:color w:val="FFFFFF"/>
              </w:rPr>
              <w:t>Implementation</w:t>
            </w:r>
          </w:p>
        </w:tc>
      </w:tr>
      <w:tr w:rsidR="005C76F6" w14:paraId="1DD7C220" w14:textId="77777777">
        <w:tc>
          <w:tcPr>
            <w:tcW w:w="2592" w:type="dxa"/>
            <w:vAlign w:val="center"/>
          </w:tcPr>
          <w:p w14:paraId="690D5C0C" w14:textId="77777777" w:rsidR="005C76F6" w:rsidRDefault="00000000">
            <w:pPr>
              <w:rPr>
                <w:rFonts w:hint="eastAsia"/>
              </w:rPr>
            </w:pPr>
            <w:r>
              <w:rPr>
                <w:b/>
              </w:rPr>
              <w:t>Headline series</w:t>
            </w:r>
          </w:p>
        </w:tc>
        <w:tc>
          <w:tcPr>
            <w:tcW w:w="6912" w:type="dxa"/>
            <w:vAlign w:val="center"/>
          </w:tcPr>
          <w:p w14:paraId="4091362A" w14:textId="77777777" w:rsidR="005C76F6" w:rsidRDefault="00000000">
            <w:pPr>
              <w:rPr>
                <w:rFonts w:hint="eastAsia"/>
              </w:rPr>
            </w:pPr>
            <w:r>
              <w:t>Total GVA quarterly index</w:t>
            </w:r>
          </w:p>
        </w:tc>
      </w:tr>
      <w:tr w:rsidR="005C76F6" w14:paraId="4A8A8074" w14:textId="77777777">
        <w:tc>
          <w:tcPr>
            <w:tcW w:w="2592" w:type="dxa"/>
            <w:vAlign w:val="center"/>
          </w:tcPr>
          <w:p w14:paraId="793F096F" w14:textId="77777777" w:rsidR="005C76F6" w:rsidRDefault="00000000">
            <w:pPr>
              <w:rPr>
                <w:rFonts w:hint="eastAsia"/>
              </w:rPr>
            </w:pPr>
            <w:r>
              <w:rPr>
                <w:b/>
              </w:rPr>
              <w:t>Component set</w:t>
            </w:r>
          </w:p>
        </w:tc>
        <w:tc>
          <w:tcPr>
            <w:tcW w:w="6912" w:type="dxa"/>
            <w:vAlign w:val="center"/>
          </w:tcPr>
          <w:p w14:paraId="0259CFEE" w14:textId="77777777" w:rsidR="005C76F6" w:rsidRDefault="00000000">
            <w:pPr>
              <w:rPr>
                <w:rFonts w:hint="eastAsia"/>
              </w:rPr>
            </w:pPr>
            <w:r>
              <w:t>20 GVA industry components</w:t>
            </w:r>
          </w:p>
        </w:tc>
      </w:tr>
      <w:tr w:rsidR="005C76F6" w14:paraId="6FCB1BF9" w14:textId="77777777">
        <w:tc>
          <w:tcPr>
            <w:tcW w:w="2592" w:type="dxa"/>
            <w:vAlign w:val="center"/>
          </w:tcPr>
          <w:p w14:paraId="3E6EB550" w14:textId="77777777" w:rsidR="005C76F6" w:rsidRDefault="00000000">
            <w:pPr>
              <w:rPr>
                <w:rFonts w:hint="eastAsia"/>
              </w:rPr>
            </w:pPr>
            <w:r>
              <w:rPr>
                <w:b/>
              </w:rPr>
              <w:t>Growth transformation</w:t>
            </w:r>
          </w:p>
        </w:tc>
        <w:tc>
          <w:tcPr>
            <w:tcW w:w="6912" w:type="dxa"/>
            <w:vAlign w:val="center"/>
          </w:tcPr>
          <w:p w14:paraId="382EA05F" w14:textId="77777777" w:rsidR="005C76F6" w:rsidRDefault="00000000">
            <w:pPr>
              <w:rPr>
                <w:rFonts w:hint="eastAsia"/>
              </w:rPr>
            </w:pPr>
            <w:r>
              <w:t>100 × log(index_t / index_t−1)</w:t>
            </w:r>
          </w:p>
        </w:tc>
      </w:tr>
      <w:tr w:rsidR="005C76F6" w14:paraId="42DB53FC" w14:textId="77777777">
        <w:tc>
          <w:tcPr>
            <w:tcW w:w="2592" w:type="dxa"/>
            <w:vAlign w:val="center"/>
          </w:tcPr>
          <w:p w14:paraId="5DFD19E3" w14:textId="77777777" w:rsidR="005C76F6" w:rsidRDefault="00000000">
            <w:pPr>
              <w:rPr>
                <w:rFonts w:hint="eastAsia"/>
              </w:rPr>
            </w:pPr>
            <w:r>
              <w:rPr>
                <w:b/>
              </w:rPr>
              <w:t>Core smoothing</w:t>
            </w:r>
          </w:p>
        </w:tc>
        <w:tc>
          <w:tcPr>
            <w:tcW w:w="6912" w:type="dxa"/>
            <w:vAlign w:val="center"/>
          </w:tcPr>
          <w:p w14:paraId="51D71206" w14:textId="77777777" w:rsidR="005C76F6" w:rsidRDefault="00000000">
            <w:pPr>
              <w:rPr>
                <w:rFonts w:hint="eastAsia"/>
              </w:rPr>
            </w:pPr>
            <w:r>
              <w:t>Trailing four-quarter average of component growth</w:t>
            </w:r>
          </w:p>
        </w:tc>
      </w:tr>
      <w:tr w:rsidR="005C76F6" w14:paraId="6B0E40AA" w14:textId="77777777">
        <w:tc>
          <w:tcPr>
            <w:tcW w:w="2592" w:type="dxa"/>
            <w:vAlign w:val="center"/>
          </w:tcPr>
          <w:p w14:paraId="7331C249" w14:textId="77777777" w:rsidR="005C76F6" w:rsidRDefault="00000000">
            <w:pPr>
              <w:rPr>
                <w:rFonts w:hint="eastAsia"/>
              </w:rPr>
            </w:pPr>
            <w:r>
              <w:rPr>
                <w:b/>
              </w:rPr>
              <w:t>Forecast target</w:t>
            </w:r>
          </w:p>
        </w:tc>
        <w:tc>
          <w:tcPr>
            <w:tcW w:w="6912" w:type="dxa"/>
            <w:vAlign w:val="center"/>
          </w:tcPr>
          <w:p w14:paraId="56F75F42" w14:textId="77777777" w:rsidR="005C76F6" w:rsidRDefault="00000000">
            <w:pPr>
              <w:rPr>
                <w:rFonts w:hint="eastAsia"/>
              </w:rPr>
            </w:pPr>
            <w:r>
              <w:t>Average headline GDP growth from t+1 to t+4</w:t>
            </w:r>
          </w:p>
        </w:tc>
      </w:tr>
      <w:tr w:rsidR="005C76F6" w14:paraId="41C22747" w14:textId="77777777">
        <w:tc>
          <w:tcPr>
            <w:tcW w:w="2592" w:type="dxa"/>
            <w:vAlign w:val="center"/>
          </w:tcPr>
          <w:p w14:paraId="1CD3A3DC" w14:textId="77777777" w:rsidR="005C76F6" w:rsidRDefault="00000000">
            <w:pPr>
              <w:rPr>
                <w:rFonts w:hint="eastAsia"/>
              </w:rPr>
            </w:pPr>
            <w:r>
              <w:rPr>
                <w:b/>
              </w:rPr>
              <w:t>Training window</w:t>
            </w:r>
          </w:p>
        </w:tc>
        <w:tc>
          <w:tcPr>
            <w:tcW w:w="6912" w:type="dxa"/>
            <w:vAlign w:val="center"/>
          </w:tcPr>
          <w:p w14:paraId="7E41EA30" w14:textId="77777777" w:rsidR="005C76F6" w:rsidRDefault="00000000">
            <w:pPr>
              <w:rPr>
                <w:rFonts w:hint="eastAsia"/>
              </w:rPr>
            </w:pPr>
            <w:r>
              <w:t>Data through 2019 Q4; later observations are out-of-sample display</w:t>
            </w:r>
          </w:p>
        </w:tc>
      </w:tr>
      <w:tr w:rsidR="005C76F6" w14:paraId="774CAC58" w14:textId="77777777">
        <w:tc>
          <w:tcPr>
            <w:tcW w:w="2592" w:type="dxa"/>
            <w:vAlign w:val="center"/>
          </w:tcPr>
          <w:p w14:paraId="5069A197" w14:textId="77777777" w:rsidR="005C76F6" w:rsidRDefault="00000000">
            <w:pPr>
              <w:rPr>
                <w:rFonts w:hint="eastAsia"/>
              </w:rPr>
            </w:pPr>
            <w:r>
              <w:rPr>
                <w:b/>
              </w:rPr>
              <w:t>Penalty rule</w:t>
            </w:r>
          </w:p>
        </w:tc>
        <w:tc>
          <w:tcPr>
            <w:tcW w:w="6912" w:type="dxa"/>
            <w:vAlign w:val="center"/>
          </w:tcPr>
          <w:p w14:paraId="7F68ECAD" w14:textId="77777777" w:rsidR="005C76F6" w:rsidRDefault="00000000">
            <w:pPr>
              <w:rPr>
                <w:rFonts w:hint="eastAsia"/>
              </w:rPr>
            </w:pPr>
            <w:r>
              <w:t>Smallest lambda within 3 percent of the minimum blocked-CV RMSE</w:t>
            </w:r>
          </w:p>
        </w:tc>
      </w:tr>
      <w:tr w:rsidR="005C76F6" w14:paraId="7FDCC389" w14:textId="77777777">
        <w:tc>
          <w:tcPr>
            <w:tcW w:w="2592" w:type="dxa"/>
            <w:vAlign w:val="center"/>
          </w:tcPr>
          <w:p w14:paraId="537CA3C7" w14:textId="77777777" w:rsidR="005C76F6" w:rsidRDefault="00000000">
            <w:pPr>
              <w:rPr>
                <w:rFonts w:hint="eastAsia"/>
              </w:rPr>
            </w:pPr>
            <w:r>
              <w:rPr>
                <w:b/>
              </w:rPr>
              <w:t>Selected lambda</w:t>
            </w:r>
          </w:p>
        </w:tc>
        <w:tc>
          <w:tcPr>
            <w:tcW w:w="6912" w:type="dxa"/>
            <w:vAlign w:val="center"/>
          </w:tcPr>
          <w:p w14:paraId="6FA3F437" w14:textId="77777777" w:rsidR="005C76F6" w:rsidRDefault="00000000">
            <w:pPr>
              <w:rPr>
                <w:rFonts w:hint="eastAsia"/>
              </w:rPr>
            </w:pPr>
            <w:r>
              <w:t>464.16; strict CV-min lambda was 4641.59</w:t>
            </w:r>
          </w:p>
        </w:tc>
      </w:tr>
    </w:tbl>
    <w:p w14:paraId="53464BA4" w14:textId="77777777" w:rsidR="005C76F6" w:rsidRDefault="00000000">
      <w:pPr>
        <w:spacing w:before="160" w:after="60"/>
        <w:rPr>
          <w:rFonts w:hint="eastAsia"/>
        </w:rPr>
      </w:pPr>
      <w:r>
        <w:rPr>
          <w:b/>
          <w:color w:val="1F4E79"/>
          <w:sz w:val="26"/>
        </w:rPr>
        <w:t>What The Weights Say</w:t>
      </w:r>
    </w:p>
    <w:p w14:paraId="4AD0A992" w14:textId="77777777" w:rsidR="005C76F6" w:rsidRDefault="00000000">
      <w:pPr>
        <w:spacing w:after="80" w:line="252" w:lineRule="auto"/>
        <w:rPr>
          <w:rFonts w:hint="eastAsia"/>
        </w:rPr>
      </w:pPr>
      <w:r>
        <w:t>The relaxed-CV rule creates visible but disciplined departures from the official GVA basket. The largest weight changes are not imposed manually; they are the result of the constrained predictive exercise. This matters because the measure remains auditable: if a sector receives a larger or smaller role, the reason is empirical forecast relevance subject to non-negativity, adding-up, and shrinkage toward the official structure.</w:t>
      </w:r>
    </w:p>
    <w:tbl>
      <w:tblPr>
        <w:tblStyle w:val="TableGrid"/>
        <w:tblW w:w="0" w:type="auto"/>
        <w:tblLook w:val="04A0" w:firstRow="1" w:lastRow="0" w:firstColumn="1" w:lastColumn="0" w:noHBand="0" w:noVBand="1"/>
      </w:tblPr>
      <w:tblGrid>
        <w:gridCol w:w="2577"/>
        <w:gridCol w:w="2575"/>
        <w:gridCol w:w="2575"/>
        <w:gridCol w:w="2575"/>
      </w:tblGrid>
      <w:tr w:rsidR="005C76F6" w14:paraId="7BB639B1" w14:textId="77777777">
        <w:tc>
          <w:tcPr>
            <w:tcW w:w="2578" w:type="dxa"/>
            <w:shd w:val="clear" w:color="auto" w:fill="1F4E78"/>
            <w:vAlign w:val="center"/>
          </w:tcPr>
          <w:p w14:paraId="42061B75" w14:textId="77777777" w:rsidR="005C76F6" w:rsidRDefault="00000000">
            <w:pPr>
              <w:rPr>
                <w:rFonts w:hint="eastAsia"/>
              </w:rPr>
            </w:pPr>
            <w:r>
              <w:rPr>
                <w:b/>
                <w:color w:val="FFFFFF"/>
              </w:rPr>
              <w:t>Component</w:t>
            </w:r>
          </w:p>
        </w:tc>
        <w:tc>
          <w:tcPr>
            <w:tcW w:w="2578" w:type="dxa"/>
            <w:shd w:val="clear" w:color="auto" w:fill="1F4E78"/>
            <w:vAlign w:val="center"/>
          </w:tcPr>
          <w:p w14:paraId="7F583409" w14:textId="77777777" w:rsidR="005C76F6" w:rsidRDefault="00000000">
            <w:pPr>
              <w:rPr>
                <w:rFonts w:hint="eastAsia"/>
              </w:rPr>
            </w:pPr>
            <w:r>
              <w:rPr>
                <w:b/>
                <w:color w:val="FFFFFF"/>
              </w:rPr>
              <w:t>Headline weight</w:t>
            </w:r>
          </w:p>
        </w:tc>
        <w:tc>
          <w:tcPr>
            <w:tcW w:w="2578" w:type="dxa"/>
            <w:shd w:val="clear" w:color="auto" w:fill="1F4E78"/>
            <w:vAlign w:val="center"/>
          </w:tcPr>
          <w:p w14:paraId="75D149FB" w14:textId="77777777" w:rsidR="005C76F6" w:rsidRDefault="00000000">
            <w:pPr>
              <w:rPr>
                <w:rFonts w:hint="eastAsia"/>
              </w:rPr>
            </w:pPr>
            <w:r>
              <w:rPr>
                <w:b/>
                <w:color w:val="FFFFFF"/>
              </w:rPr>
              <w:t>Albacore weight</w:t>
            </w:r>
          </w:p>
        </w:tc>
        <w:tc>
          <w:tcPr>
            <w:tcW w:w="2578" w:type="dxa"/>
            <w:shd w:val="clear" w:color="auto" w:fill="1F4E78"/>
            <w:vAlign w:val="center"/>
          </w:tcPr>
          <w:p w14:paraId="79102707" w14:textId="77777777" w:rsidR="005C76F6" w:rsidRDefault="00000000">
            <w:pPr>
              <w:rPr>
                <w:rFonts w:hint="eastAsia"/>
              </w:rPr>
            </w:pPr>
            <w:r>
              <w:rPr>
                <w:b/>
                <w:color w:val="FFFFFF"/>
              </w:rPr>
              <w:t>Difference</w:t>
            </w:r>
          </w:p>
        </w:tc>
      </w:tr>
      <w:tr w:rsidR="005C76F6" w14:paraId="7D1FC7F7" w14:textId="77777777">
        <w:tc>
          <w:tcPr>
            <w:tcW w:w="2578" w:type="dxa"/>
            <w:vAlign w:val="center"/>
          </w:tcPr>
          <w:p w14:paraId="18D028C6" w14:textId="77777777" w:rsidR="005C76F6" w:rsidRDefault="00000000">
            <w:pPr>
              <w:rPr>
                <w:rFonts w:hint="eastAsia"/>
              </w:rPr>
            </w:pPr>
            <w:r>
              <w:t>S Other service activities</w:t>
            </w:r>
          </w:p>
        </w:tc>
        <w:tc>
          <w:tcPr>
            <w:tcW w:w="2578" w:type="dxa"/>
            <w:vAlign w:val="center"/>
          </w:tcPr>
          <w:p w14:paraId="04B8F5F2" w14:textId="77777777" w:rsidR="005C76F6" w:rsidRDefault="00000000">
            <w:pPr>
              <w:rPr>
                <w:rFonts w:hint="eastAsia"/>
              </w:rPr>
            </w:pPr>
            <w:r>
              <w:t>1.48%</w:t>
            </w:r>
          </w:p>
        </w:tc>
        <w:tc>
          <w:tcPr>
            <w:tcW w:w="2578" w:type="dxa"/>
            <w:vAlign w:val="center"/>
          </w:tcPr>
          <w:p w14:paraId="46BFF95D" w14:textId="77777777" w:rsidR="005C76F6" w:rsidRDefault="00000000">
            <w:pPr>
              <w:rPr>
                <w:rFonts w:hint="eastAsia"/>
              </w:rPr>
            </w:pPr>
            <w:r>
              <w:t>5.81%</w:t>
            </w:r>
          </w:p>
        </w:tc>
        <w:tc>
          <w:tcPr>
            <w:tcW w:w="2578" w:type="dxa"/>
            <w:vAlign w:val="center"/>
          </w:tcPr>
          <w:p w14:paraId="4DCE4451" w14:textId="77777777" w:rsidR="005C76F6" w:rsidRDefault="00000000">
            <w:pPr>
              <w:rPr>
                <w:rFonts w:hint="eastAsia"/>
              </w:rPr>
            </w:pPr>
            <w:r>
              <w:t>+4.33 pp</w:t>
            </w:r>
          </w:p>
        </w:tc>
      </w:tr>
      <w:tr w:rsidR="005C76F6" w14:paraId="6E6E81CF" w14:textId="77777777">
        <w:tc>
          <w:tcPr>
            <w:tcW w:w="2578" w:type="dxa"/>
            <w:vAlign w:val="center"/>
          </w:tcPr>
          <w:p w14:paraId="47474830" w14:textId="77777777" w:rsidR="005C76F6" w:rsidRDefault="00000000">
            <w:pPr>
              <w:rPr>
                <w:rFonts w:hint="eastAsia"/>
              </w:rPr>
            </w:pPr>
            <w:r>
              <w:t>H Transportation and storage</w:t>
            </w:r>
          </w:p>
        </w:tc>
        <w:tc>
          <w:tcPr>
            <w:tcW w:w="2578" w:type="dxa"/>
            <w:vAlign w:val="center"/>
          </w:tcPr>
          <w:p w14:paraId="14A94437" w14:textId="77777777" w:rsidR="005C76F6" w:rsidRDefault="00000000">
            <w:pPr>
              <w:rPr>
                <w:rFonts w:hint="eastAsia"/>
              </w:rPr>
            </w:pPr>
            <w:r>
              <w:t>3.39%</w:t>
            </w:r>
          </w:p>
        </w:tc>
        <w:tc>
          <w:tcPr>
            <w:tcW w:w="2578" w:type="dxa"/>
            <w:vAlign w:val="center"/>
          </w:tcPr>
          <w:p w14:paraId="3CAA9F3D" w14:textId="77777777" w:rsidR="005C76F6" w:rsidRDefault="00000000">
            <w:pPr>
              <w:rPr>
                <w:rFonts w:hint="eastAsia"/>
              </w:rPr>
            </w:pPr>
            <w:r>
              <w:t>0.00%</w:t>
            </w:r>
          </w:p>
        </w:tc>
        <w:tc>
          <w:tcPr>
            <w:tcW w:w="2578" w:type="dxa"/>
            <w:vAlign w:val="center"/>
          </w:tcPr>
          <w:p w14:paraId="78ABB5E8" w14:textId="77777777" w:rsidR="005C76F6" w:rsidRDefault="00000000">
            <w:pPr>
              <w:rPr>
                <w:rFonts w:hint="eastAsia"/>
              </w:rPr>
            </w:pPr>
            <w:r>
              <w:t>-3.39 pp</w:t>
            </w:r>
          </w:p>
        </w:tc>
      </w:tr>
      <w:tr w:rsidR="005C76F6" w14:paraId="21B61A97" w14:textId="77777777">
        <w:tc>
          <w:tcPr>
            <w:tcW w:w="2578" w:type="dxa"/>
            <w:vAlign w:val="center"/>
          </w:tcPr>
          <w:p w14:paraId="2076DE0F" w14:textId="77777777" w:rsidR="005C76F6" w:rsidRDefault="00000000">
            <w:pPr>
              <w:rPr>
                <w:rFonts w:hint="eastAsia"/>
              </w:rPr>
            </w:pPr>
            <w:r>
              <w:t>K Financial and insurance activities</w:t>
            </w:r>
          </w:p>
        </w:tc>
        <w:tc>
          <w:tcPr>
            <w:tcW w:w="2578" w:type="dxa"/>
            <w:vAlign w:val="center"/>
          </w:tcPr>
          <w:p w14:paraId="0B31A2AB" w14:textId="77777777" w:rsidR="005C76F6" w:rsidRDefault="00000000">
            <w:pPr>
              <w:rPr>
                <w:rFonts w:hint="eastAsia"/>
              </w:rPr>
            </w:pPr>
            <w:r>
              <w:t>8.17%</w:t>
            </w:r>
          </w:p>
        </w:tc>
        <w:tc>
          <w:tcPr>
            <w:tcW w:w="2578" w:type="dxa"/>
            <w:vAlign w:val="center"/>
          </w:tcPr>
          <w:p w14:paraId="0A3A3CF6" w14:textId="77777777" w:rsidR="005C76F6" w:rsidRDefault="00000000">
            <w:pPr>
              <w:rPr>
                <w:rFonts w:hint="eastAsia"/>
              </w:rPr>
            </w:pPr>
            <w:r>
              <w:t>5.49%</w:t>
            </w:r>
          </w:p>
        </w:tc>
        <w:tc>
          <w:tcPr>
            <w:tcW w:w="2578" w:type="dxa"/>
            <w:vAlign w:val="center"/>
          </w:tcPr>
          <w:p w14:paraId="77415DBD" w14:textId="77777777" w:rsidR="005C76F6" w:rsidRDefault="00000000">
            <w:pPr>
              <w:rPr>
                <w:rFonts w:hint="eastAsia"/>
              </w:rPr>
            </w:pPr>
            <w:r>
              <w:t>-2.68 pp</w:t>
            </w:r>
          </w:p>
        </w:tc>
      </w:tr>
      <w:tr w:rsidR="005C76F6" w14:paraId="0DD59B32" w14:textId="77777777">
        <w:tc>
          <w:tcPr>
            <w:tcW w:w="2578" w:type="dxa"/>
            <w:vAlign w:val="center"/>
          </w:tcPr>
          <w:p w14:paraId="6226E127" w14:textId="77777777" w:rsidR="005C76F6" w:rsidRDefault="00000000">
            <w:pPr>
              <w:rPr>
                <w:rFonts w:hint="eastAsia"/>
              </w:rPr>
            </w:pPr>
            <w:r>
              <w:t>G Wholesale and retail trade and repair of motor vehicles and motorcycles</w:t>
            </w:r>
          </w:p>
        </w:tc>
        <w:tc>
          <w:tcPr>
            <w:tcW w:w="2578" w:type="dxa"/>
            <w:vAlign w:val="center"/>
          </w:tcPr>
          <w:p w14:paraId="08988E41" w14:textId="77777777" w:rsidR="005C76F6" w:rsidRDefault="00000000">
            <w:pPr>
              <w:rPr>
                <w:rFonts w:hint="eastAsia"/>
              </w:rPr>
            </w:pPr>
            <w:r>
              <w:t>9.89%</w:t>
            </w:r>
          </w:p>
        </w:tc>
        <w:tc>
          <w:tcPr>
            <w:tcW w:w="2578" w:type="dxa"/>
            <w:vAlign w:val="center"/>
          </w:tcPr>
          <w:p w14:paraId="5F961B78" w14:textId="77777777" w:rsidR="005C76F6" w:rsidRDefault="00000000">
            <w:pPr>
              <w:rPr>
                <w:rFonts w:hint="eastAsia"/>
              </w:rPr>
            </w:pPr>
            <w:r>
              <w:t>7.41%</w:t>
            </w:r>
          </w:p>
        </w:tc>
        <w:tc>
          <w:tcPr>
            <w:tcW w:w="2578" w:type="dxa"/>
            <w:vAlign w:val="center"/>
          </w:tcPr>
          <w:p w14:paraId="1CA8ABDA" w14:textId="77777777" w:rsidR="005C76F6" w:rsidRDefault="00000000">
            <w:pPr>
              <w:rPr>
                <w:rFonts w:hint="eastAsia"/>
              </w:rPr>
            </w:pPr>
            <w:r>
              <w:t>-2.48 pp</w:t>
            </w:r>
          </w:p>
        </w:tc>
      </w:tr>
      <w:tr w:rsidR="005C76F6" w14:paraId="78969660" w14:textId="77777777">
        <w:tc>
          <w:tcPr>
            <w:tcW w:w="2578" w:type="dxa"/>
            <w:vAlign w:val="center"/>
          </w:tcPr>
          <w:p w14:paraId="56AF8E33" w14:textId="77777777" w:rsidR="005C76F6" w:rsidRDefault="00000000">
            <w:pPr>
              <w:rPr>
                <w:rFonts w:hint="eastAsia"/>
              </w:rPr>
            </w:pPr>
            <w:r>
              <w:t>O Public administration and defence; compulsory social security</w:t>
            </w:r>
          </w:p>
        </w:tc>
        <w:tc>
          <w:tcPr>
            <w:tcW w:w="2578" w:type="dxa"/>
            <w:vAlign w:val="center"/>
          </w:tcPr>
          <w:p w14:paraId="27EF2DD8" w14:textId="77777777" w:rsidR="005C76F6" w:rsidRDefault="00000000">
            <w:pPr>
              <w:rPr>
                <w:rFonts w:hint="eastAsia"/>
              </w:rPr>
            </w:pPr>
            <w:r>
              <w:t>4.96%</w:t>
            </w:r>
          </w:p>
        </w:tc>
        <w:tc>
          <w:tcPr>
            <w:tcW w:w="2578" w:type="dxa"/>
            <w:vAlign w:val="center"/>
          </w:tcPr>
          <w:p w14:paraId="1DBE7FDA" w14:textId="77777777" w:rsidR="005C76F6" w:rsidRDefault="00000000">
            <w:pPr>
              <w:rPr>
                <w:rFonts w:hint="eastAsia"/>
              </w:rPr>
            </w:pPr>
            <w:r>
              <w:t>7.38%</w:t>
            </w:r>
          </w:p>
        </w:tc>
        <w:tc>
          <w:tcPr>
            <w:tcW w:w="2578" w:type="dxa"/>
            <w:vAlign w:val="center"/>
          </w:tcPr>
          <w:p w14:paraId="303B9381" w14:textId="77777777" w:rsidR="005C76F6" w:rsidRDefault="00000000">
            <w:pPr>
              <w:rPr>
                <w:rFonts w:hint="eastAsia"/>
              </w:rPr>
            </w:pPr>
            <w:r>
              <w:t>+2.42 pp</w:t>
            </w:r>
          </w:p>
        </w:tc>
      </w:tr>
    </w:tbl>
    <w:p w14:paraId="4413CAE6" w14:textId="77777777" w:rsidR="005C76F6" w:rsidRDefault="00000000">
      <w:pPr>
        <w:spacing w:before="160" w:after="60"/>
        <w:rPr>
          <w:rFonts w:hint="eastAsia"/>
        </w:rPr>
      </w:pPr>
      <w:r>
        <w:rPr>
          <w:b/>
          <w:color w:val="1F4E79"/>
          <w:sz w:val="26"/>
        </w:rPr>
        <w:t>Reading The Contribution Chart</w:t>
      </w:r>
    </w:p>
    <w:p w14:paraId="465BB44B" w14:textId="77777777" w:rsidR="005C76F6" w:rsidRDefault="00000000">
      <w:pPr>
        <w:spacing w:after="80" w:line="252" w:lineRule="auto"/>
        <w:rPr>
          <w:rFonts w:hint="eastAsia"/>
        </w:rPr>
      </w:pPr>
      <w:r>
        <w:t>The contribution chart decomposes Albacore GDP into five policy-relevant blocks: Production, Construction, Consumer-facing activity, Other services, and Government services. Each contribution is the Albacore component weight multiplied by the smoothed component growth rate, then summed within the block. The stacked areas therefore add back to the Albacore-components GDP series.</w:t>
      </w:r>
    </w:p>
    <w:p w14:paraId="472079D0" w14:textId="77777777" w:rsidR="005C76F6" w:rsidRDefault="00000000">
      <w:pPr>
        <w:spacing w:after="80" w:line="252" w:lineRule="auto"/>
        <w:rPr>
          <w:rFonts w:hint="eastAsia"/>
        </w:rPr>
      </w:pPr>
      <w:r>
        <w:t>This makes the measure useful for policy meetings. Instead of asking only whether underlying GDP is above or below headline GDP, the decomposition shows which broad sectors are responsible for the signal. It is especially helpful around shocks, when the headline number can be dominated by one-off movements but the policy question is whether the underlying composition points to persistent momentum or fragility.</w:t>
      </w:r>
    </w:p>
    <w:p w14:paraId="43EDEEDD" w14:textId="77777777" w:rsidR="005C76F6" w:rsidRDefault="005C76F6">
      <w:pPr>
        <w:rPr>
          <w:rFonts w:hint="eastAsia"/>
        </w:rPr>
        <w:sectPr w:rsidR="005C76F6">
          <w:pgSz w:w="12240" w:h="15840"/>
          <w:pgMar w:top="879" w:right="964" w:bottom="879" w:left="964" w:header="720" w:footer="720" w:gutter="0"/>
          <w:cols w:space="720"/>
          <w:docGrid w:linePitch="360"/>
        </w:sectPr>
      </w:pPr>
    </w:p>
    <w:p w14:paraId="19F16702" w14:textId="77777777" w:rsidR="005C76F6" w:rsidRDefault="00000000">
      <w:pPr>
        <w:spacing w:before="160" w:after="60"/>
        <w:rPr>
          <w:rFonts w:hint="eastAsia"/>
        </w:rPr>
      </w:pPr>
      <w:r>
        <w:rPr>
          <w:b/>
          <w:color w:val="1F4E79"/>
          <w:sz w:val="26"/>
        </w:rPr>
        <w:lastRenderedPageBreak/>
        <w:t>How It Complements Survey-Based Underlying GDP</w:t>
      </w:r>
    </w:p>
    <w:p w14:paraId="5D097F95" w14:textId="77777777" w:rsidR="005C76F6" w:rsidRDefault="00000000">
      <w:pPr>
        <w:spacing w:after="80" w:line="252" w:lineRule="auto"/>
        <w:rPr>
          <w:rFonts w:hint="eastAsia"/>
        </w:rPr>
      </w:pPr>
      <w:r>
        <w:t>Survey indicators and Albacore answer related but distinct questions. Surveys summarize firms’ reported conditions, expectations, order books, employment intentions, and sentiment. Albacore summarizes the realized sectoral distribution of measured output growth and learns which parts of that distribution have been informative about subsequent GDP. Both are forward-looking, but they draw on different information sets.</w:t>
      </w:r>
    </w:p>
    <w:tbl>
      <w:tblPr>
        <w:tblStyle w:val="TableGrid"/>
        <w:tblW w:w="0" w:type="auto"/>
        <w:tblLook w:val="04A0" w:firstRow="1" w:lastRow="0" w:firstColumn="1" w:lastColumn="0" w:noHBand="0" w:noVBand="1"/>
      </w:tblPr>
      <w:tblGrid>
        <w:gridCol w:w="3434"/>
        <w:gridCol w:w="3434"/>
        <w:gridCol w:w="3434"/>
      </w:tblGrid>
      <w:tr w:rsidR="005C76F6" w14:paraId="4A8B9485" w14:textId="77777777">
        <w:tc>
          <w:tcPr>
            <w:tcW w:w="3437" w:type="dxa"/>
            <w:shd w:val="clear" w:color="auto" w:fill="1F4E78"/>
            <w:vAlign w:val="center"/>
          </w:tcPr>
          <w:p w14:paraId="50705863" w14:textId="77777777" w:rsidR="005C76F6" w:rsidRDefault="00000000">
            <w:pPr>
              <w:rPr>
                <w:rFonts w:hint="eastAsia"/>
              </w:rPr>
            </w:pPr>
            <w:r>
              <w:rPr>
                <w:b/>
                <w:color w:val="FFFFFF"/>
              </w:rPr>
              <w:t>Dimension</w:t>
            </w:r>
          </w:p>
        </w:tc>
        <w:tc>
          <w:tcPr>
            <w:tcW w:w="3437" w:type="dxa"/>
            <w:shd w:val="clear" w:color="auto" w:fill="1F4E78"/>
            <w:vAlign w:val="center"/>
          </w:tcPr>
          <w:p w14:paraId="00FB9EF7" w14:textId="77777777" w:rsidR="005C76F6" w:rsidRDefault="00000000">
            <w:pPr>
              <w:rPr>
                <w:rFonts w:hint="eastAsia"/>
              </w:rPr>
            </w:pPr>
            <w:r>
              <w:rPr>
                <w:b/>
                <w:color w:val="FFFFFF"/>
              </w:rPr>
              <w:t>Survey-based underlying GDP</w:t>
            </w:r>
          </w:p>
        </w:tc>
        <w:tc>
          <w:tcPr>
            <w:tcW w:w="3437" w:type="dxa"/>
            <w:shd w:val="clear" w:color="auto" w:fill="1F4E78"/>
            <w:vAlign w:val="center"/>
          </w:tcPr>
          <w:p w14:paraId="500E2AC4" w14:textId="77777777" w:rsidR="005C76F6" w:rsidRDefault="00000000">
            <w:pPr>
              <w:rPr>
                <w:rFonts w:hint="eastAsia"/>
              </w:rPr>
            </w:pPr>
            <w:r>
              <w:rPr>
                <w:b/>
                <w:color w:val="FFFFFF"/>
              </w:rPr>
              <w:t>Albacore-components GDP</w:t>
            </w:r>
          </w:p>
        </w:tc>
      </w:tr>
      <w:tr w:rsidR="005C76F6" w14:paraId="4FCF2829" w14:textId="77777777">
        <w:tc>
          <w:tcPr>
            <w:tcW w:w="3437" w:type="dxa"/>
            <w:vAlign w:val="center"/>
          </w:tcPr>
          <w:p w14:paraId="67CD8629" w14:textId="77777777" w:rsidR="005C76F6" w:rsidRDefault="00000000">
            <w:pPr>
              <w:rPr>
                <w:rFonts w:hint="eastAsia"/>
              </w:rPr>
            </w:pPr>
            <w:r>
              <w:t>Information source</w:t>
            </w:r>
          </w:p>
        </w:tc>
        <w:tc>
          <w:tcPr>
            <w:tcW w:w="3437" w:type="dxa"/>
            <w:vAlign w:val="center"/>
          </w:tcPr>
          <w:p w14:paraId="52A0B68C" w14:textId="77777777" w:rsidR="005C76F6" w:rsidRDefault="00000000">
            <w:pPr>
              <w:rPr>
                <w:rFonts w:hint="eastAsia"/>
              </w:rPr>
            </w:pPr>
            <w:r>
              <w:t>Business and household responses; often qualitative</w:t>
            </w:r>
          </w:p>
        </w:tc>
        <w:tc>
          <w:tcPr>
            <w:tcW w:w="3437" w:type="dxa"/>
            <w:vAlign w:val="center"/>
          </w:tcPr>
          <w:p w14:paraId="7A880906" w14:textId="77777777" w:rsidR="005C76F6" w:rsidRDefault="00000000">
            <w:pPr>
              <w:rPr>
                <w:rFonts w:hint="eastAsia"/>
              </w:rPr>
            </w:pPr>
            <w:r>
              <w:t>Official GVA components; quantitative realized output</w:t>
            </w:r>
          </w:p>
        </w:tc>
      </w:tr>
      <w:tr w:rsidR="005C76F6" w14:paraId="5326FAD7" w14:textId="77777777">
        <w:tc>
          <w:tcPr>
            <w:tcW w:w="3437" w:type="dxa"/>
            <w:vAlign w:val="center"/>
          </w:tcPr>
          <w:p w14:paraId="594485D5" w14:textId="77777777" w:rsidR="005C76F6" w:rsidRDefault="00000000">
            <w:pPr>
              <w:rPr>
                <w:rFonts w:hint="eastAsia"/>
              </w:rPr>
            </w:pPr>
            <w:r>
              <w:t>Timeliness</w:t>
            </w:r>
          </w:p>
        </w:tc>
        <w:tc>
          <w:tcPr>
            <w:tcW w:w="3437" w:type="dxa"/>
            <w:vAlign w:val="center"/>
          </w:tcPr>
          <w:p w14:paraId="34CF2D86" w14:textId="77777777" w:rsidR="005C76F6" w:rsidRDefault="00000000">
            <w:pPr>
              <w:rPr>
                <w:rFonts w:hint="eastAsia"/>
              </w:rPr>
            </w:pPr>
            <w:r>
              <w:t>Very timely, often available before official data</w:t>
            </w:r>
          </w:p>
        </w:tc>
        <w:tc>
          <w:tcPr>
            <w:tcW w:w="3437" w:type="dxa"/>
            <w:vAlign w:val="center"/>
          </w:tcPr>
          <w:p w14:paraId="0B122BCC" w14:textId="77777777" w:rsidR="005C76F6" w:rsidRDefault="00000000">
            <w:pPr>
              <w:rPr>
                <w:rFonts w:hint="eastAsia"/>
              </w:rPr>
            </w:pPr>
            <w:r>
              <w:t>Available when component GDP/GVA data are released</w:t>
            </w:r>
          </w:p>
        </w:tc>
      </w:tr>
      <w:tr w:rsidR="005C76F6" w14:paraId="476723C0" w14:textId="77777777">
        <w:tc>
          <w:tcPr>
            <w:tcW w:w="3437" w:type="dxa"/>
            <w:vAlign w:val="center"/>
          </w:tcPr>
          <w:p w14:paraId="1971D9C2" w14:textId="77777777" w:rsidR="005C76F6" w:rsidRDefault="00000000">
            <w:pPr>
              <w:rPr>
                <w:rFonts w:hint="eastAsia"/>
              </w:rPr>
            </w:pPr>
            <w:r>
              <w:t>Main risk</w:t>
            </w:r>
          </w:p>
        </w:tc>
        <w:tc>
          <w:tcPr>
            <w:tcW w:w="3437" w:type="dxa"/>
            <w:vAlign w:val="center"/>
          </w:tcPr>
          <w:p w14:paraId="3FBB9E2D" w14:textId="77777777" w:rsidR="005C76F6" w:rsidRDefault="00000000">
            <w:pPr>
              <w:rPr>
                <w:rFonts w:hint="eastAsia"/>
              </w:rPr>
            </w:pPr>
            <w:r>
              <w:t>Sentiment and sampling effects can move independently of output</w:t>
            </w:r>
          </w:p>
        </w:tc>
        <w:tc>
          <w:tcPr>
            <w:tcW w:w="3437" w:type="dxa"/>
            <w:vAlign w:val="center"/>
          </w:tcPr>
          <w:p w14:paraId="1BAFEEC1" w14:textId="77777777" w:rsidR="005C76F6" w:rsidRDefault="00000000">
            <w:pPr>
              <w:rPr>
                <w:rFonts w:hint="eastAsia"/>
              </w:rPr>
            </w:pPr>
            <w:r>
              <w:t>Official data revisions and component volatility</w:t>
            </w:r>
          </w:p>
        </w:tc>
      </w:tr>
      <w:tr w:rsidR="005C76F6" w14:paraId="704BB0CA" w14:textId="77777777">
        <w:tc>
          <w:tcPr>
            <w:tcW w:w="3437" w:type="dxa"/>
            <w:vAlign w:val="center"/>
          </w:tcPr>
          <w:p w14:paraId="5AD35B15" w14:textId="77777777" w:rsidR="005C76F6" w:rsidRDefault="00000000">
            <w:pPr>
              <w:rPr>
                <w:rFonts w:hint="eastAsia"/>
              </w:rPr>
            </w:pPr>
            <w:r>
              <w:t>Transparency</w:t>
            </w:r>
          </w:p>
        </w:tc>
        <w:tc>
          <w:tcPr>
            <w:tcW w:w="3437" w:type="dxa"/>
            <w:vAlign w:val="center"/>
          </w:tcPr>
          <w:p w14:paraId="795A28C4" w14:textId="77777777" w:rsidR="005C76F6" w:rsidRDefault="00000000">
            <w:pPr>
              <w:rPr>
                <w:rFonts w:hint="eastAsia"/>
              </w:rPr>
            </w:pPr>
            <w:r>
              <w:t>Depends on survey design and mapping to GDP</w:t>
            </w:r>
          </w:p>
        </w:tc>
        <w:tc>
          <w:tcPr>
            <w:tcW w:w="3437" w:type="dxa"/>
            <w:vAlign w:val="center"/>
          </w:tcPr>
          <w:p w14:paraId="12DAD5E0" w14:textId="77777777" w:rsidR="005C76F6" w:rsidRDefault="00000000">
            <w:pPr>
              <w:rPr>
                <w:rFonts w:hint="eastAsia"/>
              </w:rPr>
            </w:pPr>
            <w:r>
              <w:t>Weights and sector contributions are directly observable</w:t>
            </w:r>
          </w:p>
        </w:tc>
      </w:tr>
      <w:tr w:rsidR="005C76F6" w14:paraId="1DCC3F8D" w14:textId="77777777">
        <w:tc>
          <w:tcPr>
            <w:tcW w:w="3437" w:type="dxa"/>
            <w:vAlign w:val="center"/>
          </w:tcPr>
          <w:p w14:paraId="22CA1AFD" w14:textId="77777777" w:rsidR="005C76F6" w:rsidRDefault="00000000">
            <w:pPr>
              <w:rPr>
                <w:rFonts w:hint="eastAsia"/>
              </w:rPr>
            </w:pPr>
            <w:r>
              <w:t>Policy use</w:t>
            </w:r>
          </w:p>
        </w:tc>
        <w:tc>
          <w:tcPr>
            <w:tcW w:w="3437" w:type="dxa"/>
            <w:vAlign w:val="center"/>
          </w:tcPr>
          <w:p w14:paraId="3E7A1B13" w14:textId="77777777" w:rsidR="005C76F6" w:rsidRDefault="00000000">
            <w:pPr>
              <w:rPr>
                <w:rFonts w:hint="eastAsia"/>
              </w:rPr>
            </w:pPr>
            <w:r>
              <w:t>Early read on current conditions</w:t>
            </w:r>
          </w:p>
        </w:tc>
        <w:tc>
          <w:tcPr>
            <w:tcW w:w="3437" w:type="dxa"/>
            <w:vAlign w:val="center"/>
          </w:tcPr>
          <w:p w14:paraId="6D6D8676" w14:textId="77777777" w:rsidR="005C76F6" w:rsidRDefault="00000000">
            <w:pPr>
              <w:rPr>
                <w:rFonts w:hint="eastAsia"/>
              </w:rPr>
            </w:pPr>
            <w:r>
              <w:t>Cross-check on underlying measured activity and sector drivers</w:t>
            </w:r>
          </w:p>
        </w:tc>
      </w:tr>
    </w:tbl>
    <w:p w14:paraId="3FAEC03E" w14:textId="77777777" w:rsidR="005C76F6" w:rsidRDefault="00000000">
      <w:pPr>
        <w:spacing w:before="160" w:after="60"/>
        <w:rPr>
          <w:rFonts w:hint="eastAsia"/>
        </w:rPr>
      </w:pPr>
      <w:r>
        <w:rPr>
          <w:b/>
          <w:color w:val="1F4E79"/>
          <w:sz w:val="26"/>
        </w:rPr>
        <w:t>Policy Takeaways</w:t>
      </w:r>
    </w:p>
    <w:p w14:paraId="2E11D0F5" w14:textId="77777777" w:rsidR="005C76F6" w:rsidRDefault="00000000">
      <w:pPr>
        <w:spacing w:after="50"/>
        <w:ind w:left="255" w:hanging="125"/>
        <w:rPr>
          <w:rFonts w:hint="eastAsia"/>
        </w:rPr>
      </w:pPr>
      <w:r>
        <w:rPr>
          <w:color w:val="1F4E79"/>
          <w:sz w:val="18"/>
        </w:rPr>
        <w:t xml:space="preserve">• </w:t>
      </w:r>
      <w:r>
        <w:rPr>
          <w:sz w:val="18"/>
        </w:rPr>
        <w:t>Use Albacore as a complementary underlying GDP gauge, not as a substitute for headline GDP or survey nowcasts.</w:t>
      </w:r>
    </w:p>
    <w:p w14:paraId="7C8A16F3" w14:textId="77777777" w:rsidR="005C76F6" w:rsidRDefault="00000000">
      <w:pPr>
        <w:spacing w:after="50"/>
        <w:ind w:left="255" w:hanging="125"/>
        <w:rPr>
          <w:rFonts w:hint="eastAsia"/>
        </w:rPr>
      </w:pPr>
      <w:r>
        <w:rPr>
          <w:color w:val="1F4E79"/>
          <w:sz w:val="18"/>
        </w:rPr>
        <w:t xml:space="preserve">• </w:t>
      </w:r>
      <w:r>
        <w:rPr>
          <w:sz w:val="18"/>
        </w:rPr>
        <w:t>Treat divergences between Albacore and survey-based measures as useful diagnostic events: they reveal whether sentiment and measured activity are telling the same story.</w:t>
      </w:r>
    </w:p>
    <w:p w14:paraId="589F6136" w14:textId="77777777" w:rsidR="005C76F6" w:rsidRDefault="00000000">
      <w:pPr>
        <w:spacing w:after="50"/>
        <w:ind w:left="255" w:hanging="125"/>
        <w:rPr>
          <w:rFonts w:hint="eastAsia"/>
        </w:rPr>
      </w:pPr>
      <w:r>
        <w:rPr>
          <w:color w:val="1F4E79"/>
          <w:sz w:val="18"/>
        </w:rPr>
        <w:t xml:space="preserve">• </w:t>
      </w:r>
      <w:r>
        <w:rPr>
          <w:sz w:val="18"/>
        </w:rPr>
        <w:t>Focus on both the level of the Albacore signal and its sectoral contributions; the latter is crucial for policy interpretation.</w:t>
      </w:r>
    </w:p>
    <w:p w14:paraId="756134E6" w14:textId="77777777" w:rsidR="005C76F6" w:rsidRDefault="00000000">
      <w:pPr>
        <w:spacing w:after="50"/>
        <w:ind w:left="255" w:hanging="125"/>
        <w:rPr>
          <w:rFonts w:hint="eastAsia"/>
        </w:rPr>
      </w:pPr>
      <w:r>
        <w:rPr>
          <w:color w:val="1F4E79"/>
          <w:sz w:val="18"/>
        </w:rPr>
        <w:t xml:space="preserve">• </w:t>
      </w:r>
      <w:r>
        <w:rPr>
          <w:sz w:val="18"/>
        </w:rPr>
        <w:t>Maintain a disciplined model-selection rule. The relaxed-CV choice used here allows economically meaningful weight variation while preserving predictive discipline.</w:t>
      </w:r>
    </w:p>
    <w:p w14:paraId="2D37450E" w14:textId="77777777" w:rsidR="005C76F6" w:rsidRDefault="00000000">
      <w:pPr>
        <w:spacing w:after="50"/>
        <w:ind w:left="255" w:hanging="125"/>
        <w:rPr>
          <w:rFonts w:hint="eastAsia"/>
        </w:rPr>
      </w:pPr>
      <w:r>
        <w:rPr>
          <w:color w:val="1F4E79"/>
          <w:sz w:val="18"/>
        </w:rPr>
        <w:t xml:space="preserve">• </w:t>
      </w:r>
      <w:r>
        <w:rPr>
          <w:sz w:val="18"/>
        </w:rPr>
        <w:t>Re-estimate cautiously as new data arrive, because GDP components can be revised and the relation between sectoral growth and future headline GDP may shift over time.</w:t>
      </w:r>
    </w:p>
    <w:p w14:paraId="3C60FA56" w14:textId="77777777" w:rsidR="005C76F6" w:rsidRDefault="00000000">
      <w:pPr>
        <w:spacing w:before="160" w:after="60"/>
        <w:rPr>
          <w:rFonts w:hint="eastAsia"/>
        </w:rPr>
      </w:pPr>
      <w:r>
        <w:rPr>
          <w:b/>
          <w:color w:val="1F4E79"/>
          <w:sz w:val="26"/>
        </w:rPr>
        <w:t>Bottom Line</w:t>
      </w:r>
    </w:p>
    <w:p w14:paraId="6F707D52" w14:textId="77777777" w:rsidR="005C76F6" w:rsidRDefault="00000000">
      <w:pPr>
        <w:spacing w:after="80" w:line="252" w:lineRule="auto"/>
        <w:rPr>
          <w:rFonts w:hint="eastAsia"/>
        </w:rPr>
      </w:pPr>
      <w:r>
        <w:t>The replication demonstrates that the Albacore-components framework can be adapted from inflation to GDP in a way that is interpretable for policy makers and informative for highly trained economists. Its value lies in combining three features that are rarely available together: a forward-looking objective, a direct link to official output components, and a transparent decomposition of the resulting underlying GDP signal.</w:t>
      </w:r>
    </w:p>
    <w:sectPr w:rsidR="005C76F6" w:rsidSect="00034616">
      <w:pgSz w:w="12240" w:h="15840"/>
      <w:pgMar w:top="879"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029624">
    <w:abstractNumId w:val="8"/>
  </w:num>
  <w:num w:numId="2" w16cid:durableId="747338393">
    <w:abstractNumId w:val="6"/>
  </w:num>
  <w:num w:numId="3" w16cid:durableId="1977055581">
    <w:abstractNumId w:val="5"/>
  </w:num>
  <w:num w:numId="4" w16cid:durableId="603852608">
    <w:abstractNumId w:val="4"/>
  </w:num>
  <w:num w:numId="5" w16cid:durableId="1747191889">
    <w:abstractNumId w:val="7"/>
  </w:num>
  <w:num w:numId="6" w16cid:durableId="1637490753">
    <w:abstractNumId w:val="3"/>
  </w:num>
  <w:num w:numId="7" w16cid:durableId="800926535">
    <w:abstractNumId w:val="2"/>
  </w:num>
  <w:num w:numId="8" w16cid:durableId="1311789915">
    <w:abstractNumId w:val="1"/>
  </w:num>
  <w:num w:numId="9" w16cid:durableId="1830245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F2C"/>
    <w:rsid w:val="0015074B"/>
    <w:rsid w:val="0029639D"/>
    <w:rsid w:val="00326F90"/>
    <w:rsid w:val="003B262E"/>
    <w:rsid w:val="005C76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99949"/>
  <w14:defaultImageDpi w14:val="300"/>
  <w15:docId w15:val="{4B78635B-C842-7D4E-AEC0-5CD3C209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1066</Words>
  <Characters>6428</Characters>
  <Application>Microsoft Office Word</Application>
  <DocSecurity>0</DocSecurity>
  <Lines>149</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Kensley Blaise</cp:lastModifiedBy>
  <cp:revision>2</cp:revision>
  <dcterms:created xsi:type="dcterms:W3CDTF">2026-04-28T06:24:00Z</dcterms:created>
  <dcterms:modified xsi:type="dcterms:W3CDTF">2026-04-28T06:24:00Z</dcterms:modified>
  <cp:category/>
</cp:coreProperties>
</file>