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KYC / CDD Customer Profile</w:t>
      </w:r>
    </w:p>
    <w:p>
      <w:pPr>
        <w:pStyle w:val="Heading1"/>
      </w:pPr>
      <w:r>
        <w:t>Customer</w:t>
      </w:r>
    </w:p>
    <w:p>
      <w:r>
        <w:t>Customer name: Orchid Meridian Trading Pte. Ltd.</w:t>
      </w:r>
    </w:p>
    <w:p>
      <w:r>
        <w:t>Customer CIF: CIF-8842197</w:t>
      </w:r>
    </w:p>
    <w:p>
      <w:r>
        <w:t>Incorporated: Singapore, 2019. Status: live company.</w:t>
      </w:r>
    </w:p>
    <w:p>
      <w:r>
        <w:t>Sole director and shareholder: Elena Tan</w:t>
      </w:r>
    </w:p>
    <w:p>
      <w:r>
        <w:t>Ultimate beneficial owner: Tan Wei Ming</w:t>
      </w:r>
    </w:p>
    <w:p>
      <w:pPr>
        <w:pStyle w:val="Heading1"/>
      </w:pPr>
      <w:r>
        <w:t>Nature of business</w:t>
      </w:r>
    </w:p>
    <w:p>
      <w:r>
        <w:t>Declared nature of business: office stationery wholesaler (paper, toner, filing products) serving retail chains in Singapore and Malaysia.</w:t>
      </w:r>
    </w:p>
    <w:p>
      <w:r>
        <w:t>Expected activity: USD 45,000 per month, mainly domestic receipts from retailers.</w:t>
      </w:r>
    </w:p>
    <w:p>
      <w:r>
        <w:t>Expected counterparties: Northstar Retail, Bright Arc Pte.</w:t>
      </w:r>
    </w:p>
    <w:p>
      <w:pPr>
        <w:pStyle w:val="Heading1"/>
      </w:pPr>
      <w:r>
        <w:t>Accounts</w:t>
      </w:r>
    </w:p>
    <w:p>
      <w:pPr>
        <w:pStyle w:val="ListBullet"/>
      </w:pPr>
      <w:r>
        <w:t>SGD operating account 5952757454001, opened 18 Mar 2021</w:t>
      </w:r>
    </w:p>
    <w:p>
      <w:pPr>
        <w:pStyle w:val="ListBullet"/>
      </w:pPr>
      <w:r>
        <w:t>LNS account 5012261745, opened 22 Sep 2022</w:t>
      </w:r>
    </w:p>
    <w:p>
      <w:pPr>
        <w:pStyle w:val="Heading1"/>
      </w:pPr>
      <w:r>
        <w:t>Risk rating</w:t>
      </w:r>
    </w:p>
    <w:p>
      <w:r>
        <w:t>Customer risk rating: Medium. Last periodic review: 14 Jan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