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numPr>
          <w:ilvl w:val="0"/>
          <w:numId w:val="0"/>
        </w:numPr>
        <w:spacing w:before="480" w:after="80"/>
        <w:ind w:hanging="0"/>
        <w:jc w:val="center"/>
        <w:rPr/>
      </w:pPr>
      <w:bookmarkStart w:id="0" w:name="_Hlk217401153"/>
      <w:bookmarkEnd w:id="0"/>
      <w:r>
        <w:rPr/>
        <w:t>一、自动行驶小车</w:t>
      </w:r>
    </w:p>
    <w:p>
      <w:pPr>
        <w:pStyle w:val="Heading2"/>
        <w:rPr/>
      </w:pPr>
      <w:r>
        <w:rPr/>
        <w:t>一、任务</w:t>
      </w:r>
    </w:p>
    <w:p>
      <w:pPr>
        <w:pStyle w:val="Normal"/>
        <w:spacing w:lineRule="exact" w:line="440"/>
        <w:ind w:firstLine="480"/>
        <w:rPr/>
      </w:pPr>
      <w:r>
        <w:rPr/>
        <w:t>设计一个自动行驶小车，能在指定路径上自动行驶，行驶场地示意如图</w:t>
      </w:r>
      <w:r>
        <w:rPr/>
        <w:t>1</w:t>
      </w:r>
      <w:r>
        <w:rPr/>
        <w:t>所示。场地面积不小于</w:t>
      </w:r>
      <w:r>
        <w:rPr/>
        <w:t>220cm×120cm</w:t>
      </w:r>
      <w:r>
        <w:rPr/>
        <w:t>。图中两个对称半圆弧线的半径为</w:t>
      </w:r>
      <w:r>
        <w:rPr/>
        <w:t>40cm</w:t>
      </w:r>
      <w:r>
        <w:rPr/>
        <w:t>，弧线为黑色，线宽</w:t>
      </w:r>
      <w:r>
        <w:rPr/>
        <w:t>2cm</w:t>
      </w:r>
      <w:r>
        <w:rPr/>
        <w:t>左右，弧线的四个顶点分别定义为</w:t>
      </w:r>
      <w:r>
        <w:rPr/>
        <w:t>A</w:t>
      </w:r>
      <w:r>
        <w:rPr/>
        <w:t>、</w:t>
      </w:r>
      <w:r>
        <w:rPr/>
        <w:t>B</w:t>
      </w:r>
      <w:r>
        <w:rPr/>
        <w:t>、</w:t>
      </w:r>
      <w:r>
        <w:rPr/>
        <w:t>C</w:t>
      </w:r>
      <w:r>
        <w:rPr/>
        <w:t>和</w:t>
      </w:r>
      <w:r>
        <w:rPr/>
        <w:t>D</w:t>
      </w:r>
      <w:r>
        <w:rPr/>
        <w:t>点。建议场地采用白色哑光喷绘布制作。场地除两个半圆弧外，不得添加任何标记。</w:t>
      </w:r>
    </w:p>
    <w:p>
      <w:pPr>
        <w:pStyle w:val="Normal"/>
        <w:keepNext w:val="true"/>
        <w:ind w:hanging="0"/>
        <w:rPr/>
      </w:pPr>
      <w:r>
        <w:rPr/>
        <w:drawing>
          <wp:inline distT="0" distB="0" distL="0" distR="0">
            <wp:extent cx="5274310" cy="2995295"/>
            <wp:effectExtent l="0" t="0" r="0" b="0"/>
            <wp:docPr id="1" name="图片 2" descr="图示&#10;&#10;AI 生成的内容可能不正确。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图示&#10;&#10;AI 生成的内容可能不正确。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ind w:hanging="0"/>
        <w:jc w:val="center"/>
        <w:rPr>
          <w:rFonts w:ascii="等线" w:hAnsi="等线" w:eastAsia="宋体"/>
          <w:sz w:val="21"/>
          <w:szCs w:val="21"/>
        </w:rPr>
      </w:pPr>
      <w:r>
        <w:rPr>
          <w:rFonts w:ascii="等线" w:hAnsi="等线" w:eastAsia="宋体"/>
          <w:sz w:val="21"/>
          <w:szCs w:val="21"/>
        </w:rPr>
        <w:t>图</w:t>
      </w:r>
      <w:r>
        <w:rPr>
          <w:rFonts w:ascii="等线" w:hAnsi="等线" w:eastAsia="宋体"/>
          <w:sz w:val="21"/>
          <w:szCs w:val="21"/>
        </w:rPr>
        <w:fldChar w:fldCharType="begin"/>
      </w:r>
      <w:r>
        <w:rPr>
          <w:sz w:val="21"/>
          <w:szCs w:val="21"/>
          <w:rFonts w:ascii="等线" w:hAnsi="等线" w:eastAsia="宋体"/>
        </w:rPr>
        <w:instrText xml:space="preserve"> SEQ 图 \* ARABIC </w:instrText>
      </w:r>
      <w:r>
        <w:rPr>
          <w:sz w:val="21"/>
          <w:szCs w:val="21"/>
          <w:rFonts w:ascii="等线" w:hAnsi="等线" w:eastAsia="宋体"/>
        </w:rPr>
        <w:fldChar w:fldCharType="separate"/>
      </w:r>
      <w:r>
        <w:rPr>
          <w:sz w:val="21"/>
          <w:szCs w:val="21"/>
          <w:rFonts w:ascii="等线" w:hAnsi="等线" w:eastAsia="宋体"/>
        </w:rPr>
        <w:t>1</w:t>
      </w:r>
      <w:r>
        <w:rPr>
          <w:sz w:val="21"/>
          <w:szCs w:val="21"/>
          <w:rFonts w:ascii="等线" w:hAnsi="等线" w:eastAsia="宋体"/>
        </w:rPr>
        <w:fldChar w:fldCharType="end"/>
      </w:r>
      <w:r>
        <w:rPr>
          <w:rFonts w:ascii="等线" w:hAnsi="等线" w:eastAsia="宋体"/>
          <w:sz w:val="21"/>
          <w:szCs w:val="21"/>
        </w:rPr>
        <w:t>小车行驶场地示意图</w:t>
      </w:r>
    </w:p>
    <w:p>
      <w:pPr>
        <w:pStyle w:val="Heading2"/>
        <w:rPr/>
      </w:pPr>
      <w:r>
        <w:rPr/>
        <w:t>二、要求</w:t>
      </w:r>
    </w:p>
    <w:p>
      <w:pPr>
        <w:pStyle w:val="Normal"/>
        <w:spacing w:lineRule="exact" w:line="440"/>
        <w:ind w:firstLine="480"/>
        <w:rPr/>
      </w:pPr>
      <w:r>
        <w:rPr/>
        <w:t>(1)</w:t>
      </w:r>
      <w:r>
        <w:rPr/>
        <w:t>将小车放在位置</w:t>
      </w:r>
      <w:r>
        <w:rPr/>
        <w:t>A</w:t>
      </w:r>
      <w:r>
        <w:rPr/>
        <w:t>点，小车能自动行驶到</w:t>
      </w:r>
      <w:r>
        <w:rPr/>
        <w:t>B</w:t>
      </w:r>
      <w:r>
        <w:rPr/>
        <w:t>点停车，停车时有声光提示。用时不大于</w:t>
      </w:r>
      <w:r>
        <w:rPr/>
        <w:t>18</w:t>
      </w:r>
      <w:r>
        <w:rPr/>
        <w:t>秒。</w:t>
      </w:r>
    </w:p>
    <w:p>
      <w:pPr>
        <w:pStyle w:val="Normal"/>
        <w:spacing w:lineRule="exact" w:line="440"/>
        <w:ind w:firstLine="480"/>
        <w:rPr/>
      </w:pPr>
      <w:r>
        <w:rPr/>
        <w:t>(2)</w:t>
      </w:r>
      <w:r>
        <w:rPr/>
        <w:t>将小车放在位置</w:t>
      </w:r>
      <w:r>
        <w:rPr/>
        <w:t>A</w:t>
      </w:r>
      <w:r>
        <w:rPr/>
        <w:t>点，小车能自动行驶到</w:t>
      </w:r>
      <w:r>
        <w:rPr/>
        <w:t>B</w:t>
      </w:r>
      <w:r>
        <w:rPr/>
        <w:t>点后，沿半弧线行驶到</w:t>
      </w:r>
      <w:r>
        <w:rPr/>
        <w:t>C</w:t>
      </w:r>
      <w:r>
        <w:rPr/>
        <w:t>点，再由</w:t>
      </w:r>
      <w:r>
        <w:rPr/>
        <w:t>C</w:t>
      </w:r>
      <w:r>
        <w:rPr/>
        <w:t>点自动行驶到</w:t>
      </w:r>
      <w:r>
        <w:rPr/>
        <w:t>D</w:t>
      </w:r>
      <w:r>
        <w:rPr/>
        <w:t>点，最后沿半弧线行驶到</w:t>
      </w:r>
      <w:r>
        <w:rPr/>
        <w:t>A</w:t>
      </w:r>
      <w:r>
        <w:rPr/>
        <w:t>点停车，每经过一个点，声光提示一次。完成一圈用时不大于</w:t>
      </w:r>
      <w:r>
        <w:rPr/>
        <w:t>35</w:t>
      </w:r>
      <w:r>
        <w:rPr/>
        <w:t>秒。</w:t>
      </w:r>
    </w:p>
    <w:p>
      <w:pPr>
        <w:pStyle w:val="Normal"/>
        <w:spacing w:lineRule="exact" w:line="440"/>
        <w:ind w:firstLine="480"/>
        <w:rPr/>
      </w:pPr>
      <w:r>
        <w:rPr/>
        <w:t>(3)</w:t>
      </w:r>
      <w:r>
        <w:rPr/>
        <w:t>将小车放在位置</w:t>
      </w:r>
      <w:r>
        <w:rPr/>
        <w:t>A</w:t>
      </w:r>
      <w:r>
        <w:rPr/>
        <w:t>点，小车能自动行驶到</w:t>
      </w:r>
      <w:r>
        <w:rPr/>
        <w:t>C</w:t>
      </w:r>
      <w:r>
        <w:rPr/>
        <w:t>点后，沿半弧线行驶到</w:t>
      </w:r>
      <w:r>
        <w:rPr/>
        <w:t>B</w:t>
      </w:r>
      <w:r>
        <w:rPr/>
        <w:t>点，再由</w:t>
      </w:r>
      <w:r>
        <w:rPr/>
        <w:t>B</w:t>
      </w:r>
      <w:r>
        <w:rPr/>
        <w:t>点自动行驶到</w:t>
      </w:r>
      <w:r>
        <w:rPr/>
        <w:t>D</w:t>
      </w:r>
      <w:r>
        <w:rPr/>
        <w:t>点，最后沿半弧线行驶到</w:t>
      </w:r>
      <w:r>
        <w:rPr/>
        <w:t>A</w:t>
      </w:r>
      <w:r>
        <w:rPr/>
        <w:t>点停车。每经过一个点，声光提示一次。完成一圈用时不大于</w:t>
      </w:r>
      <w:r>
        <w:rPr/>
        <w:t>45</w:t>
      </w:r>
      <w:r>
        <w:rPr/>
        <w:t>秒。</w:t>
      </w:r>
    </w:p>
    <w:p>
      <w:pPr>
        <w:pStyle w:val="Normal"/>
        <w:spacing w:lineRule="exact" w:line="440"/>
        <w:ind w:firstLine="480"/>
        <w:rPr/>
      </w:pPr>
      <w:r>
        <w:rPr/>
        <w:t>(4)</w:t>
      </w:r>
      <w:r>
        <w:rPr/>
        <w:t>按要求</w:t>
      </w:r>
      <w:r>
        <w:rPr/>
        <w:t>3</w:t>
      </w:r>
      <w:r>
        <w:rPr/>
        <w:t>的路径自动行驶</w:t>
      </w:r>
      <w:r>
        <w:rPr/>
        <w:t>3</w:t>
      </w:r>
      <w:r>
        <w:rPr/>
        <w:t>圈停车，用时越少越好</w:t>
      </w:r>
    </w:p>
    <w:p>
      <w:pPr>
        <w:pStyle w:val="Normal"/>
        <w:spacing w:lineRule="exact" w:line="440"/>
        <w:ind w:firstLine="480"/>
        <w:rPr/>
      </w:pPr>
      <w:r>
        <w:rPr/>
        <w:t>(5)</w:t>
      </w:r>
      <w:r>
        <w:rPr/>
        <w:t>设计报告。</w:t>
      </w:r>
    </w:p>
    <w:p>
      <w:pPr>
        <w:pStyle w:val="Heading2"/>
        <w:rPr/>
      </w:pPr>
      <w:r>
        <w:rPr/>
        <w:t>三、说明</w:t>
      </w:r>
    </w:p>
    <w:p>
      <w:pPr>
        <w:pStyle w:val="Normal"/>
        <w:spacing w:lineRule="exact" w:line="440"/>
        <w:ind w:firstLine="480"/>
        <w:rPr/>
      </w:pPr>
      <w:r>
        <w:rPr/>
        <w:t>(1)</w:t>
      </w:r>
      <w:r>
        <w:rPr/>
        <w:t>作品中的小车尺寸不大于</w:t>
      </w:r>
      <w:r>
        <w:rPr/>
        <w:t>25cm(</w:t>
      </w:r>
      <w:r>
        <w:rPr/>
        <w:t>长</w:t>
      </w:r>
      <w:r>
        <w:rPr/>
        <w:t>)×15cm(</w:t>
      </w:r>
      <w:r>
        <w:rPr/>
        <w:t>宽</w:t>
      </w:r>
      <w:r>
        <w:rPr/>
        <w:t>)×15cm(</w:t>
      </w:r>
      <w:r>
        <w:rPr/>
        <w:t>高</w:t>
      </w:r>
      <w:r>
        <w:rPr/>
        <w:t>)</w:t>
      </w:r>
      <w:r>
        <w:rPr/>
        <w:t>。小车尺寸包括小车以及小车所安装的传感器等总体的轮廓尺寸大小。小车采用轮式小车，不得采用履带和麦氏轮。小车行驶时只能前进，不得后退。小车上不得安装摄像头。不符合规定的小车不进行测试。</w:t>
      </w:r>
    </w:p>
    <w:p>
      <w:pPr>
        <w:pStyle w:val="Normal"/>
        <w:spacing w:lineRule="exact" w:line="440"/>
        <w:ind w:firstLine="480"/>
        <w:rPr/>
      </w:pPr>
      <w:r>
        <w:rPr/>
        <w:t>(2)</w:t>
      </w:r>
      <w:r>
        <w:rPr/>
        <w:t>行驶场地水平铺设于平整的地面，除题目要求的圆弧之外，行驶场地上不得有其他任何指示标记</w:t>
      </w:r>
      <w:r>
        <w:rPr/>
        <w:t>(</w:t>
      </w:r>
      <w:r>
        <w:rPr/>
        <w:t>包括</w:t>
      </w:r>
      <w:r>
        <w:rPr/>
        <w:t>ABCD</w:t>
      </w:r>
      <w:r>
        <w:rPr/>
        <w:t>四个字符</w:t>
      </w:r>
      <w:r>
        <w:rPr/>
        <w:t>)</w:t>
      </w:r>
      <w:r>
        <w:rPr/>
        <w:t>。不得对测试场地外环境有任何要求。为了适应测试场地，允许测试前小车试跑。</w:t>
      </w:r>
    </w:p>
    <w:p>
      <w:pPr>
        <w:pStyle w:val="Normal"/>
        <w:spacing w:lineRule="exact" w:line="440"/>
        <w:ind w:firstLine="480"/>
        <w:rPr/>
      </w:pPr>
      <w:r>
        <w:rPr/>
        <w:t>(3)</w:t>
      </w:r>
      <w:r>
        <w:rPr/>
        <w:t>小车不得借助周围环境物品导航。场地内外不得架设任何其他装置设备。正式测试时，小车行驶过程中不得人为干涉、遥控小车运动。测试时，应允许相关人员在场地外围走动。</w:t>
      </w:r>
    </w:p>
    <w:p>
      <w:pPr>
        <w:pStyle w:val="Normal"/>
        <w:spacing w:lineRule="exact" w:line="440"/>
        <w:ind w:firstLine="480"/>
        <w:rPr/>
      </w:pPr>
      <w:r>
        <w:rPr/>
        <w:t>(4)</w:t>
      </w:r>
      <w:r>
        <w:rPr/>
        <w:t>本题目所有小车在起始点的摆放方向自定。要求的小车停车动作及行驶经过</w:t>
      </w:r>
      <w:r>
        <w:rPr/>
        <w:t>A</w:t>
      </w:r>
      <w:r>
        <w:rPr/>
        <w:t>、</w:t>
      </w:r>
      <w:r>
        <w:rPr/>
        <w:t>B</w:t>
      </w:r>
      <w:r>
        <w:rPr/>
        <w:t>、</w:t>
      </w:r>
      <w:r>
        <w:rPr/>
        <w:t>C</w:t>
      </w:r>
      <w:r>
        <w:rPr/>
        <w:t>、</w:t>
      </w:r>
      <w:r>
        <w:rPr/>
        <w:t>D</w:t>
      </w:r>
      <w:r>
        <w:rPr/>
        <w:t>点时，必须有声光提示。启动、停车及行驶经过</w:t>
      </w:r>
      <w:r>
        <w:rPr/>
        <w:t>A</w:t>
      </w:r>
      <w:r>
        <w:rPr/>
        <w:t>、</w:t>
      </w:r>
      <w:r>
        <w:rPr/>
        <w:t>B</w:t>
      </w:r>
      <w:r>
        <w:rPr/>
        <w:t>、</w:t>
      </w:r>
      <w:r>
        <w:rPr/>
        <w:t>C</w:t>
      </w:r>
      <w:r>
        <w:rPr/>
        <w:t>、</w:t>
      </w:r>
      <w:r>
        <w:rPr/>
        <w:t>D</w:t>
      </w:r>
      <w:r>
        <w:rPr/>
        <w:t>点时，小车的地面投影必须覆盖圆弧顶点；小车所有在圆弧上的行驶过程，其投影必须在弧线上，投影脱离圆弧即认为此次测试失败，此项目不得分。</w:t>
      </w:r>
    </w:p>
    <w:p>
      <w:pPr>
        <w:pStyle w:val="Normal"/>
        <w:spacing w:lineRule="exact" w:line="440"/>
        <w:ind w:firstLine="480"/>
        <w:rPr/>
      </w:pPr>
      <w:r>
        <w:rPr/>
        <w:t>(5)</w:t>
      </w:r>
      <w:r>
        <w:rPr/>
        <w:t>所有测试项目如果完成时间超过规定时间一倍以上时，此项目不得分。</w:t>
      </w:r>
    </w:p>
    <w:p>
      <w:pPr>
        <w:pStyle w:val="Normal"/>
        <w:spacing w:lineRule="exact" w:line="440"/>
        <w:ind w:firstLine="480"/>
        <w:rPr/>
      </w:pPr>
      <w:r>
        <w:rPr/>
        <w:t>(6)</w:t>
      </w:r>
      <w:r>
        <w:rPr/>
        <w:t>小车采用车载电池供电。进入测试环节，中途不得更换电池。</w:t>
      </w:r>
    </w:p>
    <w:p>
      <w:pPr>
        <w:pStyle w:val="Heading2"/>
        <w:rPr/>
      </w:pPr>
      <w:r>
        <w:rPr/>
        <w:t>四、评分标准</w:t>
      </w:r>
    </w:p>
    <w:tbl>
      <w:tblPr>
        <w:tblW w:w="829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95"/>
        <w:gridCol w:w="2453"/>
        <w:gridCol w:w="3359"/>
        <w:gridCol w:w="789"/>
      </w:tblGrid>
      <w:tr>
        <w:trPr/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</w:r>
          </w:p>
        </w:tc>
        <w:tc>
          <w:tcPr>
            <w:tcW w:w="24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项目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主要内容</w:t>
            </w:r>
          </w:p>
        </w:tc>
        <w:tc>
          <w:tcPr>
            <w:tcW w:w="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满分</w:t>
            </w:r>
          </w:p>
        </w:tc>
      </w:tr>
      <w:tr>
        <w:trPr/>
        <w:tc>
          <w:tcPr>
            <w:tcW w:w="16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设计报告</w:t>
            </w:r>
          </w:p>
        </w:tc>
        <w:tc>
          <w:tcPr>
            <w:tcW w:w="24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系统方案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小车自动行驶的设计方案</w:t>
            </w:r>
          </w:p>
        </w:tc>
        <w:tc>
          <w:tcPr>
            <w:tcW w:w="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</w:tr>
      <w:tr>
        <w:trPr/>
        <w:tc>
          <w:tcPr>
            <w:tcW w:w="16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理论分析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小车自动行驶误差分析、小车轨迹控制</w:t>
            </w:r>
          </w:p>
        </w:tc>
        <w:tc>
          <w:tcPr>
            <w:tcW w:w="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</w:tr>
      <w:tr>
        <w:trPr/>
        <w:tc>
          <w:tcPr>
            <w:tcW w:w="16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电路与程序设计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控制电路及程序流程</w:t>
            </w:r>
          </w:p>
        </w:tc>
        <w:tc>
          <w:tcPr>
            <w:tcW w:w="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</w:tr>
      <w:tr>
        <w:trPr/>
        <w:tc>
          <w:tcPr>
            <w:tcW w:w="16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测试方案与测试结果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测试数据完成性</w:t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测试结果分析</w:t>
            </w:r>
          </w:p>
        </w:tc>
        <w:tc>
          <w:tcPr>
            <w:tcW w:w="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4</w:t>
            </w:r>
          </w:p>
        </w:tc>
      </w:tr>
      <w:tr>
        <w:trPr/>
        <w:tc>
          <w:tcPr>
            <w:tcW w:w="16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设计报告结构及规范性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摘要、设计报告正文的结构、图标的规范性</w:t>
            </w:r>
          </w:p>
        </w:tc>
        <w:tc>
          <w:tcPr>
            <w:tcW w:w="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</w:tr>
      <w:tr>
        <w:trPr/>
        <w:tc>
          <w:tcPr>
            <w:tcW w:w="16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合计</w:t>
            </w:r>
          </w:p>
        </w:tc>
        <w:tc>
          <w:tcPr>
            <w:tcW w:w="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20</w:t>
            </w:r>
          </w:p>
        </w:tc>
      </w:tr>
      <w:tr>
        <w:trPr/>
        <w:tc>
          <w:tcPr>
            <w:tcW w:w="16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要求</w:t>
            </w:r>
          </w:p>
        </w:tc>
        <w:tc>
          <w:tcPr>
            <w:tcW w:w="24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完成第</w:t>
            </w:r>
            <w:r>
              <w:rPr>
                <w:kern w:val="2"/>
                <w:sz w:val="21"/>
                <w:szCs w:val="21"/>
                <w:lang w:val="en-US" w:eastAsia="zh-CN" w:bidi="ar-SA"/>
              </w:rPr>
              <w:t>(1)</w:t>
            </w:r>
            <w:r>
              <w:rPr>
                <w:kern w:val="2"/>
                <w:sz w:val="21"/>
                <w:szCs w:val="21"/>
                <w:lang w:val="en-US" w:eastAsia="zh-CN" w:bidi="ar-SA"/>
              </w:rPr>
              <w:t>项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</w:r>
          </w:p>
        </w:tc>
        <w:tc>
          <w:tcPr>
            <w:tcW w:w="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20</w:t>
            </w:r>
          </w:p>
        </w:tc>
      </w:tr>
      <w:tr>
        <w:trPr/>
        <w:tc>
          <w:tcPr>
            <w:tcW w:w="16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完成第</w:t>
            </w:r>
            <w:r>
              <w:rPr>
                <w:kern w:val="2"/>
                <w:sz w:val="21"/>
                <w:szCs w:val="21"/>
                <w:lang w:val="en-US" w:eastAsia="zh-CN" w:bidi="ar-SA"/>
              </w:rPr>
              <w:t>(2)</w:t>
            </w:r>
            <w:r>
              <w:rPr>
                <w:kern w:val="2"/>
                <w:sz w:val="21"/>
                <w:szCs w:val="21"/>
                <w:lang w:val="en-US" w:eastAsia="zh-CN" w:bidi="ar-SA"/>
              </w:rPr>
              <w:t>项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</w:r>
          </w:p>
        </w:tc>
        <w:tc>
          <w:tcPr>
            <w:tcW w:w="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20</w:t>
            </w:r>
          </w:p>
        </w:tc>
      </w:tr>
      <w:tr>
        <w:trPr/>
        <w:tc>
          <w:tcPr>
            <w:tcW w:w="16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完成第</w:t>
            </w:r>
            <w:r>
              <w:rPr>
                <w:kern w:val="2"/>
                <w:sz w:val="21"/>
                <w:szCs w:val="21"/>
                <w:lang w:val="en-US" w:eastAsia="zh-CN" w:bidi="ar-SA"/>
              </w:rPr>
              <w:t>(3)</w:t>
            </w:r>
            <w:r>
              <w:rPr>
                <w:kern w:val="2"/>
                <w:sz w:val="21"/>
                <w:szCs w:val="21"/>
                <w:lang w:val="en-US" w:eastAsia="zh-CN" w:bidi="ar-SA"/>
              </w:rPr>
              <w:t>项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</w:r>
          </w:p>
        </w:tc>
        <w:tc>
          <w:tcPr>
            <w:tcW w:w="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30</w:t>
            </w:r>
          </w:p>
        </w:tc>
      </w:tr>
      <w:tr>
        <w:trPr/>
        <w:tc>
          <w:tcPr>
            <w:tcW w:w="16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完成第</w:t>
            </w:r>
            <w:r>
              <w:rPr>
                <w:kern w:val="2"/>
                <w:sz w:val="21"/>
                <w:szCs w:val="21"/>
                <w:lang w:val="en-US" w:eastAsia="zh-CN" w:bidi="ar-SA"/>
              </w:rPr>
              <w:t>(4)</w:t>
            </w:r>
            <w:r>
              <w:rPr>
                <w:kern w:val="2"/>
                <w:sz w:val="21"/>
                <w:szCs w:val="21"/>
                <w:lang w:val="en-US" w:eastAsia="zh-CN" w:bidi="ar-SA"/>
              </w:rPr>
              <w:t>项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</w:r>
          </w:p>
        </w:tc>
        <w:tc>
          <w:tcPr>
            <w:tcW w:w="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30</w:t>
            </w:r>
          </w:p>
        </w:tc>
      </w:tr>
      <w:tr>
        <w:trPr/>
        <w:tc>
          <w:tcPr>
            <w:tcW w:w="16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合计</w:t>
            </w:r>
          </w:p>
        </w:tc>
        <w:tc>
          <w:tcPr>
            <w:tcW w:w="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100</w:t>
            </w:r>
          </w:p>
        </w:tc>
      </w:tr>
      <w:tr>
        <w:trPr/>
        <w:tc>
          <w:tcPr>
            <w:tcW w:w="750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总分</w:t>
            </w:r>
          </w:p>
        </w:tc>
        <w:tc>
          <w:tcPr>
            <w:tcW w:w="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hanging="0"/>
              <w:jc w:val="center"/>
              <w:rPr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  <w:lang w:val="en-US" w:eastAsia="zh-CN" w:bidi="ar-SA"/>
              </w:rPr>
              <w:t>120</w:t>
            </w:r>
          </w:p>
        </w:tc>
      </w:tr>
    </w:tbl>
    <w:p>
      <w:pPr>
        <w:pStyle w:val="Heading2"/>
        <w:rPr/>
      </w:pPr>
      <w:r>
        <w:rPr/>
        <w:t>五</w:t>
      </w:r>
      <w:r>
        <w:rPr/>
        <w:t>.</w:t>
      </w:r>
      <w:r>
        <w:rPr/>
        <w:t>评分细则</w:t>
      </w:r>
    </w:p>
    <w:p>
      <w:pPr>
        <w:pStyle w:val="Normal"/>
        <w:spacing w:lineRule="exact" w:line="440"/>
        <w:ind w:firstLine="480"/>
        <w:rPr/>
      </w:pPr>
      <w:r>
        <w:rPr/>
        <w:t>第一项：能自动从</w:t>
      </w:r>
      <w:r>
        <w:rPr/>
        <w:t>A</w:t>
      </w:r>
      <w:r>
        <w:rPr/>
        <w:t>到</w:t>
      </w:r>
      <w:r>
        <w:rPr/>
        <w:t>B</w:t>
      </w:r>
      <w:r>
        <w:rPr/>
        <w:t>停车，有声光提示，用时小于</w:t>
      </w:r>
      <w:r>
        <w:rPr/>
        <w:t>18</w:t>
      </w:r>
      <w:r>
        <w:rPr/>
        <w:t>秒（</w:t>
      </w:r>
      <w:r>
        <w:rPr/>
        <w:t>20</w:t>
      </w:r>
      <w:r>
        <w:rPr/>
        <w:t>分）；完成行驶但用时</w:t>
      </w:r>
      <w:r>
        <w:rPr/>
        <w:t>19-25</w:t>
      </w:r>
      <w:r>
        <w:rPr/>
        <w:t>秒</w:t>
      </w:r>
      <w:r>
        <w:rPr/>
        <w:t>/</w:t>
      </w:r>
      <w:r>
        <w:rPr/>
        <w:t>声光提示缺失其一（</w:t>
      </w:r>
      <w:r>
        <w:rPr/>
        <w:t>10</w:t>
      </w:r>
      <w:r>
        <w:rPr/>
        <w:t>分）；完成行驶（</w:t>
      </w:r>
      <w:r>
        <w:rPr/>
        <w:t>5</w:t>
      </w:r>
      <w:r>
        <w:rPr/>
        <w:t>分）；</w:t>
      </w:r>
    </w:p>
    <w:p>
      <w:pPr>
        <w:pStyle w:val="Normal"/>
        <w:spacing w:lineRule="exact" w:line="440"/>
        <w:ind w:firstLine="480"/>
        <w:rPr/>
      </w:pPr>
      <w:r>
        <w:rPr/>
        <w:t>第二项：按路径完整行驶一圈，各点声光提示正常，用时小于</w:t>
      </w:r>
      <w:r>
        <w:rPr/>
        <w:t>35</w:t>
      </w:r>
      <w:r>
        <w:rPr/>
        <w:t>秒（</w:t>
      </w:r>
      <w:r>
        <w:rPr/>
        <w:t>20</w:t>
      </w:r>
      <w:r>
        <w:rPr/>
        <w:t>分）；路径完整但用时</w:t>
      </w:r>
      <w:r>
        <w:rPr/>
        <w:t>36-45</w:t>
      </w:r>
      <w:r>
        <w:rPr/>
        <w:t>秒</w:t>
      </w:r>
      <w:r>
        <w:rPr/>
        <w:t>/</w:t>
      </w:r>
      <w:r>
        <w:rPr/>
        <w:t>缺失</w:t>
      </w:r>
      <w:r>
        <w:rPr/>
        <w:t>1</w:t>
      </w:r>
      <w:r>
        <w:rPr/>
        <w:t>次声光提示（</w:t>
      </w:r>
      <w:r>
        <w:rPr/>
        <w:t>15</w:t>
      </w:r>
      <w:r>
        <w:rPr/>
        <w:t>分）；完成行驶（</w:t>
      </w:r>
      <w:r>
        <w:rPr/>
        <w:t>5</w:t>
      </w:r>
      <w:r>
        <w:rPr/>
        <w:t>分）；</w:t>
      </w:r>
    </w:p>
    <w:p>
      <w:pPr>
        <w:pStyle w:val="Normal"/>
        <w:spacing w:lineRule="exact" w:line="440"/>
        <w:ind w:firstLine="480"/>
        <w:rPr/>
      </w:pPr>
      <w:r>
        <w:rPr/>
        <w:t>第三项：按路径完整行驶一圈，各点声光提示正常，用时小于</w:t>
      </w:r>
      <w:r>
        <w:rPr/>
        <w:t>45</w:t>
      </w:r>
      <w:r>
        <w:rPr/>
        <w:t>秒</w:t>
      </w:r>
      <w:r>
        <w:rPr/>
        <w:t>(30</w:t>
      </w:r>
      <w:r>
        <w:rPr/>
        <w:t>分</w:t>
      </w:r>
      <w:r>
        <w:rPr/>
        <w:t>)</w:t>
      </w:r>
      <w:r>
        <w:rPr/>
        <w:t>；路径完整但用时</w:t>
      </w:r>
      <w:r>
        <w:rPr/>
        <w:t>46-55</w:t>
      </w:r>
      <w:r>
        <w:rPr/>
        <w:t>秒</w:t>
      </w:r>
      <w:r>
        <w:rPr/>
        <w:t>/</w:t>
      </w:r>
      <w:r>
        <w:rPr/>
        <w:t>缺失</w:t>
      </w:r>
      <w:r>
        <w:rPr/>
        <w:t>1</w:t>
      </w:r>
      <w:r>
        <w:rPr/>
        <w:t>次声光提示（</w:t>
      </w:r>
      <w:r>
        <w:rPr/>
        <w:t>15</w:t>
      </w:r>
      <w:r>
        <w:rPr/>
        <w:t>分）；完成行驶（</w:t>
      </w:r>
      <w:r>
        <w:rPr/>
        <w:t>5</w:t>
      </w:r>
      <w:r>
        <w:rPr/>
        <w:t>分）；</w:t>
      </w:r>
    </w:p>
    <w:p>
      <w:pPr>
        <w:pStyle w:val="Normal"/>
        <w:spacing w:lineRule="exact" w:line="440"/>
        <w:ind w:firstLine="480"/>
        <w:rPr/>
      </w:pPr>
      <w:r>
        <w:rPr/>
        <w:t>第四项：连续完成</w:t>
      </w:r>
      <w:r>
        <w:rPr/>
        <w:t>3</w:t>
      </w:r>
      <w:r>
        <w:rPr/>
        <w:t>圈停车，无故障，用时越少越好（</w:t>
      </w:r>
      <w:r>
        <w:rPr/>
        <w:t>30</w:t>
      </w:r>
      <w:r>
        <w:rPr/>
        <w:t>分）；完成</w:t>
      </w:r>
      <w:r>
        <w:rPr/>
        <w:t>2</w:t>
      </w:r>
      <w:r>
        <w:rPr/>
        <w:t>圈（</w:t>
      </w:r>
      <w:r>
        <w:rPr/>
        <w:t>20</w:t>
      </w:r>
      <w:r>
        <w:rPr/>
        <w:t>分）；完成</w:t>
      </w:r>
      <w:r>
        <w:rPr/>
        <w:t>1</w:t>
      </w:r>
      <w:r>
        <w:rPr/>
        <w:t>圈（</w:t>
      </w:r>
      <w:r>
        <w:rPr/>
        <w:t>5</w:t>
      </w:r>
      <w:r>
        <w:rPr/>
        <w:t>分）</w:t>
      </w:r>
    </w:p>
    <w:p>
      <w:pPr>
        <w:sectPr>
          <w:headerReference w:type="default" r:id="rId3"/>
          <w:footerReference w:type="default" r:id="rId4"/>
          <w:type w:val="nextPage"/>
          <w:pgSz w:w="11906" w:h="16838"/>
          <w:pgMar w:left="1800" w:right="1800" w:gutter="0" w:header="851" w:top="1440" w:footer="992" w:bottom="1440"/>
          <w:pgNumType w:fmt="decimal"/>
          <w:formProt w:val="false"/>
          <w:textDirection w:val="lrTb"/>
          <w:docGrid w:type="lines" w:linePitch="312" w:charSpace="0"/>
        </w:sectPr>
        <w:pStyle w:val="Normal"/>
        <w:spacing w:lineRule="exact" w:line="440"/>
        <w:ind w:firstLine="480"/>
        <w:rPr/>
      </w:pPr>
      <w:r>
        <w:rPr/>
        <w:t>补充：声光提示缺失</w:t>
      </w:r>
      <w:r>
        <w:rPr/>
        <w:t>2</w:t>
      </w:r>
      <w:r>
        <w:rPr/>
        <w:t>次及以上，对应任务扣一半分；</w:t>
      </w:r>
    </w:p>
    <w:p>
      <w:pPr>
        <w:pStyle w:val="Heading1"/>
        <w:spacing w:before="480" w:after="80"/>
        <w:rPr/>
      </w:pPr>
      <w:r>
        <w:rPr/>
      </w:r>
    </w:p>
    <w:sectPr>
      <w:headerReference w:type="default" r:id="rId5"/>
      <w:headerReference w:type="first" r:id="rId6"/>
      <w:footerReference w:type="default" r:id="rId7"/>
      <w:footerReference w:type="first" r:id="rId8"/>
      <w:type w:val="nextPage"/>
      <w:pgSz w:w="11906" w:h="16838"/>
      <w:pgMar w:left="1800" w:right="1800" w:gutter="0" w:header="851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等线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等线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="3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="36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Noto Sans CJK SC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before="0" w:after="0"/>
      <w:ind w:firstLine="200"/>
      <w:jc w:val="both"/>
    </w:pPr>
    <w:rPr>
      <w:rFonts w:ascii="Times New Roman" w:hAnsi="Times New Roman" w:eastAsia="宋体"/>
      <w:color w:themeColor="dark1" w:val="000000"/>
      <w:kern w:val="2"/>
      <w:sz w:val="24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before="480" w:after="80"/>
      <w:ind w:hanging="0"/>
      <w:jc w:val="center"/>
      <w:outlineLvl w:val="0"/>
    </w:pPr>
    <w:rPr>
      <w:rFonts w:ascii="等线 Light" w:hAnsi="等线 Light" w:eastAsia="黑体" w:cs="Noto Sans CJK SC"/>
      <w:sz w:val="44"/>
      <w:szCs w:val="48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160" w:after="160"/>
      <w:ind w:hanging="0"/>
      <w:outlineLvl w:val="1"/>
    </w:pPr>
    <w:rPr>
      <w:rFonts w:cs="Noto Sans CJK SC"/>
      <w:b/>
      <w:color w:themeColor="dark1" w:val="auto"/>
      <w:szCs w:val="40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0"/>
        <w:numId w:val="0"/>
      </w:numPr>
      <w:spacing w:before="160" w:after="80"/>
      <w:ind w:firstLine="200"/>
      <w:outlineLvl w:val="2"/>
    </w:pPr>
    <w:rPr>
      <w:rFonts w:ascii="等线 Light" w:hAnsi="等线 Light" w:eastAsia="等线 Light" w:cs="Noto Sans CJK SC"/>
      <w:color w:themeColor="accent1" w:themeShade="bf" w:val="2F5496"/>
      <w:sz w:val="32"/>
      <w:szCs w:val="32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numPr>
        <w:ilvl w:val="0"/>
        <w:numId w:val="0"/>
      </w:numPr>
      <w:spacing w:before="80" w:after="40"/>
      <w:ind w:firstLine="200"/>
      <w:outlineLvl w:val="3"/>
    </w:pPr>
    <w:rPr>
      <w:rFonts w:cs="Noto Sans CJK SC"/>
      <w:color w:themeColor="accent1" w:themeShade="bf" w:val="2F5496"/>
      <w:sz w:val="28"/>
      <w:szCs w:val="28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numPr>
        <w:ilvl w:val="0"/>
        <w:numId w:val="0"/>
      </w:numPr>
      <w:spacing w:before="80" w:after="40"/>
      <w:ind w:firstLine="200"/>
      <w:outlineLvl w:val="4"/>
    </w:pPr>
    <w:rPr>
      <w:rFonts w:cs="Noto Sans CJK SC"/>
      <w:color w:themeColor="accent1" w:themeShade="bf" w:val="2F5496"/>
      <w:szCs w:val="24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numPr>
        <w:ilvl w:val="0"/>
        <w:numId w:val="0"/>
      </w:numPr>
      <w:spacing w:before="40" w:after="0"/>
      <w:ind w:firstLine="200"/>
      <w:outlineLvl w:val="5"/>
    </w:pPr>
    <w:rPr>
      <w:rFonts w:cs="Noto Sans CJK SC"/>
      <w:b/>
      <w:bCs/>
      <w:color w:themeColor="accent1" w:themeShade="bf" w:val="2F5496"/>
    </w:rPr>
  </w:style>
  <w:style w:type="paragraph" w:styleId="Heading7">
    <w:name w:val="Heading 7"/>
    <w:basedOn w:val="Normal"/>
    <w:next w:val="Normal"/>
    <w:link w:val="7"/>
    <w:qFormat/>
    <w:pPr>
      <w:keepNext w:val="true"/>
      <w:keepLines/>
      <w:numPr>
        <w:ilvl w:val="0"/>
        <w:numId w:val="0"/>
      </w:numPr>
      <w:spacing w:before="40" w:after="0"/>
      <w:ind w:firstLine="200"/>
      <w:outlineLvl w:val="6"/>
    </w:pPr>
    <w:rPr>
      <w:rFonts w:cs="Noto Sans CJK SC"/>
      <w:b/>
      <w:bCs/>
      <w:color w:themeColor="dark1" w:themeTint="a6" w:val="595959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ind w:firstLine="200"/>
      <w:outlineLvl w:val="7"/>
    </w:pPr>
    <w:rPr>
      <w:rFonts w:cs="Noto Sans CJK SC"/>
      <w:color w:themeColor="dark1" w:themeTint="a6" w:val="595959"/>
    </w:rPr>
  </w:style>
  <w:style w:type="paragraph" w:styleId="Heading9">
    <w:name w:val="Heading 9"/>
    <w:basedOn w:val="Normal"/>
    <w:next w:val="Normal"/>
    <w:link w:val="9"/>
    <w:qFormat/>
    <w:pPr>
      <w:keepNext w:val="true"/>
      <w:keepLines/>
      <w:numPr>
        <w:ilvl w:val="0"/>
        <w:numId w:val="0"/>
      </w:numPr>
      <w:ind w:firstLine="200"/>
      <w:outlineLvl w:val="8"/>
    </w:pPr>
    <w:rPr>
      <w:rFonts w:eastAsia="等线 Light" w:cs="Noto Sans CJK SC"/>
      <w:color w:themeColor="dark1" w:themeTint="a6" w:val="595959"/>
    </w:rPr>
  </w:style>
  <w:style w:type="character" w:styleId="DefaultParagraphFont">
    <w:name w:val="Default Paragraph Font"/>
    <w:qFormat/>
    <w:rPr/>
  </w:style>
  <w:style w:type="character" w:styleId="1">
    <w:name w:val="标题 1 字符"/>
    <w:basedOn w:val="DefaultParagraphFont"/>
    <w:qFormat/>
    <w:rPr>
      <w:rFonts w:ascii="等线 Light" w:hAnsi="等线 Light" w:eastAsia="黑体" w:cs="Noto Sans CJK SC"/>
      <w:color w:themeColor="dark1" w:val="000000"/>
      <w:sz w:val="44"/>
      <w:szCs w:val="48"/>
    </w:rPr>
  </w:style>
  <w:style w:type="character" w:styleId="2">
    <w:name w:val="标题 2 字符"/>
    <w:basedOn w:val="DefaultParagraphFont"/>
    <w:qFormat/>
    <w:rPr>
      <w:rFonts w:ascii="Times New Roman" w:hAnsi="Times New Roman" w:eastAsia="宋体" w:cs="Noto Sans CJK SC"/>
      <w:b/>
      <w:sz w:val="24"/>
      <w:szCs w:val="40"/>
    </w:rPr>
  </w:style>
  <w:style w:type="character" w:styleId="3">
    <w:name w:val="标题 3 字符"/>
    <w:basedOn w:val="DefaultParagraphFont"/>
    <w:qFormat/>
    <w:rPr>
      <w:rFonts w:ascii="等线 Light" w:hAnsi="等线 Light" w:eastAsia="等线 Light" w:cs="Noto Sans CJK SC"/>
      <w:color w:themeColor="accent1" w:themeShade="bf" w:val="2F5496"/>
      <w:sz w:val="32"/>
      <w:szCs w:val="32"/>
    </w:rPr>
  </w:style>
  <w:style w:type="character" w:styleId="4">
    <w:name w:val="标题 4 字符"/>
    <w:basedOn w:val="DefaultParagraphFont"/>
    <w:qFormat/>
    <w:rPr>
      <w:rFonts w:cs="Noto Sans CJK SC"/>
      <w:color w:themeColor="accent1" w:themeShade="bf" w:val="2F5496"/>
      <w:sz w:val="28"/>
      <w:szCs w:val="28"/>
    </w:rPr>
  </w:style>
  <w:style w:type="character" w:styleId="5">
    <w:name w:val="标题 5 字符"/>
    <w:basedOn w:val="DefaultParagraphFont"/>
    <w:qFormat/>
    <w:rPr>
      <w:rFonts w:cs="Noto Sans CJK SC"/>
      <w:color w:themeColor="accent1" w:themeShade="bf" w:val="2F5496"/>
      <w:sz w:val="24"/>
      <w:szCs w:val="24"/>
    </w:rPr>
  </w:style>
  <w:style w:type="character" w:styleId="6">
    <w:name w:val="标题 6 字符"/>
    <w:basedOn w:val="DefaultParagraphFont"/>
    <w:qFormat/>
    <w:rPr>
      <w:rFonts w:cs="Noto Sans CJK SC"/>
      <w:b/>
      <w:bCs/>
      <w:color w:themeColor="accent1" w:themeShade="bf" w:val="2F5496"/>
    </w:rPr>
  </w:style>
  <w:style w:type="character" w:styleId="7">
    <w:name w:val="标题 7 字符"/>
    <w:basedOn w:val="DefaultParagraphFont"/>
    <w:qFormat/>
    <w:rPr>
      <w:rFonts w:cs="Noto Sans CJK SC"/>
      <w:b/>
      <w:bCs/>
      <w:color w:themeColor="dark1" w:themeTint="a6" w:val="595959"/>
    </w:rPr>
  </w:style>
  <w:style w:type="character" w:styleId="8">
    <w:name w:val="标题 8 字符"/>
    <w:basedOn w:val="DefaultParagraphFont"/>
    <w:qFormat/>
    <w:rPr>
      <w:rFonts w:cs="Noto Sans CJK SC"/>
      <w:color w:themeColor="dark1" w:themeTint="a6" w:val="595959"/>
    </w:rPr>
  </w:style>
  <w:style w:type="character" w:styleId="9">
    <w:name w:val="标题 9 字符"/>
    <w:basedOn w:val="DefaultParagraphFont"/>
    <w:qFormat/>
    <w:rPr>
      <w:rFonts w:eastAsia="等线 Light" w:cs="Noto Sans CJK SC"/>
      <w:color w:themeColor="dark1" w:themeTint="a6" w:val="595959"/>
    </w:rPr>
  </w:style>
  <w:style w:type="character" w:styleId="Style5">
    <w:name w:val="标题 字符"/>
    <w:basedOn w:val="DefaultParagraphFont"/>
    <w:qFormat/>
    <w:rPr>
      <w:rFonts w:ascii="等线 Light" w:hAnsi="等线 Light" w:eastAsia="等线 Light" w:cs="Noto Sans CJK SC"/>
      <w:spacing w:val="-10"/>
      <w:kern w:val="2"/>
      <w:sz w:val="56"/>
      <w:szCs w:val="56"/>
    </w:rPr>
  </w:style>
  <w:style w:type="character" w:styleId="Style6">
    <w:name w:val="副标题 字符"/>
    <w:basedOn w:val="DefaultParagraphFont"/>
    <w:qFormat/>
    <w:rPr>
      <w:rFonts w:ascii="等线 Light" w:hAnsi="等线 Light" w:eastAsia="等线 Light" w:cs="Noto Sans CJK SC"/>
      <w:color w:themeColor="dark1" w:themeTint="a6" w:val="595959"/>
      <w:spacing w:val="15"/>
      <w:sz w:val="28"/>
      <w:szCs w:val="28"/>
    </w:rPr>
  </w:style>
  <w:style w:type="character" w:styleId="Style7">
    <w:name w:val="引用 字符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2F5496"/>
    </w:rPr>
  </w:style>
  <w:style w:type="character" w:styleId="Style8">
    <w:name w:val="明显引用 字符"/>
    <w:basedOn w:val="DefaultParagraphFont"/>
    <w:link w:val="IntenseQuote"/>
    <w:qFormat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2F5496"/>
      <w:spacing w:val="5"/>
    </w:rPr>
  </w:style>
  <w:style w:type="character" w:styleId="Style9">
    <w:name w:val="页眉 字符"/>
    <w:basedOn w:val="DefaultParagraphFont"/>
    <w:qFormat/>
    <w:rPr>
      <w:rFonts w:ascii="Times New Roman" w:hAnsi="Times New Roman" w:eastAsia="宋体"/>
      <w:color w:themeColor="dark1" w:val="000000"/>
      <w:sz w:val="18"/>
      <w:szCs w:val="18"/>
    </w:rPr>
  </w:style>
  <w:style w:type="character" w:styleId="Style10">
    <w:name w:val="页脚 字符"/>
    <w:basedOn w:val="DefaultParagraphFont"/>
    <w:qFormat/>
    <w:rPr>
      <w:rFonts w:ascii="Times New Roman" w:hAnsi="Times New Roman" w:eastAsia="宋体"/>
      <w:color w:themeColor="dark1" w:val="000000"/>
      <w:sz w:val="18"/>
      <w:szCs w:val="18"/>
    </w:rPr>
  </w:style>
  <w:style w:type="paragraph" w:styleId="Style11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next w:val="Normal"/>
    <w:qFormat/>
    <w:pPr/>
    <w:rPr>
      <w:rFonts w:ascii="等线 Light" w:hAnsi="等线 Light" w:eastAsia="黑体" w:cs="Noto Sans CJK SC"/>
      <w:sz w:val="20"/>
      <w:szCs w:val="20"/>
    </w:rPr>
  </w:style>
  <w:style w:type="paragraph" w:styleId="Style12">
    <w:name w:val="索引"/>
    <w:basedOn w:val="Normal"/>
    <w:qFormat/>
    <w:pPr>
      <w:suppressLineNumbers/>
    </w:pPr>
    <w:rPr>
      <w:rFonts w:cs="Noto Sans CJK SC"/>
    </w:rPr>
  </w:style>
  <w:style w:type="paragraph" w:styleId="Title">
    <w:name w:val="Title"/>
    <w:basedOn w:val="Normal"/>
    <w:next w:val="Normal"/>
    <w:link w:val="Style5"/>
    <w:qFormat/>
    <w:pPr>
      <w:spacing w:before="0" w:after="80"/>
      <w:contextualSpacing/>
      <w:jc w:val="center"/>
    </w:pPr>
    <w:rPr>
      <w:rFonts w:ascii="等线 Light" w:hAnsi="等线 Light" w:eastAsia="等线 Light" w:cs="Noto Sans CJK SC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qFormat/>
    <w:pPr>
      <w:spacing w:before="0" w:after="160"/>
      <w:ind w:firstLine="200"/>
      <w:jc w:val="center"/>
    </w:pPr>
    <w:rPr>
      <w:rFonts w:ascii="等线 Light" w:hAnsi="等线 Light" w:eastAsia="等线 Light" w:cs="Noto Sans CJK SC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Style7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Style8"/>
    <w:qFormat/>
    <w:pPr>
      <w:pBdr>
        <w:top w:val="single" w:sz="4" w:space="10" w:color="2F5496"/>
        <w:bottom w:val="single" w:sz="4" w:space="10" w:color="2F5496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NoSpacing">
    <w:name w:val="No Spacing"/>
    <w:qFormat/>
    <w:pPr>
      <w:widowControl w:val="false"/>
      <w:kinsoku w:val="true"/>
      <w:overflowPunct w:val="true"/>
      <w:autoSpaceDE w:val="true"/>
      <w:bidi w:val="0"/>
      <w:spacing w:before="0" w:after="0"/>
      <w:jc w:val="both"/>
    </w:pPr>
    <w:rPr>
      <w:rFonts w:eastAsia="宋体" w:ascii="等线" w:hAnsi="等线"/>
      <w:b/>
      <w:color w:themeColor="dark1" w:val="000000"/>
      <w:kern w:val="2"/>
      <w:sz w:val="24"/>
      <w:szCs w:val="22"/>
      <w:lang w:val="en-US" w:eastAsia="zh-CN" w:bidi="ar-SA"/>
    </w:rPr>
  </w:style>
  <w:style w:type="paragraph" w:styleId="Style13">
    <w:name w:val="页眉与页脚"/>
    <w:basedOn w:val="Normal"/>
    <w:qFormat/>
    <w:pPr/>
    <w:rPr/>
  </w:style>
  <w:style w:type="paragraph" w:styleId="Header">
    <w:name w:val="Header"/>
    <w:basedOn w:val="Normal"/>
    <w:link w:val="Style9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link w:val="Style10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4">
    <w:name w:val="页眉左侧"/>
    <w:basedOn w:val="Header"/>
    <w:qFormat/>
    <w:pPr/>
    <w:rPr/>
  </w:style>
  <w:style w:type="paragraph" w:styleId="Style15">
    <w:name w:val="表格内容"/>
    <w:basedOn w:val="Normal"/>
    <w:qFormat/>
    <w:pPr>
      <w:widowControl w:val="false"/>
      <w:suppressLineNumbers/>
    </w:pPr>
    <w:rPr/>
  </w:style>
  <w:style w:type="numbering" w:styleId="Style16">
    <w:name w:val="无列表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LibreOffice/24.2.7.2$Linux_X86_64 LibreOffice_project/420$Build-2</Application>
  <AppVersion>15.0000</AppVersion>
  <Pages>4</Pages>
  <Words>1301</Words>
  <Characters>1401</Characters>
  <CharactersWithSpaces>1401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2025-12-29T08:30:00Z</dcterms:created>
  <dc:creator>根 李</dc:creator>
  <dc:description/>
  <dc:language>zh-CN</dc:language>
  <cp:lastModifiedBy/>
  <dcterms:modified xsi:type="dcterms:W3CDTF">2026-04-07T13:41:29Z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