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54" w:lineRule="auto"/>
      </w:pPr>
      <w:r>
        <w:rPr>
          <w:rFonts w:ascii="Aptos" w:hAnsi="Aptos" w:eastAsia="Aptos"/>
          <w:b/>
          <w:i w:val="0"/>
          <w:color w:val="3F7F0A"/>
          <w:sz w:val="20"/>
        </w:rPr>
        <w:t>EDENNIA HOMES  |  MATERIAL PARA LA WEB</w:t>
      </w:r>
    </w:p>
    <w:p>
      <w:pPr>
        <w:spacing w:after="140" w:line="254" w:lineRule="auto"/>
      </w:pPr>
      <w:r>
        <w:rPr>
          <w:rFonts w:ascii="Aptos" w:hAnsi="Aptos" w:eastAsia="Aptos"/>
          <w:b/>
          <w:i w:val="0"/>
          <w:color w:val="A98E4B"/>
          <w:sz w:val="20"/>
        </w:rPr>
        <w:t>FICHA PARA CARGA WEB</w:t>
      </w:r>
    </w:p>
    <w:p>
      <w:pPr>
        <w:spacing w:after="40" w:line="254" w:lineRule="auto"/>
      </w:pPr>
      <w:r>
        <w:rPr>
          <w:rFonts w:ascii="Aptos" w:hAnsi="Aptos" w:eastAsia="Aptos"/>
          <w:b/>
          <w:i w:val="0"/>
          <w:color w:val="3F7F0A"/>
          <w:sz w:val="56"/>
        </w:rPr>
        <w:t>CENTRAL PARK</w:t>
      </w:r>
    </w:p>
    <w:p>
      <w:pPr>
        <w:spacing w:after="240" w:line="254" w:lineRule="auto"/>
      </w:pPr>
      <w:r>
        <w:rPr>
          <w:rFonts w:ascii="Aptos" w:hAnsi="Aptos" w:eastAsia="Aptos"/>
          <w:b w:val="0"/>
          <w:i/>
          <w:color w:val="3A3A3A"/>
          <w:sz w:val="25"/>
        </w:rPr>
        <w:t>Apartamentos en Avda. Santísima Trinidad y Tte. Anastasio Delgado, Asunción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Categoría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Apartamentos / Edificio residencial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Proyecto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Central Park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Ubicación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Avda. Santísima Trinidad y Tte. Anastasio Delgado, Asunción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Desarrolladora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Grupo Park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Unidades disponibles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Apartamentos de 1 y 2 dormitorios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Cochera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Opcional: USD 16.500 (2,50 x 5 m)</w:t>
            </w:r>
          </w:p>
        </w:tc>
      </w:tr>
    </w:tbl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Descripción para publicar</w:t>
      </w:r>
    </w:p>
    <w:p>
      <w:pPr>
        <w:spacing w:after="160" w:line="254" w:lineRule="auto"/>
      </w:pPr>
      <w:r>
        <w:rPr>
          <w:rFonts w:ascii="Aptos" w:hAnsi="Aptos" w:eastAsia="Aptos"/>
          <w:b w:val="0"/>
          <w:i w:val="0"/>
          <w:sz w:val="21"/>
        </w:rPr>
        <w:t>Central Park es un edificio residencial ubicado sobre la avenida Santísima Trinidad, con acceso inmediato a Aviadores del Chaco y a los principales servicios de la zona: Shopping del Sol, World Trade Center y Hotel Sheraton. El proyecto combina una ubicación residencial consolidada con departamentos de 1 y 2 dormitorios, amplias terrazas y espacios comunes para disfrutar.</w:t>
      </w:r>
    </w:p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Características generales</w:t>
      </w:r>
    </w:p>
    <w:p>
      <w:pPr>
        <w:spacing w:after="40"/>
        <w:ind w:left="72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Edificio residencial con 3 niveles de garajes y 12 niveles de viviendas.</w:t>
      </w:r>
    </w:p>
    <w:p>
      <w:pPr>
        <w:spacing w:after="40"/>
        <w:ind w:left="72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Cinco departamentos por planta: 3 unidades de 1 dormitorio y 2 unidades de 2 dormitorios.</w:t>
      </w:r>
    </w:p>
    <w:p>
      <w:pPr>
        <w:spacing w:after="40"/>
        <w:ind w:left="72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Unidades con amplias terrazas; los departamentos de 2 dormitorios incluyen parrillero individual.</w:t>
      </w:r>
    </w:p>
    <w:p>
      <w:pPr>
        <w:spacing w:after="40"/>
        <w:ind w:left="72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Aire acondicionado tipo split instalado en cada unidad.</w:t>
      </w:r>
    </w:p>
    <w:p>
      <w:pPr>
        <w:spacing w:after="40"/>
        <w:ind w:left="72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Carpinterías, revestimientos y terminaciones de primera calidad.</w:t>
      </w:r>
    </w:p>
    <w:p>
      <w:pPr>
        <w:spacing w:after="40"/>
        <w:ind w:left="72"/>
      </w:pPr>
      <w:r>
        <w:rPr>
          <w:rFonts w:ascii="Aptos" w:hAnsi="Aptos" w:eastAsia="Aptos"/>
          <w:b w:val="0"/>
          <w:i w:val="0"/>
          <w:color w:val="3F7F0A"/>
          <w:sz w:val="20"/>
        </w:rPr>
        <w:t xml:space="preserve">• </w:t>
      </w:r>
      <w:r>
        <w:rPr>
          <w:rFonts w:ascii="Aptos" w:hAnsi="Aptos" w:eastAsia="Aptos"/>
          <w:b w:val="0"/>
          <w:i w:val="0"/>
          <w:sz w:val="20"/>
        </w:rPr>
        <w:t>Portón automático para acceso a garajes y portero eléctrico.</w:t>
      </w:r>
    </w:p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Amenities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19"/>
              </w:rPr>
              <w:t>Hall de acceso con finas terminaciones</w:t>
            </w:r>
          </w:p>
        </w:tc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19"/>
              </w:rPr>
              <w:t>3 ascensores automáticos</w:t>
            </w:r>
          </w:p>
        </w:tc>
        <w:tc>
          <w:tcPr>
            <w:tcW w:type="dxa" w:w="3499"/>
            <w:shd w:fill="F5F0E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19"/>
              </w:rPr>
              <w:t>Barbacoa y parrillero de uso común</w:t>
            </w:r>
          </w:p>
        </w:tc>
      </w:tr>
      <w:tr>
        <w:tc>
          <w:tcPr>
            <w:tcW w:type="dxa" w:w="3499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19"/>
              </w:rPr>
              <w:t>Sala de relax con servicios</w:t>
            </w:r>
          </w:p>
        </w:tc>
        <w:tc>
          <w:tcPr>
            <w:tcW w:type="dxa" w:w="3499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19"/>
              </w:rPr>
              <w:t>Sauna</w:t>
            </w:r>
          </w:p>
        </w:tc>
        <w:tc>
          <w:tcPr>
            <w:tcW w:type="dxa" w:w="3499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19"/>
              </w:rPr>
              <w:t>Palieres con porcelanato</w:t>
            </w:r>
          </w:p>
        </w:tc>
      </w:tr>
    </w:tbl>
    <w:p>
      <w:r>
        <w:br w:type="page"/>
      </w:r>
    </w:p>
    <w:p>
      <w:pPr>
        <w:spacing w:after="100" w:line="254" w:lineRule="auto" w:before="360"/>
      </w:pPr>
      <w:r>
        <w:rPr>
          <w:rFonts w:ascii="Aptos" w:hAnsi="Aptos" w:eastAsia="Aptos"/>
          <w:b/>
          <w:i w:val="0"/>
          <w:color w:val="3F7F0A"/>
          <w:sz w:val="27"/>
        </w:rPr>
        <w:t>Central Park - oferta actual para la web</w:t>
      </w:r>
    </w:p>
    <w:p>
      <w:pPr>
        <w:spacing w:after="160" w:line="254" w:lineRule="auto"/>
      </w:pPr>
      <w:r>
        <w:rPr>
          <w:rFonts w:ascii="Aptos" w:hAnsi="Aptos" w:eastAsia="Aptos"/>
          <w:b w:val="0"/>
          <w:i/>
          <w:sz w:val="20"/>
        </w:rPr>
        <w:t>Unidades disponibles según la lista de precios recibida. Confirmar disponibilidad antes de cerrar una reserva.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604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Piso</w:t>
            </w:r>
          </w:p>
        </w:tc>
        <w:tc>
          <w:tcPr>
            <w:tcW w:type="dxa" w:w="1180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1411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Tipología</w:t>
            </w:r>
          </w:p>
        </w:tc>
        <w:tc>
          <w:tcPr>
            <w:tcW w:type="dxa" w:w="648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Dpto.</w:t>
            </w:r>
          </w:p>
        </w:tc>
        <w:tc>
          <w:tcPr>
            <w:tcW w:type="dxa" w:w="878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m² propios</w:t>
            </w:r>
          </w:p>
        </w:tc>
        <w:tc>
          <w:tcPr>
            <w:tcW w:type="dxa" w:w="950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m² comunes</w:t>
            </w:r>
          </w:p>
        </w:tc>
        <w:tc>
          <w:tcPr>
            <w:tcW w:type="dxa" w:w="792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m² total</w:t>
            </w:r>
          </w:p>
        </w:tc>
        <w:tc>
          <w:tcPr>
            <w:tcW w:type="dxa" w:w="1152"/>
            <w:shd w:fill="3F7F0A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Precio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Frente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 dormitorios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501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106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122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165.000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Frente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 dormitorios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601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106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122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165.500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Frente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 dormitorios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603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106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122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165.500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8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807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55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104.500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907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55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104.500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1007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55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105.000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 dormitorios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1106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80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89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135.500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1207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55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106.500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1307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55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106.500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Frente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1502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60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69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109.500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1504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58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92.500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1505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58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92.500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 dormitorios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1506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80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13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93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137.500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1507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55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107.500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 dormitorios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1508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80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13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93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137.500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Frente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 dormitorio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1602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60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69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110.000</w:t>
            </w:r>
          </w:p>
        </w:tc>
      </w:tr>
      <w:tr>
        <w:tc>
          <w:tcPr>
            <w:tcW w:type="dxa" w:w="604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18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Frente</w:t>
            </w:r>
          </w:p>
        </w:tc>
        <w:tc>
          <w:tcPr>
            <w:tcW w:type="dxa" w:w="1411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 dormitorios</w:t>
            </w:r>
          </w:p>
        </w:tc>
        <w:tc>
          <w:tcPr>
            <w:tcW w:type="dxa" w:w="64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1603</w:t>
            </w:r>
          </w:p>
        </w:tc>
        <w:tc>
          <w:tcPr>
            <w:tcW w:type="dxa" w:w="878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106</w:t>
            </w:r>
          </w:p>
        </w:tc>
        <w:tc>
          <w:tcPr>
            <w:tcW w:type="dxa" w:w="950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</w:t>
            </w:r>
          </w:p>
        </w:tc>
        <w:tc>
          <w:tcPr>
            <w:tcW w:type="dxa" w:w="79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122</w:t>
            </w:r>
          </w:p>
        </w:tc>
        <w:tc>
          <w:tcPr>
            <w:tcW w:type="dxa" w:w="1152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171.000</w:t>
            </w:r>
          </w:p>
        </w:tc>
      </w:tr>
      <w:tr>
        <w:tc>
          <w:tcPr>
            <w:tcW w:type="dxa" w:w="604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18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Contrafrente</w:t>
            </w:r>
          </w:p>
        </w:tc>
        <w:tc>
          <w:tcPr>
            <w:tcW w:type="dxa" w:w="1411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2 dormitorios</w:t>
            </w:r>
          </w:p>
        </w:tc>
        <w:tc>
          <w:tcPr>
            <w:tcW w:type="dxa" w:w="64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1606</w:t>
            </w:r>
          </w:p>
        </w:tc>
        <w:tc>
          <w:tcPr>
            <w:tcW w:type="dxa" w:w="878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80</w:t>
            </w:r>
          </w:p>
        </w:tc>
        <w:tc>
          <w:tcPr>
            <w:tcW w:type="dxa" w:w="950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13</w:t>
            </w:r>
          </w:p>
        </w:tc>
        <w:tc>
          <w:tcPr>
            <w:tcW w:type="dxa" w:w="79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93</w:t>
            </w:r>
          </w:p>
        </w:tc>
        <w:tc>
          <w:tcPr>
            <w:tcW w:type="dxa" w:w="1152"/>
            <w:shd w:fill="FFFFFF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35" w:type="dxa"/>
              <w:start w:w="110" w:type="dxa"/>
              <w:bottom w:w="35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 w:eastAsia="Aptos"/>
                <w:b w:val="0"/>
                <w:i w:val="0"/>
                <w:sz w:val="16"/>
              </w:rPr>
              <w:t>USD 138.000</w:t>
            </w:r>
          </w:p>
        </w:tc>
      </w:tr>
    </w:tbl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Condiciones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Cochera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USD 16.500 por unidad de cochera (2,50 x 5 m).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Impuestos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Los precios publicados no incluyen IVA del 1,5%.</w:t>
            </w:r>
          </w:p>
        </w:tc>
      </w:tr>
      <w:tr>
        <w:tc>
          <w:tcPr>
            <w:tcW w:type="dxa" w:w="3456"/>
            <w:shd w:fill="EEF4E9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3F7F0A"/>
                <w:sz w:val="21"/>
              </w:rPr>
              <w:t>Financiación</w:t>
            </w:r>
          </w:p>
        </w:tc>
        <w:tc>
          <w:tcPr>
            <w:tcW w:type="dxa" w:w="7056"/>
            <w:vAlign w:val="center"/>
            <w:tcBorders>
              <w:top w:val="single" w:sz="8" w:space="0" w:color="2C2C2C"/>
              <w:left w:val="single" w:sz="8" w:space="0" w:color="2C2C2C"/>
              <w:bottom w:val="single" w:sz="8" w:space="0" w:color="2C2C2C"/>
              <w:right w:val="single" w:sz="8" w:space="0" w:color="2C2C2C"/>
              <w:insideH w:val="single" w:sz="8" w:space="0" w:color="2C2C2C"/>
              <w:insideV w:val="single" w:sz="8" w:space="0" w:color="2C2C2C"/>
            </w:tcBorders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sz w:val="21"/>
              </w:rPr>
              <w:t>A consultar con la desarrolladora.</w:t>
            </w:r>
          </w:p>
        </w:tc>
      </w:tr>
    </w:tbl>
    <w:p>
      <w:pPr>
        <w:spacing w:after="100" w:line="254" w:lineRule="auto" w:before="200"/>
      </w:pPr>
      <w:r>
        <w:rPr>
          <w:rFonts w:ascii="Aptos" w:hAnsi="Aptos" w:eastAsia="Aptos"/>
          <w:b/>
          <w:i w:val="0"/>
          <w:color w:val="3F7F0A"/>
          <w:sz w:val="27"/>
        </w:rPr>
        <w:t>Material que debe acompañar esta ficha en Drive</w:t>
      </w:r>
    </w:p>
    <w:p>
      <w:pPr>
        <w:spacing w:after="60"/>
        <w:ind w:left="360"/>
      </w:pPr>
      <w:r>
        <w:rPr>
          <w:rFonts w:ascii="Aptos" w:hAnsi="Aptos" w:eastAsia="Aptos"/>
          <w:b w:val="0"/>
          <w:i w:val="0"/>
          <w:color w:val="3F7F0A"/>
          <w:sz w:val="21"/>
        </w:rPr>
        <w:t xml:space="preserve">• </w:t>
      </w:r>
      <w:r>
        <w:rPr>
          <w:rFonts w:ascii="Aptos" w:hAnsi="Aptos" w:eastAsia="Aptos"/>
          <w:b w:val="0"/>
          <w:i w:val="0"/>
          <w:sz w:val="21"/>
        </w:rPr>
        <w:t>Brochure Central Park.pdf</w:t>
      </w:r>
    </w:p>
    <w:p>
      <w:pPr>
        <w:spacing w:after="60"/>
        <w:ind w:left="360"/>
      </w:pPr>
      <w:r>
        <w:rPr>
          <w:rFonts w:ascii="Aptos" w:hAnsi="Aptos" w:eastAsia="Aptos"/>
          <w:b w:val="0"/>
          <w:i w:val="0"/>
          <w:color w:val="3F7F0A"/>
          <w:sz w:val="21"/>
        </w:rPr>
        <w:t xml:space="preserve">• </w:t>
      </w:r>
      <w:r>
        <w:rPr>
          <w:rFonts w:ascii="Aptos" w:hAnsi="Aptos" w:eastAsia="Aptos"/>
          <w:b w:val="0"/>
          <w:i w:val="0"/>
          <w:sz w:val="21"/>
        </w:rPr>
        <w:t>Lista de unidades disponibles y precios actualizada</w:t>
      </w:r>
    </w:p>
    <w:p>
      <w:pPr>
        <w:spacing w:after="60"/>
        <w:ind w:left="360"/>
      </w:pPr>
      <w:r>
        <w:rPr>
          <w:rFonts w:ascii="Aptos" w:hAnsi="Aptos" w:eastAsia="Aptos"/>
          <w:b w:val="0"/>
          <w:i w:val="0"/>
          <w:color w:val="3F7F0A"/>
          <w:sz w:val="21"/>
        </w:rPr>
        <w:t xml:space="preserve">• </w:t>
      </w:r>
      <w:r>
        <w:rPr>
          <w:rFonts w:ascii="Aptos" w:hAnsi="Aptos" w:eastAsia="Aptos"/>
          <w:b w:val="0"/>
          <w:i w:val="0"/>
          <w:sz w:val="21"/>
        </w:rPr>
        <w:t>Fotos o renders de fachada, interiores y áreas comunes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 w:eastAsia="Aptos"/>
        <w:b w:val="0"/>
        <w:i w:val="0"/>
        <w:color w:val="222222"/>
        <w:sz w:val="19"/>
      </w:rPr>
      <w:t>CENTRAL PARK  •  Ficha unificada para carga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