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63374"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End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14"/>
      <w:bookmarkEnd w:id="8"/>
      <w:bookmarkEnd w:id="7"/>
      <w:bookmarkEnd w:id="6"/>
      <w:bookmarkEnd w:id="5"/>
      <w:bookmarkEnd w:id="4"/>
      <w:bookmarkEnd w:id="3"/>
      <w:bookmarkEnd w:id="2"/>
      <w:bookmarkEnd w:id="1"/>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commentRangeStart w:id="24"/>
      <w:r>
        <w:t>Virtual environment</w:t>
      </w:r>
      <w:bookmarkEnd w:id="23"/>
      <w:commentRangeEnd w:id="24"/>
      <w:r w:rsidR="001A744D">
        <w:rPr>
          <w:rStyle w:val="Verwijzingopmerking"/>
          <w:rFonts w:eastAsiaTheme="minorHAnsi" w:cs="Verdana"/>
          <w:b w:val="0"/>
          <w:bCs w:val="0"/>
          <w:color w:val="221E1F"/>
        </w:rPr>
        <w:commentReference w:id="24"/>
      </w:r>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5" w:name="_Ref194053742"/>
      <w:bookmarkStart w:id="26" w:name="_Toc194568228"/>
      <w:r w:rsidRPr="00C43AA4">
        <w:lastRenderedPageBreak/>
        <w:t>Installeren</w:t>
      </w:r>
      <w:bookmarkEnd w:id="25"/>
      <w:bookmarkEnd w:id="26"/>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7" w:name="_Ref194053765"/>
      <w:bookmarkStart w:id="28" w:name="_Toc194568229"/>
      <w:r>
        <w:t>Activeren</w:t>
      </w:r>
      <w:bookmarkEnd w:id="27"/>
      <w:bookmarkEnd w:id="28"/>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9" w:name="_Toc194568230"/>
      <w:r>
        <w:t>Gebruik</w:t>
      </w:r>
      <w:bookmarkEnd w:id="29"/>
    </w:p>
    <w:p w14:paraId="6A2FCAD2" w14:textId="6142317C" w:rsidR="00C51892" w:rsidRPr="00C51892" w:rsidRDefault="00CB4467" w:rsidP="00CB4467">
      <w:pPr>
        <w:pStyle w:val="Kop3"/>
      </w:pPr>
      <w:r>
        <w:t>Workflow</w:t>
      </w:r>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0AB4A2F" w14:textId="77777777" w:rsidR="00C51892" w:rsidRDefault="00C51892" w:rsidP="00EB57CA">
      <w:pPr>
        <w:pStyle w:val="Plattetekst"/>
      </w:pPr>
    </w:p>
    <w:p w14:paraId="795D04E5" w14:textId="77777777" w:rsidR="00CB4467" w:rsidRDefault="00CB4467" w:rsidP="00CB4467">
      <w:pPr>
        <w:pStyle w:val="Kop3"/>
      </w:pPr>
      <w:r>
        <w:t>Aanbevelingen</w:t>
      </w:r>
    </w:p>
    <w:p w14:paraId="3038C759" w14:textId="3928B0FE" w:rsidR="000F389C" w:rsidRDefault="003623BE" w:rsidP="000F389C">
      <w:pPr>
        <w:pStyle w:val="Geenafstand"/>
      </w:pPr>
      <w:proofErr w:type="spellStart"/>
      <w:r>
        <w:t>BOLuS</w:t>
      </w:r>
      <w:proofErr w:type="spellEnd"/>
      <w:r>
        <w:t xml:space="preserve"> </w:t>
      </w:r>
      <w:r w:rsidR="009E1541">
        <w:t xml:space="preserve">werkt met een Excelsheet als invoer. </w:t>
      </w:r>
      <w:r w:rsidR="00836184">
        <w:t xml:space="preserve">Dit biedt </w:t>
      </w:r>
      <w:r w:rsidR="00E866B2">
        <w:t xml:space="preserve">voordelen maar geeft ook aandachtspunten. </w:t>
      </w:r>
      <w:r w:rsidR="000F5295">
        <w:t xml:space="preserve">De gebruiker heeft </w:t>
      </w:r>
      <w:r w:rsidR="008F4C50">
        <w:t xml:space="preserve">bijvoorbeeld </w:t>
      </w:r>
      <w:r w:rsidR="000F5295">
        <w:t xml:space="preserve">de vrijheid om verschillende schematiseringsopties met elkaar te combineren. </w:t>
      </w:r>
      <w:r w:rsidR="004D7036">
        <w:t>Sommige schematiseringsopties of instellingen vereisen echter specifieke uitgangspunten</w:t>
      </w:r>
      <w:r w:rsidR="00E13016">
        <w:t xml:space="preserve"> betreft de overige invoer</w:t>
      </w:r>
      <w:r w:rsidR="004D7036">
        <w:t>. Deze</w:t>
      </w:r>
      <w:r w:rsidR="00E13016">
        <w:t xml:space="preserve"> uitgangspunten</w:t>
      </w:r>
      <w:r w:rsidR="004D7036">
        <w:t xml:space="preserve"> zijn in de</w:t>
      </w:r>
      <w:r w:rsidR="00E13016">
        <w:t>ze</w:t>
      </w:r>
      <w:r w:rsidR="004D7036">
        <w:t xml:space="preserve"> handleiding gedocumenteerd. </w:t>
      </w:r>
      <w:r w:rsidR="008F4C50">
        <w:t>Voldoet de opgegeven</w:t>
      </w:r>
      <w:r w:rsidR="000F5295">
        <w:t xml:space="preserve"> </w:t>
      </w:r>
      <w:r w:rsidR="008F4C50">
        <w:t xml:space="preserve">invoer niet aan deze uitgangspunten </w:t>
      </w:r>
      <w:r w:rsidR="000F389C">
        <w:t>dan volgt er een foutmelding.</w:t>
      </w:r>
      <w:r w:rsidR="00D73C87">
        <w:t xml:space="preserve"> Om te zorgen voor een </w:t>
      </w:r>
      <w:r w:rsidR="00E13016">
        <w:t xml:space="preserve">soepel werkproces </w:t>
      </w:r>
      <w:r w:rsidR="009838B8">
        <w:t>is het onderstaande aanbevolen:</w:t>
      </w:r>
    </w:p>
    <w:p w14:paraId="29CF1BC2" w14:textId="77777777" w:rsidR="000F389C" w:rsidRDefault="000F389C" w:rsidP="000F389C">
      <w:pPr>
        <w:pStyle w:val="Geenafstand"/>
      </w:pPr>
    </w:p>
    <w:p w14:paraId="3DB696BA" w14:textId="1CA35CA0" w:rsidR="000F389C" w:rsidRPr="009E6533" w:rsidRDefault="000F389C" w:rsidP="000F389C">
      <w:pPr>
        <w:pStyle w:val="Plattetekst"/>
        <w:keepNext/>
        <w:rPr>
          <w:b/>
          <w:bCs/>
          <w:color w:val="046444"/>
        </w:rPr>
      </w:pPr>
      <w:r>
        <w:rPr>
          <w:b/>
          <w:bCs/>
          <w:color w:val="046444"/>
        </w:rPr>
        <w:lastRenderedPageBreak/>
        <w:t>Aanbeveling</w:t>
      </w:r>
      <w:r w:rsidRPr="009E6533">
        <w:rPr>
          <w:b/>
          <w:bCs/>
          <w:color w:val="046444"/>
        </w:rPr>
        <w:t>:</w:t>
      </w:r>
    </w:p>
    <w:p w14:paraId="20C13131" w14:textId="77777777" w:rsidR="000F389C" w:rsidRPr="00C24838" w:rsidRDefault="000F389C" w:rsidP="000F389C">
      <w:pPr>
        <w:pStyle w:val="Plattetekst"/>
        <w:keepNext/>
      </w:pPr>
      <w:r>
        <w:rPr>
          <w:noProof/>
        </w:rPr>
        <mc:AlternateContent>
          <mc:Choice Requires="wps">
            <w:drawing>
              <wp:inline distT="0" distB="0" distL="0" distR="0" wp14:anchorId="56F43E64" wp14:editId="730A57D2">
                <wp:extent cx="6217920" cy="675861"/>
                <wp:effectExtent l="0" t="0" r="11430" b="20320"/>
                <wp:docPr id="9308502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wps:txbx>
                      <wps:bodyPr rot="0" vert="horz" wrap="square" lIns="91440" tIns="45720" rIns="91440" bIns="45720" anchor="t" anchorCtr="0">
                        <a:spAutoFit/>
                      </wps:bodyPr>
                    </wps:wsp>
                  </a:graphicData>
                </a:graphic>
              </wp:inline>
            </w:drawing>
          </mc:Choice>
          <mc:Fallback>
            <w:pict>
              <v:shape w14:anchorId="56F43E64"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4D0F694B" w14:textId="481060BB" w:rsidR="000F389C" w:rsidRPr="007E157D" w:rsidRDefault="00D73C87" w:rsidP="000F389C">
                      <w:r>
                        <w:t xml:space="preserve">Bouw de berekeningen stapsgewijs </w:t>
                      </w:r>
                      <w:r w:rsidR="009B3D63">
                        <w:t xml:space="preserve">op en </w:t>
                      </w:r>
                      <w:r w:rsidR="007672BC">
                        <w:t>genereer na één of enkele stappen een tussenversie van de berekeningen. Start bijvoorbeeld met de geometrie, sterkteparameters en bodemopbouw.</w:t>
                      </w:r>
                      <w:r w:rsidR="007D6966">
                        <w:t xml:space="preserve"> Dit is het minimaal benodigde om een berekening te genereren. </w:t>
                      </w:r>
                      <w:r w:rsidR="00DF23E4">
                        <w:t>Bouw de berekeningen stapsgewijs uit. Dit helpt bij het duiden van foutmeldingen</w:t>
                      </w:r>
                      <w:r w:rsidR="007B4FEB">
                        <w:t>.</w:t>
                      </w:r>
                    </w:p>
                  </w:txbxContent>
                </v:textbox>
                <w10:anchorlock/>
              </v:shape>
            </w:pict>
          </mc:Fallback>
        </mc:AlternateContent>
      </w:r>
    </w:p>
    <w:p w14:paraId="2E88F38D" w14:textId="77777777" w:rsidR="000F389C" w:rsidRDefault="000F389C" w:rsidP="000F389C">
      <w:pPr>
        <w:pStyle w:val="Plattetekst"/>
      </w:pPr>
    </w:p>
    <w:p w14:paraId="7F722A82" w14:textId="77777777" w:rsidR="000F389C" w:rsidRPr="00EB57CA" w:rsidRDefault="000F389C" w:rsidP="000F389C">
      <w:pPr>
        <w:pStyle w:val="Geenafstand"/>
      </w:pPr>
    </w:p>
    <w:p w14:paraId="020A5519" w14:textId="4D8D4786" w:rsidR="0026594E" w:rsidRDefault="0026594E" w:rsidP="0026594E">
      <w:pPr>
        <w:pStyle w:val="Kop1"/>
      </w:pPr>
      <w:bookmarkStart w:id="30" w:name="_Ref194055758"/>
      <w:bookmarkStart w:id="31" w:name="_Toc194568231"/>
      <w:r>
        <w:lastRenderedPageBreak/>
        <w:t>Opstellen invoerbestand</w:t>
      </w:r>
      <w:bookmarkEnd w:id="30"/>
      <w:bookmarkEnd w:id="31"/>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2" w:name="_Ref194064145"/>
      <w:bookmarkStart w:id="33" w:name="_Toc194568232"/>
      <w:r>
        <w:t>Instellingen</w:t>
      </w:r>
      <w:bookmarkEnd w:id="32"/>
      <w:bookmarkEnd w:id="33"/>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4" w:name="_Toc194568233"/>
      <w:r>
        <w:t>Dwarsprofielen</w:t>
      </w:r>
      <w:bookmarkEnd w:id="34"/>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5" w:name="_Ref194393973"/>
      <w:bookmarkStart w:id="36" w:name="_Toc194568234"/>
      <w:r>
        <w:t>Kar. punten</w:t>
      </w:r>
      <w:bookmarkEnd w:id="35"/>
      <w:bookmarkEnd w:id="36"/>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7"/>
      <w:proofErr w:type="spellStart"/>
      <w:r w:rsidR="006A69E0">
        <w:t>waterspanningsschematisatie</w:t>
      </w:r>
      <w:commentRangeEnd w:id="37"/>
      <w:proofErr w:type="spellEnd"/>
      <w:r w:rsidR="006E0F83">
        <w:rPr>
          <w:rStyle w:val="Verwijzingopmerking"/>
        </w:rPr>
        <w:commentReference w:id="37"/>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8" w:name="_Ref194394207"/>
      <w:bookmarkStart w:id="39" w:name="_Toc194568235"/>
      <w:r>
        <w:t>Sterkteparameters</w:t>
      </w:r>
      <w:bookmarkEnd w:id="38"/>
      <w:bookmarkEnd w:id="39"/>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40"/>
      <w:r>
        <w:t>Het is niet mogelijk om POP</w:t>
      </w:r>
      <w:r w:rsidR="00CF6334">
        <w:t>-stochasten</w:t>
      </w:r>
      <w:r>
        <w:t xml:space="preserve"> van</w:t>
      </w:r>
      <w:r w:rsidR="00CF6334">
        <w:t xml:space="preserve"> verschillende</w:t>
      </w:r>
      <w:r>
        <w:t xml:space="preserve"> grondsoorten aan elkaar te correleren. </w:t>
      </w:r>
      <w:commentRangeEnd w:id="40"/>
      <w:r w:rsidR="006E28EE">
        <w:rPr>
          <w:rStyle w:val="Verwijzingopmerking"/>
        </w:rPr>
        <w:commentReference w:id="40"/>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1" w:name="_Toc194568236"/>
      <w:r>
        <w:t>Bodemprofielen</w:t>
      </w:r>
      <w:bookmarkEnd w:id="41"/>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2" w:name="_Toc194568237"/>
      <w:r>
        <w:t>Bodemopbouw</w:t>
      </w:r>
      <w:bookmarkEnd w:id="42"/>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3" w:name="_Toc194568238"/>
      <w:r>
        <w:t>Bekleding</w:t>
      </w:r>
      <w:bookmarkEnd w:id="43"/>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4" w:name="_Toc194568239"/>
      <w:r>
        <w:t>Belasting</w:t>
      </w:r>
      <w:bookmarkEnd w:id="44"/>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5"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5"/>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6" w:name="_Toc194568240"/>
      <w:commentRangeStart w:id="47"/>
      <w:r>
        <w:t>Waterspanning</w:t>
      </w:r>
      <w:r w:rsidR="00BC580F">
        <w:t>e</w:t>
      </w:r>
      <w:commentRangeEnd w:id="47"/>
      <w:r w:rsidR="001A7B32">
        <w:rPr>
          <w:rStyle w:val="Verwijzingopmerking"/>
          <w:rFonts w:eastAsiaTheme="minorHAnsi" w:cs="Verdana"/>
          <w:b w:val="0"/>
          <w:bCs w:val="0"/>
          <w:color w:val="221E1F"/>
        </w:rPr>
        <w:commentReference w:id="47"/>
      </w:r>
      <w:r w:rsidR="00BC580F">
        <w:t>n</w:t>
      </w:r>
      <w:bookmarkEnd w:id="46"/>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1EE45F7C"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r w:rsidR="006A43CA">
        <w:rPr>
          <w:i/>
          <w:iCs/>
        </w:rPr>
        <w:t xml:space="preserve"> </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8"/>
      <w:r w:rsidR="005A7FA0">
        <w:t xml:space="preserve">: ‘Stijghoogtelijn’ </w:t>
      </w:r>
      <w:commentRangeEnd w:id="48"/>
      <w:r w:rsidR="000E73B8">
        <w:rPr>
          <w:rStyle w:val="Verwijzingopmerking"/>
        </w:rPr>
        <w:commentReference w:id="48"/>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9" w:name="_Ref194060430"/>
      <w:bookmarkStart w:id="50" w:name="_Toc194568241"/>
      <w:proofErr w:type="spellStart"/>
      <w:r>
        <w:t>Gridinstellingen</w:t>
      </w:r>
      <w:bookmarkEnd w:id="49"/>
      <w:bookmarkEnd w:id="50"/>
      <w:proofErr w:type="spellEnd"/>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1" w:name="_Toc194568242"/>
      <w:r>
        <w:t>Algemeen</w:t>
      </w:r>
      <w:bookmarkEnd w:id="51"/>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2" w:name="_Toc194568243"/>
      <w:r>
        <w:t>Bishop</w:t>
      </w:r>
      <w:bookmarkEnd w:id="52"/>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lastRenderedPageBreak/>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3"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3"/>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4" w:name="_Toc194568244"/>
      <w:r>
        <w:t>Uplift Van</w:t>
      </w:r>
      <w:bookmarkEnd w:id="54"/>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5" w:name="_Toc194568245"/>
      <w:r>
        <w:t>Randvoorwaardes glijvlak</w:t>
      </w:r>
      <w:bookmarkEnd w:id="55"/>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6"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6"/>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7" w:name="_Ref194060431"/>
      <w:bookmarkStart w:id="58" w:name="_Toc194568246"/>
      <w:r>
        <w:t>Berekeningen</w:t>
      </w:r>
      <w:bookmarkEnd w:id="57"/>
      <w:bookmarkEnd w:id="58"/>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9"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9"/>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60" w:name="_Toc194568247"/>
      <w:commentRangeStart w:id="61"/>
      <w:r>
        <w:lastRenderedPageBreak/>
        <w:t>Technische documentatie</w:t>
      </w:r>
      <w:commentRangeEnd w:id="61"/>
      <w:r w:rsidR="000241A7">
        <w:rPr>
          <w:rStyle w:val="Verwijzingopmerking"/>
          <w:rFonts w:eastAsiaTheme="minorHAnsi" w:cs="Verdana"/>
          <w:b w:val="0"/>
          <w:bCs w:val="0"/>
          <w:color w:val="221E1F"/>
        </w:rPr>
        <w:commentReference w:id="61"/>
      </w:r>
      <w:bookmarkEnd w:id="60"/>
    </w:p>
    <w:p w14:paraId="2D1A630C" w14:textId="77777777" w:rsidR="007311C2" w:rsidRDefault="007311C2" w:rsidP="007311C2">
      <w:pPr>
        <w:pStyle w:val="Kop2"/>
      </w:pPr>
      <w:bookmarkStart w:id="62" w:name="_Toc194568248"/>
      <w:bookmarkStart w:id="63" w:name="_Ref194056495"/>
      <w:bookmarkStart w:id="64" w:name="_Ref194059631"/>
      <w:r>
        <w:t>Geometrie</w:t>
      </w:r>
      <w:bookmarkEnd w:id="62"/>
    </w:p>
    <w:p w14:paraId="685697BA" w14:textId="77777777" w:rsidR="007311C2" w:rsidRDefault="007311C2" w:rsidP="006905F1">
      <w:pPr>
        <w:pStyle w:val="Kop3"/>
      </w:pPr>
      <w:bookmarkStart w:id="65" w:name="_Toc194568249"/>
      <w:r>
        <w:t>Het L-coördinaat</w:t>
      </w:r>
      <w:bookmarkEnd w:id="65"/>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3"/>
    <w:bookmarkEnd w:id="64"/>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6" w:name="_Toc194568250"/>
      <w:r>
        <w:t>Bodemopbouw</w:t>
      </w:r>
      <w:bookmarkEnd w:id="66"/>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3D629C11" w14:textId="77777777" w:rsidR="00E5678A" w:rsidRDefault="00E5678A" w:rsidP="00554C05">
      <w:pPr>
        <w:pStyle w:val="Plattetekst"/>
      </w:pPr>
    </w:p>
    <w:p w14:paraId="033A6977" w14:textId="77777777" w:rsidR="00E5678A" w:rsidRDefault="00E5678A" w:rsidP="00554C05">
      <w:pPr>
        <w:pStyle w:val="Plattetekst"/>
      </w:pPr>
    </w:p>
    <w:p w14:paraId="2C486887" w14:textId="64FA5EA0" w:rsidR="00A9033E" w:rsidRDefault="00A9033E" w:rsidP="00A9033E">
      <w:pPr>
        <w:pStyle w:val="Kop2"/>
      </w:pPr>
      <w:r>
        <w:t>Stijghoogte</w:t>
      </w:r>
    </w:p>
    <w:p w14:paraId="7E598B31" w14:textId="77777777" w:rsidR="00AF0962" w:rsidRDefault="00AF0962" w:rsidP="00AF0962">
      <w:pPr>
        <w:pStyle w:val="Kop3"/>
      </w:pPr>
      <w:r>
        <w:t>Offset methode</w:t>
      </w:r>
    </w:p>
    <w:p w14:paraId="4C3DCFA9" w14:textId="77777777" w:rsidR="00AF0962" w:rsidRDefault="00AF0962" w:rsidP="00AF0962">
      <w:pPr>
        <w:pStyle w:val="Plattetekst"/>
        <w:numPr>
          <w:ilvl w:val="0"/>
          <w:numId w:val="15"/>
        </w:numPr>
      </w:pPr>
      <w:r>
        <w:t>Alle karakteristieke punten zijn te gebruiken. Als voor een profiel een karakteristiek punt ontbreekt dan wordt deze genegeerd.</w:t>
      </w:r>
    </w:p>
    <w:p w14:paraId="7A545FC8" w14:textId="77777777" w:rsidR="00AF0962" w:rsidRDefault="00AF0962" w:rsidP="00AF0962">
      <w:pPr>
        <w:pStyle w:val="Plattetekst"/>
        <w:numPr>
          <w:ilvl w:val="0"/>
          <w:numId w:val="15"/>
        </w:numPr>
      </w:pPr>
      <w:r>
        <w:t>Bij het genereren van de waterstanden en stijghoogtes wordt altijd gewerkt van buitenwaarts naar binnenwaarts. Het opgeven van “Verhang t.o.v. voorgaand punt” is daarmee het eerste beschikbare punt aan de buitenwaartse zijde van het punt waarvoor dit is ingevoerd.</w:t>
      </w:r>
    </w:p>
    <w:p w14:paraId="11EB703F" w14:textId="77777777" w:rsidR="00AF0962" w:rsidRDefault="00AF0962" w:rsidP="00AF0962">
      <w:pPr>
        <w:pStyle w:val="Plattetekst"/>
      </w:pPr>
    </w:p>
    <w:p w14:paraId="103DECA4" w14:textId="77777777" w:rsidR="00AF0962" w:rsidRDefault="00AF0962" w:rsidP="00AF0962">
      <w:pPr>
        <w:pStyle w:val="Plattetekst"/>
        <w:rPr>
          <w:b/>
          <w:bCs/>
        </w:rPr>
      </w:pPr>
      <w:r>
        <w:rPr>
          <w:b/>
          <w:bCs/>
        </w:rPr>
        <w:t>Verhang t.o.v. voorgaand punt</w:t>
      </w:r>
    </w:p>
    <w:p w14:paraId="32AC1B8E" w14:textId="77777777" w:rsidR="00AF0962" w:rsidRPr="00FB5E9C" w:rsidRDefault="00AF0962" w:rsidP="00AF0962">
      <w:pPr>
        <w:pStyle w:val="Plattetekst"/>
        <w:numPr>
          <w:ilvl w:val="0"/>
          <w:numId w:val="35"/>
        </w:numPr>
      </w:pPr>
      <w:r>
        <w:t>Positief is neerwaarts. Op te geven waarde is X, helling is 1:X.</w:t>
      </w:r>
    </w:p>
    <w:p w14:paraId="1606B914" w14:textId="77777777" w:rsidR="00A9033E" w:rsidRDefault="00A9033E" w:rsidP="00A9033E">
      <w:pPr>
        <w:pStyle w:val="Plattetekst"/>
      </w:pPr>
    </w:p>
    <w:p w14:paraId="110C55D1" w14:textId="77777777" w:rsidR="008133A4" w:rsidRDefault="008133A4" w:rsidP="00A9033E">
      <w:pPr>
        <w:pStyle w:val="Plattetekst"/>
      </w:pPr>
    </w:p>
    <w:p w14:paraId="568D313D" w14:textId="50CA3ED4" w:rsidR="00AF0962" w:rsidRDefault="008133A4" w:rsidP="008133A4">
      <w:pPr>
        <w:pStyle w:val="Kop3"/>
      </w:pPr>
      <w:r>
        <w:t>Afleiden uit ander scenario</w:t>
      </w:r>
    </w:p>
    <w:p w14:paraId="6EAAEB3C" w14:textId="3ED95056" w:rsidR="002814AB" w:rsidRPr="002814AB" w:rsidRDefault="002814AB" w:rsidP="002814AB">
      <w:pPr>
        <w:pStyle w:val="Plattetekst"/>
      </w:pPr>
      <w:r>
        <w:t xml:space="preserve">Het volgende geldt voor </w:t>
      </w:r>
      <w:r w:rsidR="00456D02">
        <w:t>het gebruik van de methode “Afleiden uit ander scenario”:</w:t>
      </w:r>
    </w:p>
    <w:p w14:paraId="6C00A0C4" w14:textId="08086011" w:rsidR="008133A4" w:rsidRDefault="00456D02" w:rsidP="008133A4">
      <w:pPr>
        <w:pStyle w:val="Plattetekst"/>
        <w:numPr>
          <w:ilvl w:val="0"/>
          <w:numId w:val="39"/>
        </w:numPr>
      </w:pPr>
      <w:r>
        <w:t>De</w:t>
      </w:r>
      <w:r w:rsidR="00BF33ED">
        <w:t xml:space="preserve"> stijghoogtelijn </w:t>
      </w:r>
      <w:r>
        <w:t>waarop</w:t>
      </w:r>
      <w:r w:rsidR="00BF33ED">
        <w:t xml:space="preserve"> </w:t>
      </w:r>
      <w:r>
        <w:t>de methode toegepast wordt</w:t>
      </w:r>
      <w:r w:rsidR="00BF33ED">
        <w:t xml:space="preserve"> </w:t>
      </w:r>
      <w:r>
        <w:t>kan</w:t>
      </w:r>
      <w:r w:rsidR="00BF33ED">
        <w:t xml:space="preserve"> slechts aan één referentielijn toegekend worden. </w:t>
      </w:r>
    </w:p>
    <w:p w14:paraId="15F50862" w14:textId="4D45C2ED" w:rsidR="00456D02" w:rsidRDefault="007F6D7C" w:rsidP="008133A4">
      <w:pPr>
        <w:pStyle w:val="Plattetekst"/>
        <w:numPr>
          <w:ilvl w:val="0"/>
          <w:numId w:val="39"/>
        </w:numPr>
      </w:pPr>
      <w:r>
        <w:t xml:space="preserve">De stijghoogte kan alleen gebaseerd worden op een voorgaande stage. Het is niet mogelijk een </w:t>
      </w:r>
      <w:r w:rsidR="00EC6E41">
        <w:t>stage op te geven die na de betreffende stage komt.</w:t>
      </w:r>
    </w:p>
    <w:p w14:paraId="4705041E" w14:textId="4D07485A" w:rsidR="00356C48" w:rsidRPr="008133A4" w:rsidRDefault="00356C48" w:rsidP="008133A4">
      <w:pPr>
        <w:pStyle w:val="Plattetekst"/>
        <w:numPr>
          <w:ilvl w:val="0"/>
          <w:numId w:val="39"/>
        </w:numPr>
      </w:pPr>
      <w:r>
        <w:t>De</w:t>
      </w:r>
      <w:r w:rsidR="00473342">
        <w:t xml:space="preserve"> stijghoogte waarop deze methode wordt toegepast kan niet toegekend worden aan een referentielijn </w:t>
      </w:r>
      <w:r w:rsidR="0059284F">
        <w:t xml:space="preserve">die is geschematiseerd op basis van een watervoerende (tussen) laag. </w:t>
      </w:r>
    </w:p>
    <w:p w14:paraId="24EA052A" w14:textId="77777777" w:rsidR="00A9033E" w:rsidRDefault="00A9033E" w:rsidP="00A9033E">
      <w:pPr>
        <w:pStyle w:val="Plattetekst"/>
      </w:pPr>
    </w:p>
    <w:p w14:paraId="0CCE96BA" w14:textId="65365B30" w:rsidR="009B5800" w:rsidRDefault="009B5800" w:rsidP="00A9033E">
      <w:pPr>
        <w:pStyle w:val="Plattetekst"/>
      </w:pPr>
      <w:r>
        <w:t>Technische details</w:t>
      </w:r>
    </w:p>
    <w:p w14:paraId="13C6946A" w14:textId="080C82FB" w:rsidR="009B5800" w:rsidRPr="00A9033E" w:rsidRDefault="009B5800" w:rsidP="009B5800">
      <w:pPr>
        <w:pStyle w:val="Plattetekst"/>
        <w:numPr>
          <w:ilvl w:val="0"/>
          <w:numId w:val="40"/>
        </w:numPr>
      </w:pPr>
      <w:r>
        <w:t>De resulterende lijn wordt vereenvoudigd</w:t>
      </w:r>
      <w:r w:rsidR="00646F29">
        <w:t>. Punten die binnen een tolerantie van 0,01 m vallen worden verwijderd. Dit voorkomt een</w:t>
      </w:r>
      <w:r w:rsidR="0082005A">
        <w:t xml:space="preserve"> stijghoogtelijn met onnodig veel punten.</w:t>
      </w:r>
    </w:p>
    <w:p w14:paraId="6AD59EE1" w14:textId="77777777" w:rsidR="00A9033E" w:rsidRDefault="00A9033E" w:rsidP="00A72998">
      <w:pPr>
        <w:pStyle w:val="Plattetekst"/>
      </w:pPr>
    </w:p>
    <w:p w14:paraId="380330CD" w14:textId="77777777" w:rsidR="00AF0962" w:rsidRDefault="00AF0962" w:rsidP="00AF0962">
      <w:pPr>
        <w:pStyle w:val="Kop2"/>
      </w:pPr>
      <w:bookmarkStart w:id="67" w:name="_Toc194568251"/>
      <w:r>
        <w:lastRenderedPageBreak/>
        <w:t>F</w:t>
      </w:r>
      <w:commentRangeStart w:id="68"/>
      <w:r>
        <w:t>reatische lijn</w:t>
      </w:r>
      <w:commentRangeEnd w:id="68"/>
      <w:r>
        <w:rPr>
          <w:rStyle w:val="Verwijzingopmerking"/>
          <w:rFonts w:eastAsiaTheme="minorHAnsi" w:cs="Verdana"/>
          <w:b w:val="0"/>
          <w:bCs w:val="0"/>
          <w:color w:val="221E1F"/>
        </w:rPr>
        <w:commentReference w:id="68"/>
      </w:r>
      <w:bookmarkEnd w:id="67"/>
    </w:p>
    <w:p w14:paraId="6D73F5B9" w14:textId="77777777" w:rsidR="00AF0962" w:rsidRDefault="00AF0962" w:rsidP="00AF0962">
      <w:pPr>
        <w:pStyle w:val="Kop3"/>
      </w:pPr>
      <w:r>
        <w:t>Open water</w:t>
      </w:r>
    </w:p>
    <w:p w14:paraId="14A69E77" w14:textId="77777777" w:rsidR="00AF0962" w:rsidRDefault="00AF0962" w:rsidP="00AF0962">
      <w:pPr>
        <w:pStyle w:val="Plattetekst"/>
        <w:rPr>
          <w:b/>
          <w:bCs/>
        </w:rPr>
      </w:pPr>
      <w:commentRangeStart w:id="69"/>
      <w:r>
        <w:rPr>
          <w:b/>
          <w:bCs/>
        </w:rPr>
        <w:t>Snijpunt waterstand met buitentalud</w:t>
      </w:r>
      <w:commentRangeEnd w:id="69"/>
      <w:r>
        <w:rPr>
          <w:rStyle w:val="Verwijzingopmerking"/>
        </w:rPr>
        <w:commentReference w:id="69"/>
      </w:r>
    </w:p>
    <w:p w14:paraId="5719F034" w14:textId="77777777" w:rsidR="00AF0962" w:rsidRDefault="00AF0962" w:rsidP="00AF0962">
      <w:pPr>
        <w:pStyle w:val="Plattetekst"/>
        <w:numPr>
          <w:ilvl w:val="0"/>
          <w:numId w:val="35"/>
        </w:numPr>
      </w:pPr>
      <w:r>
        <w:t xml:space="preserve">Om te zorgen dat het wateroppervlak aan de buitenwaartse zijde horizontaal verloopt bepaalt de tool het snijpunt van de waterstand met het buitentalud. Als dit snijpunt aanwezig is dan wordt deze toegevoegd aan de freatische lijn. De tool zoekt naar dit snijpunt vanaf “Kruin buitentalud” in de buitenwaartse richting. Op deze manier wordt het meest binnenwaartse snijpunt gehanteerd. Wanneer er meerdere snijpunten zijn, bijvoorbeeld met een hooggelegen voorland, worden deze snijpunten genegeerd. Als waterstand wordt het peil gehanteerd zoals opgegeven bij het karakteristieke punt “Maaiveld buitenwaarts”. </w:t>
      </w:r>
      <w:r w:rsidRPr="00D914EA">
        <w:rPr>
          <w:color w:val="FF0000"/>
        </w:rPr>
        <w:t>Een aandachtpunt is het definiëren van de freatische lijn bij de karakteristieke punten buitenwaarts van de buitenkruinlijn, bijvoorbeeld de buitenberm of buitenteen. Als bij deze punten een andere hoogte voor de freatische lijn is gedefinieerd dan bij “Maaiveld buitenwaarts”, en het snijpunt met het buitentalud ligt binnenwaarts van dit punt, dan resulteert dit in een niet-horizontaal wateroppervlak. Het wordt daarom aanbevolen om geen hoogte voor de freatische lijn bij deze punten te definiëren.</w:t>
      </w:r>
    </w:p>
    <w:p w14:paraId="1920E4D8" w14:textId="77777777" w:rsidR="00AF0962" w:rsidRDefault="00AF0962" w:rsidP="00AF0962">
      <w:pPr>
        <w:pStyle w:val="Plattetekst"/>
        <w:numPr>
          <w:ilvl w:val="0"/>
          <w:numId w:val="35"/>
        </w:numPr>
      </w:pPr>
      <w:r>
        <w:t>Als het maaiveld bij “</w:t>
      </w:r>
      <w:commentRangeStart w:id="70"/>
      <w:r>
        <w:t>Kruin buitentalud</w:t>
      </w:r>
      <w:commentRangeEnd w:id="70"/>
      <w:r>
        <w:rPr>
          <w:rStyle w:val="Verwijzingopmerking"/>
        </w:rPr>
        <w:commentReference w:id="70"/>
      </w:r>
      <w:r>
        <w:t>” en buitenwaarts hiervan lager is gelegen van de waterstand dan wordt er geen snijpunt gevonden. In dit geval worden de opgegeven freatische lijn zonder snijpunt toegepast. Dit resulteert mogelijk in een niet-horizontaal wateroppervlak.</w:t>
      </w:r>
    </w:p>
    <w:p w14:paraId="1DF7DFCE" w14:textId="77777777" w:rsidR="00AF0962" w:rsidRDefault="00AF0962" w:rsidP="00AF0962">
      <w:pPr>
        <w:pStyle w:val="Plattetekst"/>
      </w:pPr>
    </w:p>
    <w:p w14:paraId="49519131" w14:textId="77777777" w:rsidR="00AF0962" w:rsidRDefault="00AF0962" w:rsidP="00AF0962">
      <w:pPr>
        <w:pStyle w:val="Plattetekst"/>
        <w:rPr>
          <w:b/>
          <w:bCs/>
        </w:rPr>
      </w:pPr>
      <w:r>
        <w:rPr>
          <w:b/>
          <w:bCs/>
        </w:rPr>
        <w:t>Snijpunt waterstand binnenwaarts</w:t>
      </w:r>
    </w:p>
    <w:p w14:paraId="593BD6D9" w14:textId="77777777" w:rsidR="00AF0962" w:rsidRPr="00BD3BB7" w:rsidRDefault="00AF0962" w:rsidP="00AF0962">
      <w:pPr>
        <w:pStyle w:val="Plattetekst"/>
        <w:numPr>
          <w:ilvl w:val="0"/>
          <w:numId w:val="37"/>
        </w:numPr>
        <w:rPr>
          <w:b/>
          <w:bCs/>
        </w:rPr>
      </w:pPr>
      <w:r>
        <w:t>Om te zorgen dat een eventueel vrij wateroppervlak aan de binnenwaartse zijde horizontaal verloopt kijkt de tool of er een snijpunt te vinden is tussen de binnenwaartse waterstand en het maaiveld. Voor de waterstand wordt de freatische lijn bij het karakteristieke punt “Maaiveld binnenwaarts” gehanteerd. De tool zoekt naar dit snijpunt vanaf “Maaiveld binnenwaarts” tot “Kruin binnentalud” in de buitenwaartse richting. Op deze manier wordt het meest binnenwaartse snijpunt gehanteerd. Wanneer er meerdere snijpunten zijn, worden deze snijpunten genegeerd.</w:t>
      </w:r>
    </w:p>
    <w:p w14:paraId="67AE18B3" w14:textId="77777777" w:rsidR="00AF0962" w:rsidRDefault="00AF0962" w:rsidP="00AF0962">
      <w:pPr>
        <w:pStyle w:val="Plattetekst"/>
      </w:pPr>
    </w:p>
    <w:p w14:paraId="1CF66B03" w14:textId="77777777" w:rsidR="00AF0962" w:rsidRDefault="00AF0962" w:rsidP="00AF0962">
      <w:pPr>
        <w:pStyle w:val="Plattetekst"/>
        <w:rPr>
          <w:b/>
          <w:bCs/>
        </w:rPr>
      </w:pPr>
      <w:r>
        <w:rPr>
          <w:b/>
          <w:bCs/>
        </w:rPr>
        <w:t>Freatische lijn in de teensloot</w:t>
      </w:r>
    </w:p>
    <w:p w14:paraId="34741FB7" w14:textId="77777777" w:rsidR="00AF0962" w:rsidRPr="00F453FF" w:rsidRDefault="00AF0962" w:rsidP="00AF0962">
      <w:pPr>
        <w:pStyle w:val="Plattetekst"/>
        <w:numPr>
          <w:ilvl w:val="0"/>
          <w:numId w:val="37"/>
        </w:numPr>
      </w:pPr>
      <w:r>
        <w:t>Tussen de karakteristieke punten</w:t>
      </w:r>
    </w:p>
    <w:p w14:paraId="65F19036" w14:textId="77777777" w:rsidR="00AF0962" w:rsidRDefault="00AF0962" w:rsidP="00AF0962">
      <w:pPr>
        <w:pStyle w:val="Plattetekst"/>
      </w:pPr>
    </w:p>
    <w:p w14:paraId="7F36548F" w14:textId="77777777" w:rsidR="00AF0962" w:rsidRPr="009E6533" w:rsidRDefault="00AF0962" w:rsidP="00AF0962">
      <w:pPr>
        <w:pStyle w:val="Plattetekst"/>
        <w:keepNext/>
        <w:rPr>
          <w:b/>
          <w:bCs/>
          <w:color w:val="046444"/>
        </w:rPr>
      </w:pPr>
      <w:r>
        <w:t xml:space="preserve"> </w:t>
      </w:r>
      <w:r w:rsidRPr="009E6533">
        <w:rPr>
          <w:b/>
          <w:bCs/>
          <w:color w:val="046444"/>
        </w:rPr>
        <w:t>Aandachtspunt:</w:t>
      </w:r>
    </w:p>
    <w:p w14:paraId="6256F632" w14:textId="77777777" w:rsidR="00AF0962" w:rsidRPr="00C24838" w:rsidRDefault="00AF0962" w:rsidP="00AF0962">
      <w:pPr>
        <w:pStyle w:val="Plattetekst"/>
        <w:keepNext/>
      </w:pPr>
      <w:commentRangeStart w:id="71"/>
      <w:r>
        <w:rPr>
          <w:noProof/>
        </w:rPr>
        <mc:AlternateContent>
          <mc:Choice Requires="wps">
            <w:drawing>
              <wp:inline distT="0" distB="0" distL="0" distR="0" wp14:anchorId="4614F4CC" wp14:editId="2D0000AA">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4614F4CC" id="_x0000_s1032"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71AJw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" fillcolor="#046444 [3213]">
                <v:fill opacity="19532f"/>
                <v:textbox style="mso-fit-shape-to-text:t">
                  <w:txbxContent>
                    <w:p w14:paraId="765F105A" w14:textId="77777777" w:rsidR="00AF0962" w:rsidRPr="007E157D" w:rsidRDefault="00AF0962" w:rsidP="00AF0962">
                      <w:r>
                        <w:t>Het wordt aanbevolen om de freatische lijn NIET te definiëren bij de karakteristieke punten tussen de buitenkruinlijn en maaiveld buitenwaarts. Het hanteren van een ander freatisch peil bij deze punten kan leiden tot een niet-horizontaal wateroppervlak.</w:t>
                      </w:r>
                    </w:p>
                  </w:txbxContent>
                </v:textbox>
                <w10:anchorlock/>
              </v:shape>
            </w:pict>
          </mc:Fallback>
        </mc:AlternateContent>
      </w:r>
      <w:commentRangeEnd w:id="71"/>
      <w:r>
        <w:rPr>
          <w:rStyle w:val="Verwijzingopmerking"/>
        </w:rPr>
        <w:commentReference w:id="71"/>
      </w:r>
    </w:p>
    <w:p w14:paraId="3D2FCCEE" w14:textId="77777777" w:rsidR="00AF0962" w:rsidRDefault="00AF0962" w:rsidP="00AF0962">
      <w:pPr>
        <w:pStyle w:val="Plattetekst"/>
      </w:pPr>
    </w:p>
    <w:p w14:paraId="6DD5AE75" w14:textId="77777777" w:rsidR="00AF0962" w:rsidRPr="00A9033E" w:rsidRDefault="00AF0962" w:rsidP="00AF0962">
      <w:pPr>
        <w:pStyle w:val="Kop3"/>
      </w:pPr>
      <w:r w:rsidRPr="00A9033E">
        <w:t>Minimale offset met maaiveld</w:t>
      </w:r>
    </w:p>
    <w:p w14:paraId="3992C334" w14:textId="77777777" w:rsidR="00AF0962" w:rsidRDefault="00AF0962" w:rsidP="00AF0962">
      <w:pPr>
        <w:pStyle w:val="Plattetekst"/>
        <w:numPr>
          <w:ilvl w:val="0"/>
          <w:numId w:val="35"/>
        </w:numPr>
      </w:pPr>
      <w:r>
        <w:t xml:space="preserve">Het is mogelijk om voor de freatische lijn een minimale offset (afstand) tot het maaiveld te hanteren. Deze correctie wordt toegepast tussen de twee opgegeven karakteristieke punten. Een uitzondering hierop is vrij wateroppervlak. Hier wordt de correctie niet toegepast. Dit </w:t>
      </w:r>
    </w:p>
    <w:p w14:paraId="4E576FBE" w14:textId="77777777" w:rsidR="00AF0962" w:rsidRDefault="00AF0962" w:rsidP="00AF0962">
      <w:pPr>
        <w:pStyle w:val="Plattetekst"/>
        <w:numPr>
          <w:ilvl w:val="0"/>
          <w:numId w:val="35"/>
        </w:numPr>
      </w:pPr>
      <w:r>
        <w:t>Aanbevelen om als offset nul te gebruiken. Wanneer een correctie (</w:t>
      </w:r>
      <w:proofErr w:type="spellStart"/>
      <w:r>
        <w:t>a.g.v.</w:t>
      </w:r>
      <w:proofErr w:type="spellEnd"/>
      <w:r>
        <w:t xml:space="preserve"> de offset) namelijk van toepassing is bij de grenzen van correctiezones (wat vaak zo is, bv. bij teensloot en snijpunten van waterstand met profiel) dan treden er sprongen op. Goede controle van een logische freatische lijn is nodig bij gebruik van een offset. Actie is om een extra punt te bepalen op de freatische lijn (snijpunt met offset lijn) en die toe te voegen aan de freatische lijn en te hanteren als grens voor de correctiezone. Indien geen snijpunt dan ‘</w:t>
      </w:r>
      <w:proofErr w:type="spellStart"/>
      <w:r>
        <w:t>nearest</w:t>
      </w:r>
      <w:proofErr w:type="spellEnd"/>
      <w:r>
        <w:t>’.</w:t>
      </w:r>
    </w:p>
    <w:p w14:paraId="0B669B4D" w14:textId="77777777" w:rsidR="00AF0962" w:rsidRDefault="00AF0962" w:rsidP="00AF0962">
      <w:pPr>
        <w:pStyle w:val="Plattetekst"/>
      </w:pPr>
    </w:p>
    <w:p w14:paraId="7A609330" w14:textId="77777777" w:rsidR="00AF0962" w:rsidRDefault="00AF0962" w:rsidP="00AF0962">
      <w:pPr>
        <w:pStyle w:val="Plattetekst"/>
        <w:rPr>
          <w:b/>
          <w:bCs/>
        </w:rPr>
      </w:pPr>
      <w:r>
        <w:rPr>
          <w:b/>
          <w:bCs/>
        </w:rPr>
        <w:t>Voorbeelden</w:t>
      </w:r>
    </w:p>
    <w:p w14:paraId="65FB9DCF" w14:textId="77777777" w:rsidR="00AF0962" w:rsidRPr="0019697A" w:rsidRDefault="00AF0962" w:rsidP="00AF0962">
      <w:pPr>
        <w:pStyle w:val="Plattetekst"/>
        <w:numPr>
          <w:ilvl w:val="0"/>
          <w:numId w:val="36"/>
        </w:numPr>
        <w:rPr>
          <w:b/>
          <w:bCs/>
        </w:rPr>
      </w:pPr>
      <w:r>
        <w:t>Val na hoogwater: Gebruik van een grote offset i.c.m. het maximeren van de freatische lijn in het dijklichaam.</w:t>
      </w:r>
    </w:p>
    <w:p w14:paraId="00E1F455" w14:textId="77777777" w:rsidR="00AF0962" w:rsidRPr="00EC7CEC" w:rsidRDefault="00AF0962" w:rsidP="00AF0962">
      <w:pPr>
        <w:pStyle w:val="Plattetekst"/>
      </w:pPr>
    </w:p>
    <w:p w14:paraId="77670418" w14:textId="77777777" w:rsidR="00AF0962" w:rsidRDefault="00AF0962" w:rsidP="00AF0962">
      <w:pPr>
        <w:pStyle w:val="Plattetekst"/>
      </w:pPr>
    </w:p>
    <w:p w14:paraId="79D96F24" w14:textId="1164D450" w:rsidR="00D7267E" w:rsidRDefault="002C743E" w:rsidP="00A9033E">
      <w:pPr>
        <w:pStyle w:val="Kop2"/>
      </w:pPr>
      <w:r>
        <w:t>Referentielijn</w:t>
      </w:r>
    </w:p>
    <w:p w14:paraId="6FE10FB1" w14:textId="695F3A1C" w:rsidR="007737BF" w:rsidRDefault="008A071C" w:rsidP="00A72998">
      <w:pPr>
        <w:pStyle w:val="Plattetekst"/>
        <w:rPr>
          <w:b/>
          <w:bCs/>
        </w:rPr>
      </w:pPr>
      <w:r>
        <w:rPr>
          <w:b/>
          <w:bCs/>
        </w:rPr>
        <w:t>Aanduiding</w:t>
      </w:r>
      <w:r w:rsidR="00E855A6">
        <w:rPr>
          <w:b/>
          <w:bCs/>
        </w:rPr>
        <w:t xml:space="preserve"> w</w:t>
      </w:r>
      <w:commentRangeStart w:id="72"/>
      <w:r w:rsidR="008A35DE">
        <w:rPr>
          <w:b/>
          <w:bCs/>
        </w:rPr>
        <w:t>atervoerende laag</w:t>
      </w:r>
      <w:commentRangeEnd w:id="72"/>
      <w:r w:rsidR="007D5B77">
        <w:rPr>
          <w:rStyle w:val="Verwijzingopmerking"/>
        </w:rPr>
        <w:commentReference w:id="72"/>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3"/>
      <w:r>
        <w:rPr>
          <w:b/>
          <w:bCs/>
        </w:rPr>
        <w:t>Toelichting bepalen onderkant/bovenkant grondlaag</w:t>
      </w:r>
      <w:commentRangeEnd w:id="73"/>
      <w:r w:rsidR="00C00C37">
        <w:rPr>
          <w:rStyle w:val="Verwijzingopmerking"/>
        </w:rPr>
        <w:commentReference w:id="73"/>
      </w:r>
    </w:p>
    <w:p w14:paraId="085D9F52" w14:textId="77777777" w:rsidR="0032059D" w:rsidRDefault="0032059D" w:rsidP="00086A3B">
      <w:pPr>
        <w:pStyle w:val="Plattetekst"/>
      </w:pPr>
    </w:p>
    <w:p w14:paraId="4EA837B1" w14:textId="49252A0B" w:rsidR="00C73EA1" w:rsidRDefault="008A071C" w:rsidP="00086A3B">
      <w:pPr>
        <w:pStyle w:val="Plattetekst"/>
        <w:rPr>
          <w:b/>
          <w:bCs/>
        </w:rPr>
      </w:pPr>
      <w:proofErr w:type="spellStart"/>
      <w:r>
        <w:rPr>
          <w:b/>
          <w:bCs/>
        </w:rPr>
        <w:t>Metthode</w:t>
      </w:r>
      <w:proofErr w:type="spellEnd"/>
      <w:r>
        <w:rPr>
          <w:b/>
          <w:bCs/>
        </w:rPr>
        <w:t xml:space="preserve"> “</w:t>
      </w:r>
      <w:r w:rsidR="00C10960">
        <w:rPr>
          <w:b/>
          <w:bCs/>
        </w:rPr>
        <w:t>Indringingslengte</w:t>
      </w:r>
      <w:r>
        <w:rPr>
          <w:b/>
          <w:bCs/>
        </w:rPr>
        <w:t>”</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 xml:space="preserve">watervoerende tussenlagen zijn gebaseerd op basis van de </w:t>
      </w:r>
      <w:proofErr w:type="spellStart"/>
      <w:r w:rsidR="00BE053B">
        <w:t>watervoerendheid</w:t>
      </w:r>
      <w:proofErr w:type="spellEnd"/>
      <w:r w:rsidR="00BE053B">
        <w:t>,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4"/>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4"/>
      <w:r w:rsidR="00962B8E">
        <w:rPr>
          <w:rStyle w:val="Verwijzingopmerking"/>
        </w:rPr>
        <w:commentReference w:id="74"/>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6608ABB0" w14:textId="1FEB8089" w:rsidR="008A071C" w:rsidRDefault="008A071C" w:rsidP="00086A3B">
      <w:pPr>
        <w:pStyle w:val="Plattetekst"/>
        <w:rPr>
          <w:b/>
          <w:bCs/>
        </w:rPr>
      </w:pPr>
      <w:r>
        <w:rPr>
          <w:b/>
          <w:bCs/>
        </w:rPr>
        <w:t>Methode “Watervoerende (tussen)laag</w:t>
      </w:r>
      <w:r w:rsidR="00D40629">
        <w:rPr>
          <w:b/>
          <w:bCs/>
        </w:rPr>
        <w:t>”</w:t>
      </w:r>
    </w:p>
    <w:p w14:paraId="1D60C22B" w14:textId="281681B0" w:rsidR="00063374" w:rsidRDefault="00FE491B" w:rsidP="00063374">
      <w:pPr>
        <w:pStyle w:val="Plattetekst"/>
        <w:numPr>
          <w:ilvl w:val="0"/>
          <w:numId w:val="41"/>
        </w:numPr>
      </w:pPr>
      <w:r>
        <w:t xml:space="preserve">Een waterspanningsscenario moet methodes hebben voor watervoerende lagen wanneer deze aanwezig zijn in de bodemopbouw waarop het scenario van toepassing is. Bij aanwezigheid van één watervoerende laag </w:t>
      </w:r>
      <w:r w:rsidR="008A57A2">
        <w:t xml:space="preserve">dient er een methode te zijn </w:t>
      </w:r>
      <w:r w:rsidR="00063374">
        <w:t>voor de diepere zandlaag. Wanneer er twee of meer watervoerende lagen zijn dan moet er ook een methode voor tussenzandlagen opgegeven worden.</w:t>
      </w:r>
    </w:p>
    <w:p w14:paraId="094A5204" w14:textId="77777777" w:rsidR="008A071C" w:rsidRDefault="008A071C" w:rsidP="00086A3B">
      <w:pPr>
        <w:pStyle w:val="Plattetekst"/>
      </w:pPr>
    </w:p>
    <w:p w14:paraId="72762522" w14:textId="20883F75" w:rsidR="00086A3B" w:rsidRDefault="00086A3B" w:rsidP="00086A3B">
      <w:pPr>
        <w:pStyle w:val="Kop2"/>
      </w:pPr>
      <w:bookmarkStart w:id="75" w:name="_Ref194063286"/>
      <w:bookmarkStart w:id="76" w:name="_Toc194568252"/>
      <w:r>
        <w:t>State points</w:t>
      </w:r>
      <w:bookmarkEnd w:id="75"/>
      <w:bookmarkEnd w:id="76"/>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7" w:name="_Toc194568457"/>
      <w:r>
        <w:lastRenderedPageBreak/>
        <w:t>Bijlage</w:t>
      </w:r>
      <w:bookmarkEnd w:id="77"/>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24" w:author="Daniël Kentrop" w:date="2025-05-19T14:55:00Z" w:initials="DK">
    <w:p w14:paraId="0FDAC2CF" w14:textId="77777777" w:rsidR="001A744D" w:rsidRDefault="001A744D" w:rsidP="001A744D">
      <w:pPr>
        <w:pStyle w:val="Tekstopmerking"/>
      </w:pPr>
      <w:r>
        <w:rPr>
          <w:rStyle w:val="Verwijzingopmerking"/>
        </w:rPr>
        <w:annotationRef/>
      </w:r>
      <w:r>
        <w:t>Updaten als de conda env al bestaat toelichten</w:t>
      </w:r>
    </w:p>
  </w:comment>
  <w:comment w:id="37" w:author="Daniël Kentrop" w:date="2025-04-03T15:08:00Z" w:initials="DK">
    <w:p w14:paraId="1BB5ED05" w14:textId="628C7128" w:rsidR="006E0F83" w:rsidRDefault="006E0F83" w:rsidP="006E0F83">
      <w:pPr>
        <w:pStyle w:val="Tekstopmerking"/>
      </w:pPr>
      <w:r>
        <w:rPr>
          <w:rStyle w:val="Verwijzingopmerking"/>
        </w:rPr>
        <w:annotationRef/>
      </w:r>
      <w:r>
        <w:t>Dit veranderd later</w:t>
      </w:r>
    </w:p>
  </w:comment>
  <w:comment w:id="40"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7"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8"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1"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8" w:author="Daniël Kentrop" w:date="2025-04-03T11:12:00Z" w:initials="DK">
    <w:p w14:paraId="74264954" w14:textId="77777777" w:rsidR="00AF0962" w:rsidRDefault="00AF0962" w:rsidP="00AF0962">
      <w:pPr>
        <w:pStyle w:val="Tekstopmerking"/>
      </w:pPr>
      <w:r>
        <w:rPr>
          <w:rStyle w:val="Verwijzingopmerking"/>
        </w:rPr>
        <w:annotationRef/>
      </w:r>
      <w:r>
        <w:t>Aantekeningen waterspanningen: later uit te werken tot heldere documentatie</w:t>
      </w:r>
    </w:p>
  </w:comment>
  <w:comment w:id="69" w:author="Daniël Kentrop" w:date="2025-04-08T09:59:00Z" w:initials="DK">
    <w:p w14:paraId="7BD817F8" w14:textId="77777777" w:rsidR="00AF0962" w:rsidRDefault="00AF0962" w:rsidP="00AF0962">
      <w:pPr>
        <w:pStyle w:val="Tekstopmerking"/>
      </w:pPr>
      <w:r>
        <w:rPr>
          <w:rStyle w:val="Verwijzingopmerking"/>
        </w:rPr>
        <w:annotationRef/>
      </w:r>
      <w:r>
        <w:t>Plaatje?</w:t>
      </w:r>
    </w:p>
  </w:comment>
  <w:comment w:id="70" w:author="Daniël Kentrop" w:date="2025-04-25T09:25:00Z" w:initials="DK">
    <w:p w14:paraId="2C1C7A0F" w14:textId="77777777" w:rsidR="00AF0962" w:rsidRDefault="00AF0962" w:rsidP="00AF0962">
      <w:pPr>
        <w:pStyle w:val="Tekstopmerking"/>
      </w:pPr>
      <w:r>
        <w:rPr>
          <w:rStyle w:val="Verwijzingopmerking"/>
        </w:rPr>
        <w:annotationRef/>
      </w:r>
      <w:r>
        <w:t>Consistent namen voor karakteristieke punten gebruiken</w:t>
      </w:r>
    </w:p>
  </w:comment>
  <w:comment w:id="71" w:author="Daniël Kentrop" w:date="2025-04-08T11:32:00Z" w:initials="DK">
    <w:p w14:paraId="5B8359C1" w14:textId="77777777" w:rsidR="00AF0962" w:rsidRDefault="00AF0962" w:rsidP="00AF0962">
      <w:pPr>
        <w:pStyle w:val="Tekstopmerking"/>
      </w:pPr>
      <w:r>
        <w:rPr>
          <w:rStyle w:val="Verwijzingopmerking"/>
        </w:rPr>
        <w:annotationRef/>
      </w:r>
      <w:r>
        <w:t>Aanpassen, want tussenliggende punten gaan verwijderd worden</w:t>
      </w:r>
    </w:p>
  </w:comment>
  <w:comment w:id="72"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3"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4"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0FDAC2CF" w15:done="0"/>
  <w15:commentEx w15:paraId="1BB5ED05" w15:done="0"/>
  <w15:commentEx w15:paraId="6F9A98AA" w15:done="0"/>
  <w15:commentEx w15:paraId="7579155E" w15:done="0"/>
  <w15:commentEx w15:paraId="3CA56E56" w15:done="0"/>
  <w15:commentEx w15:paraId="652A7797" w15:done="0"/>
  <w15:commentEx w15:paraId="74264954" w15:done="0"/>
  <w15:commentEx w15:paraId="7BD817F8" w15:done="0"/>
  <w15:commentEx w15:paraId="2C1C7A0F" w15:done="0"/>
  <w15:commentEx w15:paraId="5B8359C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1F447C73" w16cex:dateUtc="2025-05-19T12:55: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0FDAC2CF" w16cid:durableId="1F447C73"/>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4264954" w16cid:durableId="107AE035"/>
  <w16cid:commentId w16cid:paraId="7BD817F8" w16cid:durableId="3BE423EE"/>
  <w16cid:commentId w16cid:paraId="2C1C7A0F" w16cid:durableId="62963A8F"/>
  <w16cid:commentId w16cid:paraId="5B8359C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1280B" w14:textId="77777777" w:rsidR="004C13EE" w:rsidRDefault="004C13EE" w:rsidP="009E4B94">
      <w:pPr>
        <w:spacing w:line="240" w:lineRule="auto"/>
      </w:pPr>
      <w:r>
        <w:separator/>
      </w:r>
    </w:p>
  </w:endnote>
  <w:endnote w:type="continuationSeparator" w:id="0">
    <w:p w14:paraId="69A7C58B" w14:textId="77777777" w:rsidR="004C13EE" w:rsidRDefault="004C13EE" w:rsidP="009E4B94">
      <w:pPr>
        <w:spacing w:line="240" w:lineRule="auto"/>
      </w:pPr>
      <w:r>
        <w:continuationSeparator/>
      </w:r>
    </w:p>
  </w:endnote>
  <w:endnote w:type="continuationNotice" w:id="1">
    <w:p w14:paraId="485392DB" w14:textId="77777777" w:rsidR="004C13EE" w:rsidRDefault="004C13E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613230F4"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063374">
      <w:rPr>
        <w:noProof/>
        <w:szCs w:val="18"/>
      </w:rPr>
      <w:t>17</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0BFBF" w14:textId="77777777" w:rsidR="004C13EE" w:rsidRDefault="004C13EE" w:rsidP="009E4B94">
      <w:pPr>
        <w:spacing w:line="240" w:lineRule="auto"/>
      </w:pPr>
      <w:r>
        <w:separator/>
      </w:r>
    </w:p>
  </w:footnote>
  <w:footnote w:type="continuationSeparator" w:id="0">
    <w:p w14:paraId="3DF8128D" w14:textId="77777777" w:rsidR="004C13EE" w:rsidRDefault="004C13EE" w:rsidP="009E4B94">
      <w:pPr>
        <w:spacing w:line="240" w:lineRule="auto"/>
      </w:pPr>
      <w:r>
        <w:continuationSeparator/>
      </w:r>
    </w:p>
  </w:footnote>
  <w:footnote w:type="continuationNotice" w:id="1">
    <w:p w14:paraId="3A4124F0" w14:textId="77777777" w:rsidR="004C13EE" w:rsidRDefault="004C13E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0D81C3F"/>
    <w:multiLevelType w:val="hybridMultilevel"/>
    <w:tmpl w:val="F4D8CB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7"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9"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1"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2"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A625871"/>
    <w:multiLevelType w:val="hybridMultilevel"/>
    <w:tmpl w:val="090690F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7A72E90"/>
    <w:multiLevelType w:val="hybridMultilevel"/>
    <w:tmpl w:val="677A0DA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8"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9"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10"/>
  </w:num>
  <w:num w:numId="2" w16cid:durableId="67921913">
    <w:abstractNumId w:val="8"/>
  </w:num>
  <w:num w:numId="3" w16cid:durableId="1054156441">
    <w:abstractNumId w:val="39"/>
  </w:num>
  <w:num w:numId="4" w16cid:durableId="678048396">
    <w:abstractNumId w:val="3"/>
  </w:num>
  <w:num w:numId="5" w16cid:durableId="1916931975">
    <w:abstractNumId w:val="2"/>
  </w:num>
  <w:num w:numId="6" w16cid:durableId="1561330539">
    <w:abstractNumId w:val="38"/>
  </w:num>
  <w:num w:numId="7" w16cid:durableId="460655411">
    <w:abstractNumId w:val="1"/>
  </w:num>
  <w:num w:numId="8" w16cid:durableId="1412463412">
    <w:abstractNumId w:val="0"/>
  </w:num>
  <w:num w:numId="9" w16cid:durableId="1842043718">
    <w:abstractNumId w:val="21"/>
  </w:num>
  <w:num w:numId="10" w16cid:durableId="1564681893">
    <w:abstractNumId w:val="6"/>
  </w:num>
  <w:num w:numId="11" w16cid:durableId="659969353">
    <w:abstractNumId w:val="37"/>
  </w:num>
  <w:num w:numId="12" w16cid:durableId="1240991367">
    <w:abstractNumId w:val="19"/>
  </w:num>
  <w:num w:numId="13" w16cid:durableId="425073958">
    <w:abstractNumId w:val="4"/>
  </w:num>
  <w:num w:numId="14" w16cid:durableId="269313726">
    <w:abstractNumId w:val="24"/>
  </w:num>
  <w:num w:numId="15" w16cid:durableId="957219616">
    <w:abstractNumId w:val="12"/>
  </w:num>
  <w:num w:numId="16" w16cid:durableId="476073670">
    <w:abstractNumId w:val="25"/>
  </w:num>
  <w:num w:numId="17" w16cid:durableId="750155687">
    <w:abstractNumId w:val="9"/>
  </w:num>
  <w:num w:numId="18" w16cid:durableId="1675762147">
    <w:abstractNumId w:val="28"/>
  </w:num>
  <w:num w:numId="19" w16cid:durableId="593321197">
    <w:abstractNumId w:val="22"/>
  </w:num>
  <w:num w:numId="20" w16cid:durableId="514610936">
    <w:abstractNumId w:val="18"/>
  </w:num>
  <w:num w:numId="21" w16cid:durableId="1882472501">
    <w:abstractNumId w:val="34"/>
  </w:num>
  <w:num w:numId="22" w16cid:durableId="2096438135">
    <w:abstractNumId w:val="27"/>
  </w:num>
  <w:num w:numId="23" w16cid:durableId="1786264760">
    <w:abstractNumId w:val="17"/>
  </w:num>
  <w:num w:numId="24" w16cid:durableId="556433189">
    <w:abstractNumId w:val="7"/>
  </w:num>
  <w:num w:numId="25" w16cid:durableId="539056946">
    <w:abstractNumId w:val="26"/>
  </w:num>
  <w:num w:numId="26" w16cid:durableId="1705666564">
    <w:abstractNumId w:val="15"/>
  </w:num>
  <w:num w:numId="27" w16cid:durableId="159389218">
    <w:abstractNumId w:val="20"/>
  </w:num>
  <w:num w:numId="28" w16cid:durableId="1762868892">
    <w:abstractNumId w:val="13"/>
  </w:num>
  <w:num w:numId="29" w16cid:durableId="1836415801">
    <w:abstractNumId w:val="11"/>
  </w:num>
  <w:num w:numId="30" w16cid:durableId="1853445743">
    <w:abstractNumId w:val="14"/>
  </w:num>
  <w:num w:numId="31" w16cid:durableId="2146118984">
    <w:abstractNumId w:val="35"/>
  </w:num>
  <w:num w:numId="32" w16cid:durableId="287783541">
    <w:abstractNumId w:val="33"/>
  </w:num>
  <w:num w:numId="33" w16cid:durableId="793208847">
    <w:abstractNumId w:val="30"/>
  </w:num>
  <w:num w:numId="34" w16cid:durableId="950823618">
    <w:abstractNumId w:val="36"/>
  </w:num>
  <w:num w:numId="35" w16cid:durableId="1727296855">
    <w:abstractNumId w:val="32"/>
  </w:num>
  <w:num w:numId="36" w16cid:durableId="452141620">
    <w:abstractNumId w:val="29"/>
  </w:num>
  <w:num w:numId="37" w16cid:durableId="573319985">
    <w:abstractNumId w:val="16"/>
  </w:num>
  <w:num w:numId="38" w16cid:durableId="1993289745">
    <w:abstractNumId w:val="10"/>
  </w:num>
  <w:num w:numId="39" w16cid:durableId="1286884381">
    <w:abstractNumId w:val="23"/>
  </w:num>
  <w:num w:numId="40" w16cid:durableId="1867138305">
    <w:abstractNumId w:val="31"/>
  </w:num>
  <w:num w:numId="41" w16cid:durableId="1401319641">
    <w:abstractNumId w:val="5"/>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374"/>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9C"/>
    <w:rsid w:val="000F38FD"/>
    <w:rsid w:val="000F3B8D"/>
    <w:rsid w:val="000F3D26"/>
    <w:rsid w:val="000F4877"/>
    <w:rsid w:val="000F4EB3"/>
    <w:rsid w:val="000F5084"/>
    <w:rsid w:val="000F5295"/>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1C9"/>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6EF2"/>
    <w:rsid w:val="001A702A"/>
    <w:rsid w:val="001A730F"/>
    <w:rsid w:val="001A744D"/>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4AB"/>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C48"/>
    <w:rsid w:val="00356DF1"/>
    <w:rsid w:val="003570D5"/>
    <w:rsid w:val="0035776A"/>
    <w:rsid w:val="00357C1B"/>
    <w:rsid w:val="003610E0"/>
    <w:rsid w:val="003617F2"/>
    <w:rsid w:val="003623BE"/>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181A"/>
    <w:rsid w:val="003F2297"/>
    <w:rsid w:val="003F2898"/>
    <w:rsid w:val="003F3635"/>
    <w:rsid w:val="003F3C63"/>
    <w:rsid w:val="003F421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6D02"/>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342"/>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3EE"/>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036"/>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8F6"/>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15D"/>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84F"/>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6F29"/>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3FD0"/>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2BC"/>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4FEB"/>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6966"/>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D7C"/>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3A4"/>
    <w:rsid w:val="008138BC"/>
    <w:rsid w:val="00813C0D"/>
    <w:rsid w:val="008142F3"/>
    <w:rsid w:val="00814F30"/>
    <w:rsid w:val="008156EA"/>
    <w:rsid w:val="00815779"/>
    <w:rsid w:val="00815F0B"/>
    <w:rsid w:val="00815F6A"/>
    <w:rsid w:val="00820041"/>
    <w:rsid w:val="0082005A"/>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84"/>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71C"/>
    <w:rsid w:val="008A0F73"/>
    <w:rsid w:val="008A1431"/>
    <w:rsid w:val="008A167E"/>
    <w:rsid w:val="008A1BE0"/>
    <w:rsid w:val="008A2A43"/>
    <w:rsid w:val="008A2EC9"/>
    <w:rsid w:val="008A3311"/>
    <w:rsid w:val="008A34D7"/>
    <w:rsid w:val="008A35DE"/>
    <w:rsid w:val="008A3645"/>
    <w:rsid w:val="008A3C63"/>
    <w:rsid w:val="008A57A2"/>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C50"/>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38B8"/>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D63"/>
    <w:rsid w:val="009B3EBF"/>
    <w:rsid w:val="009B475F"/>
    <w:rsid w:val="009B4AF9"/>
    <w:rsid w:val="009B4D88"/>
    <w:rsid w:val="009B50BA"/>
    <w:rsid w:val="009B55A4"/>
    <w:rsid w:val="009B5800"/>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541"/>
    <w:rsid w:val="009E19DD"/>
    <w:rsid w:val="009E1D3A"/>
    <w:rsid w:val="009E1E84"/>
    <w:rsid w:val="009E1E8C"/>
    <w:rsid w:val="009E29A8"/>
    <w:rsid w:val="009E2CE2"/>
    <w:rsid w:val="009E30DF"/>
    <w:rsid w:val="009E3B4D"/>
    <w:rsid w:val="009E439D"/>
    <w:rsid w:val="009E4B94"/>
    <w:rsid w:val="009E4F33"/>
    <w:rsid w:val="009E5F92"/>
    <w:rsid w:val="009E64A9"/>
    <w:rsid w:val="009E6998"/>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0E17"/>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33E"/>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0962"/>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B68"/>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3ED"/>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892"/>
    <w:rsid w:val="00C51A13"/>
    <w:rsid w:val="00C51EC8"/>
    <w:rsid w:val="00C524F5"/>
    <w:rsid w:val="00C52658"/>
    <w:rsid w:val="00C5295A"/>
    <w:rsid w:val="00C5376C"/>
    <w:rsid w:val="00C542FE"/>
    <w:rsid w:val="00C54D12"/>
    <w:rsid w:val="00C54F82"/>
    <w:rsid w:val="00C556BC"/>
    <w:rsid w:val="00C55EE3"/>
    <w:rsid w:val="00C56342"/>
    <w:rsid w:val="00C567F7"/>
    <w:rsid w:val="00C600AA"/>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4DEC"/>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467"/>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1EED"/>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3BA6"/>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629"/>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C87"/>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1A77"/>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4EA"/>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3E4"/>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4DD"/>
    <w:rsid w:val="00E10938"/>
    <w:rsid w:val="00E1137A"/>
    <w:rsid w:val="00E121EF"/>
    <w:rsid w:val="00E12809"/>
    <w:rsid w:val="00E13016"/>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78A"/>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5A6"/>
    <w:rsid w:val="00E8579A"/>
    <w:rsid w:val="00E85BB7"/>
    <w:rsid w:val="00E86410"/>
    <w:rsid w:val="00E86603"/>
    <w:rsid w:val="00E8664A"/>
    <w:rsid w:val="00E866B2"/>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9F8"/>
    <w:rsid w:val="00EC2D1F"/>
    <w:rsid w:val="00EC303D"/>
    <w:rsid w:val="00EC30DF"/>
    <w:rsid w:val="00EC31FF"/>
    <w:rsid w:val="00EC3265"/>
    <w:rsid w:val="00EC3E3A"/>
    <w:rsid w:val="00EC5194"/>
    <w:rsid w:val="00EC6147"/>
    <w:rsid w:val="00EC63A2"/>
    <w:rsid w:val="00EC6555"/>
    <w:rsid w:val="00EC6571"/>
    <w:rsid w:val="00EC6909"/>
    <w:rsid w:val="00EC6E41"/>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6DA"/>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91B"/>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A6EF2"/>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0BC7"/>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3315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3FD0"/>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21260"/>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5123</TotalTime>
  <Pages>19</Pages>
  <Words>6626</Words>
  <Characters>36449</Characters>
  <Application>Microsoft Office Word</Application>
  <DocSecurity>0</DocSecurity>
  <Lines>303</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42990</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717</cp:revision>
  <cp:lastPrinted>2024-01-19T15:53:00Z</cp:lastPrinted>
  <dcterms:created xsi:type="dcterms:W3CDTF">2023-12-13T16:12:00Z</dcterms:created>
  <dcterms:modified xsi:type="dcterms:W3CDTF">2025-05-22T13:56:00Z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