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Report: Calibration and Characterization of an NTC Thermistor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Course Code &amp; Name:</w:t>
      </w:r>
      <w:r w:rsidDel="00000000" w:rsidR="00000000" w:rsidRPr="00000000">
        <w:rPr>
          <w:rtl w:val="0"/>
        </w:rPr>
        <w:t xml:space="preserve">PH 3039 - Data Acquisition Laboratory </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Student Name:</w:t>
      </w:r>
      <w:r w:rsidDel="00000000" w:rsidR="00000000" w:rsidRPr="00000000">
        <w:rPr>
          <w:rtl w:val="0"/>
        </w:rPr>
        <w:t xml:space="preserve"> H.G. Kenura R.Gunarathna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Student ID:</w:t>
      </w:r>
      <w:r w:rsidDel="00000000" w:rsidR="00000000" w:rsidRPr="00000000">
        <w:rPr>
          <w:rtl w:val="0"/>
        </w:rPr>
        <w:t xml:space="preserve"> s17239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b w:val="1"/>
          <w:bCs w:val="1"/>
          <w:rtl w:val="0"/>
        </w:rPr>
        <w:t xml:space="preserve">Lab Partner(s):</w:t>
      </w:r>
      <w:r w:rsidDel="00000000" w:rsidR="00000000" w:rsidRPr="00000000">
        <w:rPr>
          <w:rtl w:val="0"/>
        </w:rPr>
        <w:t xml:space="preserve"> Teshan, Kaveesha</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0" w:before="0" w:lineRule="auto"/>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pPr>
        <w:spacing w:after="100" w:before="0" w:line="250" w:lineRule="auto"/>
        <w:jc w:val="both"/>
      </w:pPr>
      <w:r>
        <w:rPr>
          <w:sz w:val="18"/>
          <w:szCs w:val="18"/>
        </w:rPr>
        <w:t xml:space="preserve">In this experiment, we calibrated an NTC thermistor using a DS18B20 digital thermometer (±0.5 °C) as the reference, in a stirred water bath from 0 to 98 °C. The NTC was read with a 3.3 kΩ voltage divider and a 10-bit Arduino ADC. We collected one heating and two cooling runs (5321 samples) and fitted a cubic polynomial and the physical NTC β-model. The cubic gives an RMSE of 0.54 °C with a </w:t>
      </w:r>
      <w:r>
        <w:rPr>
          <w:b w:val="1"/>
          <w:bCs w:val="1"/>
          <w:sz w:val="18"/>
          <w:szCs w:val="18"/>
        </w:rPr>
        <w:t xml:space="preserve">±1.06 °C</w:t>
      </w:r>
      <w:r>
        <w:rPr>
          <w:sz w:val="18"/>
          <w:szCs w:val="18"/>
        </w:rPr>
        <w:t xml:space="preserve"> 95 % prediction band. The β-model gives β = 3965.3 K and an RMSE of 0.60 °C with only two parameters. The heating/cooling gap (1.15 °C at most) is smaller than the reference error, so we do not claim real hysteresis. The time constant is 3.5 s when heating and 7.7 s when cooling. The combined uncertainty is about ±0.5 °C, mostly from the reference.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&amp; Theoretical Background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40" w:before="0" w:lineRule="auto"/>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pPr>
        <w:spacing w:after="70" w:before="0" w:line="250" w:lineRule="auto"/>
        <w:jc w:val="both"/>
      </w:pPr>
      <w:r>
        <w:rPr>
          <w:sz w:val="18"/>
          <w:szCs w:val="18"/>
        </w:rPr>
        <w:t xml:space="preserve">The resistance of an NTC falls steeply and not linearly with temperature, and β is different for every part. So the thermistor must be calibrated against a reference. Here the reference is a </w:t>
      </w:r>
      <w:r>
        <w:rPr>
          <w:b w:val="1"/>
          <w:bCs w:val="1"/>
          <w:sz w:val="18"/>
          <w:szCs w:val="18"/>
        </w:rPr>
        <w:t xml:space="preserve">DS18B20</w:t>
      </w:r>
      <w:r>
        <w:rPr>
          <w:sz w:val="18"/>
          <w:szCs w:val="18"/>
        </w:rPr>
        <w:t xml:space="preserve"> digital thermometer, which works from −55 to +125 °C and is accurate to ±0.5 °C. The ADC uses </w:t>
      </w:r>
      <w:r>
        <w:rPr>
          <w:i w:val="1"/>
          <w:iCs w:val="1"/>
          <w:sz w:val="18"/>
          <w:szCs w:val="18"/>
        </w:rPr>
        <w:t xml:space="preserve">V</w:t>
      </w:r>
      <w:r>
        <w:rPr>
          <w:sz w:val="18"/>
          <w:szCs w:val="18"/>
          <w:vertAlign w:val="subscript"/>
        </w:rPr>
        <w:t xml:space="preserve">cc</w:t>
      </w:r>
      <w:r>
        <w:rPr>
          <w:sz w:val="18"/>
          <w:szCs w:val="18"/>
        </w:rPr>
        <w:t xml:space="preserve"> as its reference, so supply drift cancels. With the Arrhenius law </w:t>
      </w:r>
      <m:oMath>
        <m:r>
          <w:rPr>
            <w:rFonts w:ascii="Cambria Math" w:hAnsi="Cambria Math"/>
            <w:sz w:val="18"/>
            <w:szCs w:val="18"/>
          </w:rPr>
          <m:t xml:space="preserve">R</m:t>
        </m:r>
        <m:r>
          <w:rPr>
            <w:rFonts w:ascii="Cambria Math" w:hAnsi="Cambria Math"/>
            <w:sz w:val="18"/>
            <w:szCs w:val="18"/>
          </w:rPr>
          <m:t xml:space="preserve">(</m:t>
        </m:r>
        <m:r>
          <w:rPr>
            <w:rFonts w:ascii="Cambria Math" w:hAnsi="Cambria Math"/>
            <w:sz w:val="18"/>
            <w:szCs w:val="18"/>
          </w:rPr>
          <m:t xml:space="preserve">T</m:t>
        </m:r>
        <m:r>
          <w:rPr>
            <w:rFonts w:ascii="Cambria Math" w:hAnsi="Cambria Math"/>
            <w:sz w:val="18"/>
            <w:szCs w:val="18"/>
          </w:rPr>
          <m:t xml:space="preserve">)</m:t>
        </m:r>
        <m:r>
          <w:rPr>
            <w:rFonts w:ascii="Cambria Math" w:hAnsi="Cambria Math"/>
            <w:sz w:val="18"/>
            <w:szCs w:val="18"/>
          </w:rPr>
          <m:t xml:space="preserve">=</m:t>
        </m:r>
        <m:sSub>
          <m:e>
            <m:r>
              <w:rPr>
                <w:rFonts w:ascii="Cambria Math" w:hAnsi="Cambria Math"/>
                <w:sz w:val="18"/>
                <w:szCs w:val="18"/>
              </w:rPr>
              <m:t xml:space="preserve">R</m:t>
            </m:r>
          </m:e>
          <m:sub>
            <m:r>
              <w:rPr>
                <w:rFonts w:ascii="Cambria Math" w:hAnsi="Cambria Math"/>
                <w:sz w:val="18"/>
                <w:szCs w:val="18"/>
              </w:rPr>
              <m:t xml:space="preserve">0</m:t>
            </m:r>
          </m:sub>
        </m:sSub>
        <m:r>
          <m:rPr>
            <m:sty m:val="p"/>
          </m:rPr>
          <w:rPr>
            <w:rFonts w:ascii="Cambria Math" w:hAnsi="Cambria Math"/>
            <w:sz w:val="18"/>
            <w:szCs w:val="18"/>
          </w:rPr>
          <m:t xml:space="preserve">exp</m:t>
        </m:r>
        <m:r>
          <w:rPr>
            <w:rFonts w:ascii="Cambria Math" w:hAnsi="Cambria Math"/>
            <w:sz w:val="18"/>
            <w:szCs w:val="18"/>
          </w:rPr>
          <m:t xml:space="preserve">[</m:t>
        </m:r>
        <m:r>
          <w:rPr>
            <w:rFonts w:ascii="Cambria Math" w:hAnsi="Cambria Math"/>
            <w:sz w:val="18"/>
            <w:szCs w:val="18"/>
          </w:rPr>
          <m:t xml:space="preserve">β</m:t>
        </m:r>
        <m:r>
          <w:rPr>
            <w:rFonts w:ascii="Cambria Math" w:hAnsi="Cambria Math"/>
            <w:sz w:val="18"/>
            <w:szCs w:val="18"/>
          </w:rPr>
          <m:t xml:space="preserve">(</m:t>
        </m:r>
        <m:r>
          <w:rPr>
            <w:rFonts w:ascii="Cambria Math" w:hAnsi="Cambria Math"/>
            <w:sz w:val="18"/>
            <w:szCs w:val="18"/>
          </w:rPr>
          <m:t xml:space="preserve">1</m:t>
        </m:r>
        <m:r>
          <w:rPr>
            <w:rFonts w:ascii="Cambria Math" w:hAnsi="Cambria Math"/>
            <w:sz w:val="18"/>
            <w:szCs w:val="18"/>
          </w:rPr>
          <m:t xml:space="preserve">/</m:t>
        </m:r>
        <m:r>
          <w:rPr>
            <w:rFonts w:ascii="Cambria Math" w:hAnsi="Cambria Math"/>
            <w:sz w:val="18"/>
            <w:szCs w:val="18"/>
          </w:rPr>
          <m:t xml:space="preserve">T</m:t>
        </m:r>
        <m:r>
          <w:rPr>
            <w:rFonts w:ascii="Cambria Math" w:hAnsi="Cambria Math"/>
            <w:sz w:val="18"/>
            <w:szCs w:val="18"/>
          </w:rPr>
          <m:t xml:space="preserve">-</m:t>
        </m:r>
        <m:r>
          <w:rPr>
            <w:rFonts w:ascii="Cambria Math" w:hAnsi="Cambria Math"/>
            <w:sz w:val="18"/>
            <w:szCs w:val="18"/>
          </w:rPr>
          <m:t xml:space="preserve">1</m:t>
        </m:r>
        <m:r>
          <w:rPr>
            <w:rFonts w:ascii="Cambria Math" w:hAnsi="Cambria Math"/>
            <w:sz w:val="18"/>
            <w:szCs w:val="18"/>
          </w:rPr>
          <m:t xml:space="preserve">/</m:t>
        </m:r>
        <m:sSub>
          <m:e>
            <m:r>
              <w:rPr>
                <w:rFonts w:ascii="Cambria Math" w:hAnsi="Cambria Math"/>
                <w:sz w:val="18"/>
                <w:szCs w:val="18"/>
              </w:rPr>
              <m:t xml:space="preserve">T</m:t>
            </m:r>
          </m:e>
          <m:sub>
            <m:r>
              <w:rPr>
                <w:rFonts w:ascii="Cambria Math" w:hAnsi="Cambria Math"/>
                <w:sz w:val="18"/>
                <w:szCs w:val="18"/>
              </w:rPr>
              <m:t xml:space="preserve">0</m:t>
            </m:r>
          </m:sub>
        </m:sSub>
        <m:r>
          <w:rPr>
            <w:rFonts w:ascii="Cambria Math" w:hAnsi="Cambria Math"/>
            <w:sz w:val="18"/>
            <w:szCs w:val="18"/>
          </w:rPr>
          <m:t xml:space="preserve">)</m:t>
        </m:r>
        <m:r>
          <w:rPr>
            <w:rFonts w:ascii="Cambria Math" w:hAnsi="Cambria Math"/>
            <w:sz w:val="18"/>
            <w:szCs w:val="18"/>
          </w:rPr>
          <m:t xml:space="preserve">]</m:t>
        </m:r>
      </m:oMath>
      <w:r>
        <w:rPr>
          <w:sz w:val="18"/>
          <w:szCs w:val="18"/>
        </w:rPr>
        <w:t xml:space="preserve">, this gives:</w:t>
      </w:r>
    </w:p>
    <w:p>
      <w:pPr>
        <w:spacing w:before="20" w:after="50" w:line="250" w:lineRule="auto"/>
        <w:jc w:val="center"/>
      </w:pPr>
      <m:oMathPara>
        <m:oMathParaPr>
          <m:jc m:val="center"/>
        </m:oMathParaPr>
        <m:oMath>
          <m:r>
            <w:rPr>
              <w:rFonts w:ascii="Cambria Math" w:hAnsi="Cambria Math"/>
              <w:sz w:val="19"/>
              <w:szCs w:val="19"/>
            </w:rPr>
            <m:t xml:space="preserve">r</m:t>
          </m:r>
          <m:r>
            <w:rPr>
              <w:rFonts w:ascii="Cambria Math" w:hAnsi="Cambria Math"/>
              <w:sz w:val="19"/>
              <w:szCs w:val="19"/>
            </w:rPr>
            <m:t xml:space="preserve">≡</m:t>
          </m:r>
          <m:sSub>
            <m:e>
              <m:r>
                <w:rPr>
                  <w:rFonts w:ascii="Cambria Math" w:hAnsi="Cambria Math"/>
                  <w:sz w:val="19"/>
                  <w:szCs w:val="19"/>
                </w:rPr>
                <m:t xml:space="preserve">R</m:t>
              </m:r>
            </m:e>
            <m:sub>
              <m:r>
                <m:rPr>
                  <m:sty m:val="p"/>
                </m:rPr>
                <w:rPr>
                  <w:rFonts w:ascii="Cambria Math" w:hAnsi="Cambria Math"/>
                  <w:sz w:val="19"/>
                  <w:szCs w:val="19"/>
                </w:rPr>
                <m:t xml:space="preserve">NTC</m:t>
              </m:r>
            </m:sub>
          </m:sSub>
          <m:r>
            <w:rPr>
              <w:rFonts w:ascii="Cambria Math" w:hAnsi="Cambria Math"/>
              <w:sz w:val="19"/>
              <w:szCs w:val="19"/>
            </w:rPr>
            <m:t xml:space="preserve">/</m:t>
          </m:r>
          <m:sSub>
            <m:e>
              <m:r>
                <w:rPr>
                  <w:rFonts w:ascii="Cambria Math" w:hAnsi="Cambria Math"/>
                  <w:sz w:val="19"/>
                  <w:szCs w:val="19"/>
                </w:rPr>
                <m:t xml:space="preserve">R</m:t>
              </m:r>
            </m:e>
            <m:sub>
              <m:r>
                <m:rPr>
                  <m:sty m:val="p"/>
                </m:rPr>
                <w:rPr>
                  <w:rFonts w:ascii="Cambria Math" w:hAnsi="Cambria Math"/>
                  <w:sz w:val="19"/>
                  <w:szCs w:val="19"/>
                </w:rPr>
                <m:t xml:space="preserve">f</m:t>
              </m:r>
            </m:sub>
          </m:sSub>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1023</m:t>
          </m:r>
          <m:r>
            <w:rPr>
              <w:rFonts w:ascii="Cambria Math" w:hAnsi="Cambria Math"/>
              <w:sz w:val="19"/>
              <w:szCs w:val="19"/>
            </w:rPr>
            <m:t xml:space="preserve">-</m:t>
          </m:r>
          <m:r>
            <m:rPr>
              <m:sty m:val="p"/>
            </m:rPr>
            <w:rPr>
              <w:rFonts w:ascii="Cambria Math" w:hAnsi="Cambria Math"/>
              <w:sz w:val="19"/>
              <w:szCs w:val="19"/>
            </w:rPr>
            <m:t xml:space="preserve">ADC</m:t>
          </m:r>
          <m:r>
            <w:rPr>
              <w:rFonts w:ascii="Cambria Math" w:hAnsi="Cambria Math"/>
              <w:sz w:val="19"/>
              <w:szCs w:val="19"/>
            </w:rPr>
            <m:t xml:space="preserve">)</m:t>
          </m:r>
          <m:r>
            <w:rPr>
              <w:rFonts w:ascii="Cambria Math" w:hAnsi="Cambria Math"/>
              <w:sz w:val="19"/>
              <w:szCs w:val="19"/>
            </w:rPr>
            <m:t xml:space="preserve">/</m:t>
          </m:r>
          <m:r>
            <m:rPr>
              <m:sty m:val="p"/>
            </m:rPr>
            <w:rPr>
              <w:rFonts w:ascii="Cambria Math" w:hAnsi="Cambria Math"/>
              <w:sz w:val="19"/>
              <w:szCs w:val="19"/>
            </w:rPr>
            <m:t xml:space="preserve">ADC</m:t>
          </m:r>
          <m:r>
            <w:rPr>
              <w:rFonts w:ascii="Cambria Math" w:hAnsi="Cambria Math"/>
              <w:sz w:val="19"/>
              <w:szCs w:val="19"/>
            </w:rPr>
            <m:t xml:space="preserve">, </m:t>
          </m:r>
          <m:r>
            <w:rPr>
              <w:rFonts w:ascii="Cambria Math" w:hAnsi="Cambria Math"/>
              <w:sz w:val="19"/>
              <w:szCs w:val="19"/>
            </w:rPr>
            <m:t xml:space="preserve"> </m:t>
          </m:r>
          <m:r>
            <m:rPr>
              <m:sty m:val="p"/>
            </m:rPr>
            <w:rPr>
              <w:rFonts w:ascii="Cambria Math" w:hAnsi="Cambria Math"/>
              <w:sz w:val="19"/>
              <w:szCs w:val="19"/>
            </w:rPr>
            <m:t xml:space="preserve">ln</m:t>
          </m:r>
          <m:r>
            <w:rPr>
              <w:rFonts w:ascii="Cambria Math" w:hAnsi="Cambria Math"/>
              <w:sz w:val="19"/>
              <w:szCs w:val="19"/>
            </w:rPr>
            <m:t xml:space="preserve">r</m:t>
          </m:r>
          <m:r>
            <w:rPr>
              <w:rFonts w:ascii="Cambria Math" w:hAnsi="Cambria Math"/>
              <w:sz w:val="19"/>
              <w:szCs w:val="19"/>
            </w:rPr>
            <m:t xml:space="preserve">=</m:t>
          </m:r>
          <m:r>
            <w:rPr>
              <w:rFonts w:ascii="Cambria Math" w:hAnsi="Cambria Math"/>
              <w:sz w:val="19"/>
              <w:szCs w:val="19"/>
            </w:rPr>
            <m:t xml:space="preserve">β</m:t>
          </m:r>
          <m:r>
            <w:rPr>
              <w:rFonts w:ascii="Cambria Math" w:hAnsi="Cambria Math"/>
              <w:sz w:val="19"/>
              <w:szCs w:val="19"/>
            </w:rPr>
            <m:t xml:space="preserve">/</m:t>
          </m:r>
          <m:r>
            <w:rPr>
              <w:rFonts w:ascii="Cambria Math" w:hAnsi="Cambria Math"/>
              <w:sz w:val="19"/>
              <w:szCs w:val="19"/>
            </w:rPr>
            <m:t xml:space="preserve">T</m:t>
          </m:r>
          <m:r>
            <w:rPr>
              <w:rFonts w:ascii="Cambria Math" w:hAnsi="Cambria Math"/>
              <w:sz w:val="19"/>
              <w:szCs w:val="19"/>
            </w:rPr>
            <m:t xml:space="preserve">+</m:t>
          </m:r>
          <m:r>
            <w:rPr>
              <w:rFonts w:ascii="Cambria Math" w:hAnsi="Cambria Math"/>
              <w:sz w:val="19"/>
              <w:szCs w:val="19"/>
            </w:rPr>
            <m:t xml:space="preserve">c</m:t>
          </m:r>
          <m:r>
            <w:rPr>
              <w:rFonts w:ascii="Cambria Math" w:hAnsi="Cambria Math"/>
              <w:sz w:val="19"/>
              <w:szCs w:val="19"/>
            </w:rPr>
            <m:t xml:space="preserve">, </m:t>
          </m:r>
          <m:r>
            <w:rPr>
              <w:rFonts w:ascii="Cambria Math" w:hAnsi="Cambria Math"/>
              <w:sz w:val="19"/>
              <w:szCs w:val="19"/>
            </w:rPr>
            <m:t xml:space="preserve"> </m:t>
          </m:r>
          <m:r>
            <w:rPr>
              <w:rFonts w:ascii="Cambria Math" w:hAnsi="Cambria Math"/>
              <w:sz w:val="19"/>
              <w:szCs w:val="19"/>
            </w:rPr>
            <m:t xml:space="preserve">T</m:t>
          </m:r>
          <m:r>
            <w:rPr>
              <w:rFonts w:ascii="Cambria Math" w:hAnsi="Cambria Math"/>
              <w:sz w:val="19"/>
              <w:szCs w:val="19"/>
            </w:rPr>
            <m:t xml:space="preserve">=</m:t>
          </m:r>
          <m:r>
            <w:rPr>
              <w:rFonts w:ascii="Cambria Math" w:hAnsi="Cambria Math"/>
              <w:sz w:val="19"/>
              <w:szCs w:val="19"/>
            </w:rPr>
            <m:t xml:space="preserve">1</m:t>
          </m:r>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A</m:t>
          </m:r>
          <m:r>
            <m:rPr>
              <m:sty m:val="p"/>
            </m:rPr>
            <w:rPr>
              <w:rFonts w:ascii="Cambria Math" w:hAnsi="Cambria Math"/>
              <w:sz w:val="19"/>
              <w:szCs w:val="19"/>
            </w:rPr>
            <m:t xml:space="preserve">ln</m:t>
          </m:r>
          <m:r>
            <w:rPr>
              <w:rFonts w:ascii="Cambria Math" w:hAnsi="Cambria Math"/>
              <w:sz w:val="19"/>
              <w:szCs w:val="19"/>
            </w:rPr>
            <m:t xml:space="preserve">r</m:t>
          </m:r>
          <m:r>
            <w:rPr>
              <w:rFonts w:ascii="Cambria Math" w:hAnsi="Cambria Math"/>
              <w:sz w:val="19"/>
              <w:szCs w:val="19"/>
            </w:rPr>
            <m:t xml:space="preserve">+</m:t>
          </m:r>
          <m:r>
            <w:rPr>
              <w:rFonts w:ascii="Cambria Math" w:hAnsi="Cambria Math"/>
              <w:sz w:val="19"/>
              <w:szCs w:val="19"/>
            </w:rPr>
            <m:t xml:space="preserve">B</m:t>
          </m:r>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273.15</m:t>
          </m:r>
          <m:r>
            <w:rPr>
              <w:rFonts w:ascii="Cambria Math" w:hAnsi="Cambria Math"/>
              <w:sz w:val="19"/>
              <w:szCs w:val="19"/>
            </w:rPr>
            <m:t xml:space="preserve"> </m:t>
          </m:r>
          <m:r>
            <w:rPr>
              <w:rFonts w:ascii="Cambria Math" w:hAnsi="Cambria Math"/>
              <w:sz w:val="19"/>
              <w:szCs w:val="19"/>
            </w:rPr>
            <m:t xml:space="preserve">(</m:t>
          </m:r>
          <m:r>
            <w:rPr>
              <w:rFonts w:ascii="Cambria Math" w:hAnsi="Cambria Math"/>
              <w:sz w:val="19"/>
              <w:szCs w:val="19"/>
            </w:rPr>
            <m:t xml:space="preserve">A</m:t>
          </m:r>
          <m:r>
            <w:rPr>
              <w:rFonts w:ascii="Cambria Math" w:hAnsi="Cambria Math"/>
              <w:sz w:val="19"/>
              <w:szCs w:val="19"/>
            </w:rPr>
            <m:t xml:space="preserve">=</m:t>
          </m:r>
          <m:r>
            <w:rPr>
              <w:rFonts w:ascii="Cambria Math" w:hAnsi="Cambria Math"/>
              <w:sz w:val="19"/>
              <w:szCs w:val="19"/>
            </w:rPr>
            <m:t xml:space="preserve">1</m:t>
          </m:r>
          <m:r>
            <w:rPr>
              <w:rFonts w:ascii="Cambria Math" w:hAnsi="Cambria Math"/>
              <w:sz w:val="19"/>
              <w:szCs w:val="19"/>
            </w:rPr>
            <m:t xml:space="preserve">/</m:t>
          </m:r>
          <m:r>
            <w:rPr>
              <w:rFonts w:ascii="Cambria Math" w:hAnsi="Cambria Math"/>
              <w:sz w:val="19"/>
              <w:szCs w:val="19"/>
            </w:rPr>
            <m:t xml:space="preserve">β</m:t>
          </m:r>
          <m:r>
            <w:rPr>
              <w:rFonts w:ascii="Cambria Math" w:hAnsi="Cambria Math"/>
              <w:sz w:val="19"/>
              <w:szCs w:val="19"/>
            </w:rPr>
            <m:t xml:space="preserve">)</m:t>
          </m:r>
        </m:oMath>
      </m:oMathPara>
    </w:p>
    <w:p>
      <w:pPr>
        <w:spacing w:after="70" w:before="0" w:line="250" w:lineRule="auto"/>
        <w:jc w:val="both"/>
      </w:pPr>
      <w:r>
        <w:rPr>
          <w:sz w:val="18"/>
          <w:szCs w:val="18"/>
        </w:rPr>
        <w:t xml:space="preserve">The goals are to calibrate the NTC with a polynomial and with this β-model, check for hysteresis, find the sensitivity and the response time, and estimate the uncertainty.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Experimental Setup &amp; Procedure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40" w:before="0" w:lineRule="auto"/>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Simulations, Apparatus &amp; Materials</w:t>
      </w:r>
    </w:p>
    <w:p>
      <w:pPr>
        <w:spacing w:after="70" w:before="0" w:line="250" w:lineRule="auto"/>
        <w:jc w:val="both"/>
      </w:pPr>
      <w:r>
        <w:rPr>
          <w:sz w:val="18"/>
          <w:szCs w:val="18"/>
        </w:rPr>
        <w:t xml:space="preserve">The circuit is a simple voltage divider with the NTC connected on one side to GND (Figure 1). A 3.3 kΩ resistor keeps the output within the measurable range. (We tried both configurations and got approximately similar readings.) An Arduino Uno reads the divider midpoint on pin A2 and the DS18B20 on pin 2 about every 1.5 s. Both sensors sit close together in a stirred water bath, cooled with ice and heated with a hot plate.</w:t>
      </w:r>
    </w:p>
    <w:p>
      <w:pPr>
        <w:keepNext/>
        <w:spacing w:after="40" w:before="120"/>
        <w:jc w:val="center"/>
      </w:pPr>
      <w:r>
        <w:drawing>
          <wp:inline distT="0" distB="0" distL="0" distR="0">
            <wp:extent cx="2651760" cy="1325880"/>
            <wp:docPr id="101" name="Figure 1"/>
            <wp:cNvGraphicFramePr>
              <a:graphicFrameLocks noChangeAspect="1"/>
            </wp:cNvGraphicFramePr>
            <a:graphic>
              <a:graphicData uri="http://schemas.openxmlformats.org/drawingml/2006/picture">
                <pic:pic>
                  <pic:nvPicPr>
                    <pic:cNvPr id="101" name="circuit.png"/>
                    <pic:cNvPicPr/>
                  </pic:nvPicPr>
                  <pic:blipFill>
                    <a:blip r:embed="rIdImg1"/>
                    <a:stretch>
                      <a:fillRect/>
                    </a:stretch>
                  </pic:blipFill>
                  <pic:spPr>
                    <a:xfrm>
                      <a:off x="0" y="0"/>
                      <a:ext cx="2651760" cy="1325880"/>
                    </a:xfrm>
                    <a:prstGeom prst="rect">
                      <a:avLst/>
                    </a:prstGeom>
                  </pic:spPr>
                </pic:pic>
              </a:graphicData>
            </a:graphic>
          </wp:inline>
        </w:drawing>
      </w:r>
    </w:p>
    <w:p>
      <w:pPr>
        <w:spacing w:after="80" w:before="20" w:line="250" w:lineRule="auto"/>
        <w:jc w:val="center"/>
      </w:pPr>
      <w:r>
        <w:rPr>
          <w:i w:val="1"/>
          <w:iCs w:val="1"/>
          <w:color w:val="4A5568"/>
          <w:sz w:val="16"/>
          <w:szCs w:val="16"/>
        </w:rPr>
        <w:t xml:space="preserve">Figure 1. Voltage-divider circuit and reference sensor.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Experimental Procedure</w:t>
      </w:r>
    </w:p>
    <w:p>
      <w:pPr>
        <w:spacing w:after="30" w:before="0" w:line="250" w:lineRule="auto"/>
        <w:ind w:left="360" w:hanging="360"/>
      </w:pPr>
      <w:r>
        <w:rPr>
          <w:sz w:val="18"/>
          <w:szCs w:val="18"/>
        </w:rPr>
        <w:t xml:space="preserve">1.	We recorded one heating and two cooling runs between 0 and 98 °C. Other runs had a stuck ADC channel and were not used.</w:t>
      </w:r>
    </w:p>
    <w:p>
      <w:pPr>
        <w:spacing w:after="30" w:before="0" w:line="250" w:lineRule="auto"/>
        <w:ind w:left="360" w:hanging="360"/>
      </w:pPr>
      <w:r>
        <w:rPr>
          <w:sz w:val="18"/>
          <w:szCs w:val="18"/>
        </w:rPr>
        <w:t xml:space="preserve">2.	We removed empty rows and outliers (beyond 3σ of a first cubic fit; 7 points, all in cooling), then fitted polynomials of degree 1 to 3 and the β-model.</w:t>
      </w:r>
    </w:p>
    <w:p>
      <w:pPr>
        <w:spacing w:after="30" w:before="0" w:line="250" w:lineRule="auto"/>
        <w:ind w:left="360" w:hanging="360"/>
      </w:pPr>
      <w:r>
        <w:rPr>
          <w:sz w:val="18"/>
          <w:szCs w:val="18"/>
        </w:rPr>
        <w:t xml:space="preserve">3.	For the response time, we moved the NTC again and again between room-temperature water and ice water, and fitted a delayed first-order model to the steps.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Results &amp; Data Analysis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0" w:before="0" w:lineRule="auto"/>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50" w:before="0" w:lineRule="auto"/>
        <w:rPr/>
      </w:pPr>
      <w:r w:rsidDel="00000000" w:rsidR="00000000" w:rsidRPr="00000000">
        <w:rPr>
          <w:rtl w:val="0"/>
        </w:rPr>
        <w:t xml:space="preserve">3.1 Calibration Data Table</w:t>
      </w:r>
    </w:p>
    <w:p>
      <w:pPr>
        <w:spacing w:after="70" w:before="0" w:line="250" w:lineRule="auto"/>
        <w:jc w:val="both"/>
      </w:pPr>
      <w:r>
        <w:rPr>
          <w:sz w:val="18"/>
          <w:szCs w:val="18"/>
        </w:rPr>
        <w:t xml:space="preserve">After cleaning, we had 1078 heating and 4243 cooling samples from 0 to 98 °C. The cubic fit is the best (Table 1). The straight line leaves an S-shaped error of up to about 4 °C. The cubic cuts the RMSE to 0.35 °C for heating and 0.55 °C for cooling, and all its terms are significant (|</w:t>
      </w:r>
      <w:r>
        <w:rPr>
          <w:i w:val="1"/>
          <w:iCs w:val="1"/>
          <w:sz w:val="18"/>
          <w:szCs w:val="18"/>
        </w:rPr>
        <w:t xml:space="preserve">t</w:t>
      </w:r>
      <w:r>
        <w:rPr>
          <w:sz w:val="18"/>
          <w:szCs w:val="18"/>
        </w:rPr>
        <w:t xml:space="preserve">| &gt; 17). The cooling errors are correlated in time (Durbin–Watson 0.02), so the standard errors are slightly too small.</w:t>
      </w:r>
    </w:p>
    <w:p>
      <w:pPr>
        <w:keepNext/>
        <w:spacing w:after="30" w:before="60" w:line="250" w:lineRule="auto"/>
        <w:jc w:val="center"/>
      </w:pPr>
      <w:r>
        <w:rPr>
          <w:i w:val="1"/>
          <w:iCs w:val="1"/>
          <w:color w:val="4A5568"/>
          <w:sz w:val="17"/>
          <w:szCs w:val="17"/>
        </w:rPr>
        <w:t xml:space="preserve">Table 1. Fit errors in °C for heating (H, </w:t>
      </w:r>
      <w:r>
        <w:rPr>
          <w:i w:val="1"/>
          <w:iCs w:val="1"/>
          <w:color w:val="4A5568"/>
          <w:sz w:val="17"/>
          <w:szCs w:val="17"/>
        </w:rPr>
        <w:t xml:space="preserve">N</w:t>
      </w:r>
      <w:r>
        <w:rPr>
          <w:i w:val="1"/>
          <w:iCs w:val="1"/>
          <w:color w:val="4A5568"/>
          <w:sz w:val="17"/>
          <w:szCs w:val="17"/>
        </w:rPr>
        <w:t xml:space="preserve"> = 1078) and cooling (C, </w:t>
      </w:r>
      <w:r>
        <w:rPr>
          <w:i w:val="1"/>
          <w:iCs w:val="1"/>
          <w:color w:val="4A5568"/>
          <w:sz w:val="17"/>
          <w:szCs w:val="17"/>
        </w:rPr>
        <w:t xml:space="preserve">N</w:t>
      </w:r>
      <w:r>
        <w:rPr>
          <w:i w:val="1"/>
          <w:iCs w:val="1"/>
          <w:color w:val="4A5568"/>
          <w:sz w:val="17"/>
          <w:szCs w:val="17"/>
        </w:rPr>
        <w:t xml:space="preserve"> = 4243).</w:t>
      </w:r>
    </w:p>
    <w:tbl>
      <w:tblPr>
        <w:tblW w:w="9100" w:type="dxa"/>
        <w:jc w:val="center"/>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Layout w:type="fixed"/>
        <w:tblCellMar>
          <w:top w:w="15" w:type="dxa"/>
          <w:left w:w="80" w:type="dxa"/>
          <w:bottom w:w="15" w:type="dxa"/>
          <w:right w:w="80" w:type="dxa"/>
        </w:tblCellMar>
      </w:tblPr>
      <w:tblGrid>
        <w:gridCol w:w="1100"/>
        <w:gridCol w:w="1400"/>
        <w:gridCol w:w="1300"/>
        <w:gridCol w:w="1300"/>
        <w:gridCol w:w="1400"/>
        <w:gridCol w:w="1300"/>
        <w:gridCol w:w="1300"/>
      </w:tblGrid>
      <w:tr>
        <w:trPr>
          <w:cantSplit/>
          <w:tblHeader/>
        </w:trPr>
        <w:tc>
          <w:tcPr>
            <w:tcW w:w="1100" w:type="dxa"/>
            <w:shd w:val="clear" w:color="auto" w:fill="EDF2F7"/>
            <w:vAlign w:val="center"/>
          </w:tcPr>
          <w:p>
            <w:pPr>
              <w:spacing w:after="0" w:before="0" w:lineRule="auto"/>
              <w:jc w:val="center"/>
            </w:pPr>
            <w:r>
              <w:rPr>
                <w:b w:val="1"/>
                <w:bCs w:val="1"/>
                <w:sz w:val="16"/>
                <w:szCs w:val="16"/>
              </w:rPr>
              <w:t xml:space="preserve">Degree</w:t>
            </w:r>
          </w:p>
        </w:tc>
        <w:tc>
          <w:tcPr>
            <w:tcW w:w="1400" w:type="dxa"/>
            <w:shd w:val="clear" w:color="auto" w:fill="EDF2F7"/>
            <w:vAlign w:val="center"/>
          </w:tcPr>
          <w:p>
            <w:pPr>
              <w:spacing w:after="0" w:before="0" w:lineRule="auto"/>
              <w:jc w:val="center"/>
            </w:pPr>
            <w:r>
              <w:rPr>
                <w:b w:val="1"/>
                <w:bCs w:val="1"/>
                <w:i w:val="1"/>
                <w:iCs w:val="1"/>
                <w:sz w:val="16"/>
                <w:szCs w:val="16"/>
              </w:rPr>
              <w:t xml:space="preserve">R</w:t>
            </w:r>
            <w:r>
              <w:rPr>
                <w:b w:val="1"/>
                <w:bCs w:val="1"/>
                <w:sz w:val="16"/>
                <w:szCs w:val="16"/>
                <w:vertAlign w:val="superscript"/>
              </w:rPr>
              <w:t xml:space="preserve">2</w:t>
            </w:r>
            <w:r>
              <w:rPr>
                <w:b w:val="1"/>
                <w:bCs w:val="1"/>
                <w:sz w:val="16"/>
                <w:szCs w:val="16"/>
              </w:rPr>
              <w:t xml:space="preserve"> (H)</w:t>
            </w:r>
          </w:p>
        </w:tc>
        <w:tc>
          <w:tcPr>
            <w:tcW w:w="1300" w:type="dxa"/>
            <w:shd w:val="clear" w:color="auto" w:fill="EDF2F7"/>
            <w:vAlign w:val="center"/>
          </w:tcPr>
          <w:p>
            <w:pPr>
              <w:spacing w:after="0" w:before="0" w:lineRule="auto"/>
              <w:jc w:val="center"/>
            </w:pPr>
            <w:r>
              <w:rPr>
                <w:b w:val="1"/>
                <w:bCs w:val="1"/>
                <w:sz w:val="16"/>
                <w:szCs w:val="16"/>
              </w:rPr>
              <w:t xml:space="preserve">RMSE (H)</w:t>
            </w:r>
          </w:p>
        </w:tc>
        <w:tc>
          <w:tcPr>
            <w:tcW w:w="1300" w:type="dxa"/>
            <w:shd w:val="clear" w:color="auto" w:fill="EDF2F7"/>
            <w:vAlign w:val="center"/>
          </w:tcPr>
          <w:p>
            <w:pPr>
              <w:spacing w:after="0" w:before="0" w:lineRule="auto"/>
              <w:jc w:val="center"/>
            </w:pPr>
            <w:r>
              <w:rPr>
                <w:b w:val="1"/>
                <w:bCs w:val="1"/>
                <w:sz w:val="16"/>
                <w:szCs w:val="16"/>
              </w:rPr>
              <w:t xml:space="preserve">Max (H)</w:t>
            </w:r>
          </w:p>
        </w:tc>
        <w:tc>
          <w:tcPr>
            <w:tcW w:w="1400" w:type="dxa"/>
            <w:shd w:val="clear" w:color="auto" w:fill="EDF2F7"/>
            <w:vAlign w:val="center"/>
          </w:tcPr>
          <w:p>
            <w:pPr>
              <w:spacing w:after="0" w:before="0" w:lineRule="auto"/>
              <w:jc w:val="center"/>
            </w:pPr>
            <w:r>
              <w:rPr>
                <w:b w:val="1"/>
                <w:bCs w:val="1"/>
                <w:i w:val="1"/>
                <w:iCs w:val="1"/>
                <w:sz w:val="16"/>
                <w:szCs w:val="16"/>
              </w:rPr>
              <w:t xml:space="preserve">R</w:t>
            </w:r>
            <w:r>
              <w:rPr>
                <w:b w:val="1"/>
                <w:bCs w:val="1"/>
                <w:sz w:val="16"/>
                <w:szCs w:val="16"/>
                <w:vertAlign w:val="superscript"/>
              </w:rPr>
              <w:t xml:space="preserve">2</w:t>
            </w:r>
            <w:r>
              <w:rPr>
                <w:b w:val="1"/>
                <w:bCs w:val="1"/>
                <w:sz w:val="16"/>
                <w:szCs w:val="16"/>
              </w:rPr>
              <w:t xml:space="preserve"> (C)</w:t>
            </w:r>
          </w:p>
        </w:tc>
        <w:tc>
          <w:tcPr>
            <w:tcW w:w="1300" w:type="dxa"/>
            <w:shd w:val="clear" w:color="auto" w:fill="EDF2F7"/>
            <w:vAlign w:val="center"/>
          </w:tcPr>
          <w:p>
            <w:pPr>
              <w:spacing w:after="0" w:before="0" w:lineRule="auto"/>
              <w:jc w:val="center"/>
            </w:pPr>
            <w:r>
              <w:rPr>
                <w:b w:val="1"/>
                <w:bCs w:val="1"/>
                <w:sz w:val="16"/>
                <w:szCs w:val="16"/>
              </w:rPr>
              <w:t xml:space="preserve">RMSE (C)</w:t>
            </w:r>
          </w:p>
        </w:tc>
        <w:tc>
          <w:tcPr>
            <w:tcW w:w="1300" w:type="dxa"/>
            <w:shd w:val="clear" w:color="auto" w:fill="EDF2F7"/>
            <w:vAlign w:val="center"/>
          </w:tcPr>
          <w:p>
            <w:pPr>
              <w:spacing w:after="0" w:before="0" w:lineRule="auto"/>
              <w:jc w:val="center"/>
            </w:pPr>
            <w:r>
              <w:rPr>
                <w:b w:val="1"/>
                <w:bCs w:val="1"/>
                <w:sz w:val="16"/>
                <w:szCs w:val="16"/>
              </w:rPr>
              <w:t xml:space="preserve">Max (C)</w:t>
            </w:r>
          </w:p>
        </w:tc>
      </w:tr>
      <w:tr>
        <w:trPr>
          <w:cantSplit/>
        </w:trPr>
        <w:tc>
          <w:tcPr>
            <w:tcW w:w="1100" w:type="dxa"/>
            <w:vAlign w:val="center"/>
          </w:tcPr>
          <w:p>
            <w:pPr>
              <w:spacing w:after="0" w:before="0" w:lineRule="auto"/>
              <w:jc w:val="center"/>
            </w:pPr>
            <w:r>
              <w:rPr>
                <w:sz w:val="16"/>
                <w:szCs w:val="16"/>
              </w:rPr>
              <w:t xml:space="preserve">1</w:t>
            </w:r>
          </w:p>
        </w:tc>
        <w:tc>
          <w:tcPr>
            <w:tcW w:w="1400" w:type="dxa"/>
            <w:vAlign w:val="center"/>
          </w:tcPr>
          <w:p>
            <w:pPr>
              <w:spacing w:after="0" w:before="0" w:lineRule="auto"/>
              <w:jc w:val="center"/>
            </w:pPr>
            <w:r>
              <w:rPr>
                <w:sz w:val="16"/>
                <w:szCs w:val="16"/>
              </w:rPr>
              <w:t xml:space="preserve">0.99600</w:t>
            </w:r>
          </w:p>
        </w:tc>
        <w:tc>
          <w:tcPr>
            <w:tcW w:w="1300" w:type="dxa"/>
            <w:vAlign w:val="center"/>
          </w:tcPr>
          <w:p>
            <w:pPr>
              <w:spacing w:after="0" w:before="0" w:lineRule="auto"/>
              <w:jc w:val="center"/>
            </w:pPr>
            <w:r>
              <w:rPr>
                <w:sz w:val="16"/>
                <w:szCs w:val="16"/>
              </w:rPr>
              <w:t xml:space="preserve">2.326</w:t>
            </w:r>
          </w:p>
        </w:tc>
        <w:tc>
          <w:tcPr>
            <w:tcW w:w="1300" w:type="dxa"/>
            <w:vAlign w:val="center"/>
          </w:tcPr>
          <w:p>
            <w:pPr>
              <w:spacing w:after="0" w:before="0" w:lineRule="auto"/>
              <w:jc w:val="center"/>
            </w:pPr>
            <w:r>
              <w:rPr>
                <w:sz w:val="16"/>
                <w:szCs w:val="16"/>
              </w:rPr>
              <w:t xml:space="preserve">3.913</w:t>
            </w:r>
          </w:p>
        </w:tc>
        <w:tc>
          <w:tcPr>
            <w:tcW w:w="1400" w:type="dxa"/>
            <w:vAlign w:val="center"/>
          </w:tcPr>
          <w:p>
            <w:pPr>
              <w:spacing w:after="0" w:before="0" w:lineRule="auto"/>
              <w:jc w:val="center"/>
            </w:pPr>
            <w:r>
              <w:rPr>
                <w:sz w:val="16"/>
                <w:szCs w:val="16"/>
              </w:rPr>
              <w:t xml:space="preserve">0.99265</w:t>
            </w:r>
          </w:p>
        </w:tc>
        <w:tc>
          <w:tcPr>
            <w:tcW w:w="1300" w:type="dxa"/>
            <w:vAlign w:val="center"/>
          </w:tcPr>
          <w:p>
            <w:pPr>
              <w:spacing w:after="0" w:before="0" w:lineRule="auto"/>
              <w:jc w:val="center"/>
            </w:pPr>
            <w:r>
              <w:rPr>
                <w:sz w:val="16"/>
                <w:szCs w:val="16"/>
              </w:rPr>
              <w:t xml:space="preserve">1.462</w:t>
            </w:r>
          </w:p>
        </w:tc>
        <w:tc>
          <w:tcPr>
            <w:tcW w:w="1300" w:type="dxa"/>
            <w:vAlign w:val="center"/>
          </w:tcPr>
          <w:p>
            <w:pPr>
              <w:spacing w:after="0" w:before="0" w:lineRule="auto"/>
              <w:jc w:val="center"/>
            </w:pPr>
            <w:r>
              <w:rPr>
                <w:sz w:val="16"/>
                <w:szCs w:val="16"/>
              </w:rPr>
              <w:t xml:space="preserve">4.010</w:t>
            </w:r>
          </w:p>
        </w:tc>
      </w:tr>
      <w:tr>
        <w:trPr>
          <w:cantSplit/>
        </w:trPr>
        <w:tc>
          <w:tcPr>
            <w:tcW w:w="1100" w:type="dxa"/>
            <w:vAlign w:val="center"/>
          </w:tcPr>
          <w:p>
            <w:pPr>
              <w:spacing w:after="0" w:before="0" w:lineRule="auto"/>
              <w:jc w:val="center"/>
            </w:pPr>
            <w:r>
              <w:rPr>
                <w:sz w:val="16"/>
                <w:szCs w:val="16"/>
              </w:rPr>
              <w:t xml:space="preserve">2</w:t>
            </w:r>
          </w:p>
        </w:tc>
        <w:tc>
          <w:tcPr>
            <w:tcW w:w="1400" w:type="dxa"/>
            <w:vAlign w:val="center"/>
          </w:tcPr>
          <w:p>
            <w:pPr>
              <w:spacing w:after="0" w:before="0" w:lineRule="auto"/>
              <w:jc w:val="center"/>
            </w:pPr>
            <w:r>
              <w:rPr>
                <w:sz w:val="16"/>
                <w:szCs w:val="16"/>
              </w:rPr>
              <w:t xml:space="preserve">0.99718</w:t>
            </w:r>
          </w:p>
        </w:tc>
        <w:tc>
          <w:tcPr>
            <w:tcW w:w="1300" w:type="dxa"/>
            <w:vAlign w:val="center"/>
          </w:tcPr>
          <w:p>
            <w:pPr>
              <w:spacing w:after="0" w:before="0" w:lineRule="auto"/>
              <w:jc w:val="center"/>
            </w:pPr>
            <w:r>
              <w:rPr>
                <w:sz w:val="16"/>
                <w:szCs w:val="16"/>
              </w:rPr>
              <w:t xml:space="preserve">1.951</w:t>
            </w:r>
          </w:p>
        </w:tc>
        <w:tc>
          <w:tcPr>
            <w:tcW w:w="1300" w:type="dxa"/>
            <w:vAlign w:val="center"/>
          </w:tcPr>
          <w:p>
            <w:pPr>
              <w:spacing w:after="0" w:before="0" w:lineRule="auto"/>
              <w:jc w:val="center"/>
            </w:pPr>
            <w:r>
              <w:rPr>
                <w:sz w:val="16"/>
                <w:szCs w:val="16"/>
              </w:rPr>
              <w:t xml:space="preserve">4.146</w:t>
            </w:r>
          </w:p>
        </w:tc>
        <w:tc>
          <w:tcPr>
            <w:tcW w:w="1400" w:type="dxa"/>
            <w:vAlign w:val="center"/>
          </w:tcPr>
          <w:p>
            <w:pPr>
              <w:spacing w:after="0" w:before="0" w:lineRule="auto"/>
              <w:jc w:val="center"/>
            </w:pPr>
            <w:r>
              <w:rPr>
                <w:sz w:val="16"/>
                <w:szCs w:val="16"/>
              </w:rPr>
              <w:t xml:space="preserve">0.99882</w:t>
            </w:r>
          </w:p>
        </w:tc>
        <w:tc>
          <w:tcPr>
            <w:tcW w:w="1300" w:type="dxa"/>
            <w:vAlign w:val="center"/>
          </w:tcPr>
          <w:p>
            <w:pPr>
              <w:spacing w:after="0" w:before="0" w:lineRule="auto"/>
              <w:jc w:val="center"/>
            </w:pPr>
            <w:r>
              <w:rPr>
                <w:sz w:val="16"/>
                <w:szCs w:val="16"/>
              </w:rPr>
              <w:t xml:space="preserve">0.586</w:t>
            </w:r>
          </w:p>
        </w:tc>
        <w:tc>
          <w:tcPr>
            <w:tcW w:w="1300" w:type="dxa"/>
            <w:vAlign w:val="center"/>
          </w:tcPr>
          <w:p>
            <w:pPr>
              <w:spacing w:after="0" w:before="0" w:lineRule="auto"/>
              <w:jc w:val="center"/>
            </w:pPr>
            <w:r>
              <w:rPr>
                <w:sz w:val="16"/>
                <w:szCs w:val="16"/>
              </w:rPr>
              <w:t xml:space="preserve">2.752</w:t>
            </w:r>
          </w:p>
        </w:tc>
      </w:tr>
      <w:tr>
        <w:trPr>
          <w:cantSplit/>
        </w:trPr>
        <w:tc>
          <w:tcPr>
            <w:tcW w:w="1100" w:type="dxa"/>
            <w:vAlign w:val="center"/>
          </w:tcPr>
          <w:p>
            <w:pPr>
              <w:spacing w:after="0" w:before="0" w:lineRule="auto"/>
              <w:jc w:val="center"/>
            </w:pPr>
            <w:r>
              <w:rPr>
                <w:b w:val="1"/>
                <w:bCs w:val="1"/>
                <w:sz w:val="16"/>
                <w:szCs w:val="16"/>
              </w:rPr>
              <w:t xml:space="preserve">3</w:t>
            </w:r>
          </w:p>
        </w:tc>
        <w:tc>
          <w:tcPr>
            <w:tcW w:w="1400" w:type="dxa"/>
            <w:vAlign w:val="center"/>
          </w:tcPr>
          <w:p>
            <w:pPr>
              <w:spacing w:after="0" w:before="0" w:lineRule="auto"/>
              <w:jc w:val="center"/>
            </w:pPr>
            <w:r>
              <w:rPr>
                <w:b w:val="1"/>
                <w:bCs w:val="1"/>
                <w:sz w:val="16"/>
                <w:szCs w:val="16"/>
              </w:rPr>
              <w:t xml:space="preserve">0.99991</w:t>
            </w:r>
          </w:p>
        </w:tc>
        <w:tc>
          <w:tcPr>
            <w:tcW w:w="1300" w:type="dxa"/>
            <w:vAlign w:val="center"/>
          </w:tcPr>
          <w:p>
            <w:pPr>
              <w:spacing w:after="0" w:before="0" w:lineRule="auto"/>
              <w:jc w:val="center"/>
            </w:pPr>
            <w:r>
              <w:rPr>
                <w:b w:val="1"/>
                <w:bCs w:val="1"/>
                <w:sz w:val="16"/>
                <w:szCs w:val="16"/>
              </w:rPr>
              <w:t xml:space="preserve">0.345</w:t>
            </w:r>
          </w:p>
        </w:tc>
        <w:tc>
          <w:tcPr>
            <w:tcW w:w="1300" w:type="dxa"/>
            <w:vAlign w:val="center"/>
          </w:tcPr>
          <w:p>
            <w:pPr>
              <w:spacing w:after="0" w:before="0" w:lineRule="auto"/>
              <w:jc w:val="center"/>
            </w:pPr>
            <w:r>
              <w:rPr>
                <w:b w:val="1"/>
                <w:bCs w:val="1"/>
                <w:sz w:val="16"/>
                <w:szCs w:val="16"/>
              </w:rPr>
              <w:t xml:space="preserve">1.459</w:t>
            </w:r>
          </w:p>
        </w:tc>
        <w:tc>
          <w:tcPr>
            <w:tcW w:w="1400" w:type="dxa"/>
            <w:vAlign w:val="center"/>
          </w:tcPr>
          <w:p>
            <w:pPr>
              <w:spacing w:after="0" w:before="0" w:lineRule="auto"/>
              <w:jc w:val="center"/>
            </w:pPr>
            <w:r>
              <w:rPr>
                <w:b w:val="1"/>
                <w:bCs w:val="1"/>
                <w:sz w:val="16"/>
                <w:szCs w:val="16"/>
              </w:rPr>
              <w:t xml:space="preserve">0.99898</w:t>
            </w:r>
          </w:p>
        </w:tc>
        <w:tc>
          <w:tcPr>
            <w:tcW w:w="1300" w:type="dxa"/>
            <w:vAlign w:val="center"/>
          </w:tcPr>
          <w:p>
            <w:pPr>
              <w:spacing w:after="0" w:before="0" w:lineRule="auto"/>
              <w:jc w:val="center"/>
            </w:pPr>
            <w:r>
              <w:rPr>
                <w:b w:val="1"/>
                <w:bCs w:val="1"/>
                <w:sz w:val="16"/>
                <w:szCs w:val="16"/>
              </w:rPr>
              <w:t xml:space="preserve">0.546</w:t>
            </w:r>
          </w:p>
        </w:tc>
        <w:tc>
          <w:tcPr>
            <w:tcW w:w="1300" w:type="dxa"/>
            <w:vAlign w:val="center"/>
          </w:tcPr>
          <w:p>
            <w:pPr>
              <w:spacing w:after="0" w:before="0" w:lineRule="auto"/>
              <w:jc w:val="center"/>
            </w:pPr>
            <w:r>
              <w:rPr>
                <w:b w:val="1"/>
                <w:bCs w:val="1"/>
                <w:sz w:val="16"/>
                <w:szCs w:val="16"/>
              </w:rPr>
              <w:t xml:space="preserve">1.727</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50" w:before="0" w:lineRule="auto"/>
        <w:rPr>
          <w:rFonts w:ascii="Courier" w:cs="Courier" w:eastAsia="Courier" w:hAnsi="Courier"/>
          <w:sz w:val="20"/>
          <w:szCs w:val="20"/>
          <w:shd w:fill="edf2f7" w:val="clear"/>
        </w:rPr>
      </w:pPr>
      <w:r w:rsidDel="00000000" w:rsidR="00000000" w:rsidRPr="00000000">
        <w:rPr>
          <w:rtl w:val="0"/>
        </w:rPr>
        <w:t xml:space="preserve">3.2 Model Fitting &amp; Parameter Derivation</w:t>
      </w:r>
      <w:r w:rsidDel="00000000" w:rsidR="00000000" w:rsidRPr="00000000">
        <w:rPr>
          <w:rtl w:val="0"/>
        </w:rPr>
      </w:r>
    </w:p>
    <w:p>
      <w:pPr>
        <w:spacing w:after="70" w:before="0" w:line="250" w:lineRule="auto"/>
        <w:jc w:val="both"/>
      </w:pPr>
      <w:r>
        <w:rPr>
          <w:sz w:val="18"/>
          <w:szCs w:val="18"/>
        </w:rPr>
        <w:t xml:space="preserve">We joined the heating and cooling data (</w:t>
      </w:r>
      <w:r>
        <w:rPr>
          <w:i w:val="1"/>
          <w:iCs w:val="1"/>
          <w:sz w:val="18"/>
          <w:szCs w:val="18"/>
        </w:rPr>
        <w:t xml:space="preserve">N</w:t>
      </w:r>
      <w:r>
        <w:rPr>
          <w:sz w:val="18"/>
          <w:szCs w:val="18"/>
        </w:rPr>
        <w:t xml:space="preserve"> = 5321) and fitted one cubic, where </w:t>
      </w:r>
      <w:r>
        <w:rPr>
          <w:i w:val="1"/>
          <w:iCs w:val="1"/>
          <w:sz w:val="18"/>
          <w:szCs w:val="18"/>
        </w:rPr>
        <w:t xml:space="preserve">a</w:t>
      </w:r>
      <w:r>
        <w:rPr>
          <w:sz w:val="18"/>
          <w:szCs w:val="18"/>
        </w:rPr>
        <w:t xml:space="preserve"> is the ADC count:</w:t>
      </w:r>
    </w:p>
    <w:p>
      <w:pPr>
        <w:spacing w:before="20" w:after="50" w:line="250" w:lineRule="auto"/>
        <w:jc w:val="center"/>
      </w:pPr>
      <m:oMathPara>
        <m:oMathParaPr>
          <m:jc m:val="center"/>
        </m:oMathParaPr>
        <m:oMath>
          <m:r>
            <w:rPr>
              <w:rFonts w:ascii="Cambria Math" w:hAnsi="Cambria Math"/>
              <w:sz w:val="19"/>
              <w:szCs w:val="19"/>
            </w:rPr>
            <m:t xml:space="preserve">T</m:t>
          </m:r>
          <m:r>
            <w:rPr>
              <w:rFonts w:ascii="Cambria Math" w:hAnsi="Cambria Math"/>
              <w:sz w:val="19"/>
              <w:szCs w:val="19"/>
            </w:rPr>
            <m:t xml:space="preserve">=</m:t>
          </m:r>
          <m:r>
            <w:rPr>
              <w:rFonts w:ascii="Cambria Math" w:hAnsi="Cambria Math"/>
              <w:sz w:val="19"/>
              <w:szCs w:val="19"/>
            </w:rPr>
            <m:t xml:space="preserve">1.869</m:t>
          </m:r>
          <m:r>
            <w:rPr>
              <w:rFonts w:ascii="Cambria Math" w:hAnsi="Cambria Math"/>
              <w:sz w:val="19"/>
              <w:szCs w:val="19"/>
            </w:rPr>
            <m:t xml:space="preserve">×</m:t>
          </m:r>
          <m:sSup>
            <m:e>
              <m:r>
                <w:rPr>
                  <w:rFonts w:ascii="Cambria Math" w:hAnsi="Cambria Math"/>
                  <w:sz w:val="19"/>
                  <w:szCs w:val="19"/>
                </w:rPr>
                <m:t xml:space="preserve">10</m:t>
              </m:r>
            </m:e>
            <m:sup>
              <m:r>
                <w:rPr>
                  <w:rFonts w:ascii="Cambria Math" w:hAnsi="Cambria Math"/>
                  <w:sz w:val="19"/>
                  <w:szCs w:val="19"/>
                </w:rPr>
                <m:t xml:space="preserve">-</m:t>
              </m:r>
              <m:r>
                <w:rPr>
                  <w:rFonts w:ascii="Cambria Math" w:hAnsi="Cambria Math"/>
                  <w:sz w:val="19"/>
                  <w:szCs w:val="19"/>
                </w:rPr>
                <m:t xml:space="preserve">7</m:t>
              </m:r>
            </m:sup>
          </m:sSup>
          <m:sSup>
            <m:e>
              <m:r>
                <w:rPr>
                  <w:rFonts w:ascii="Cambria Math" w:hAnsi="Cambria Math"/>
                  <w:sz w:val="19"/>
                  <w:szCs w:val="19"/>
                </w:rPr>
                <m:t xml:space="preserve">a</m:t>
              </m:r>
            </m:e>
            <m:sup>
              <m:r>
                <w:rPr>
                  <w:rFonts w:ascii="Cambria Math" w:hAnsi="Cambria Math"/>
                  <w:sz w:val="19"/>
                  <w:szCs w:val="19"/>
                </w:rPr>
                <m:t xml:space="preserve">3</m:t>
              </m:r>
            </m:sup>
          </m:sSup>
          <m:r>
            <w:rPr>
              <w:rFonts w:ascii="Cambria Math" w:hAnsi="Cambria Math"/>
              <w:sz w:val="19"/>
              <w:szCs w:val="19"/>
            </w:rPr>
            <m:t xml:space="preserve">-</m:t>
          </m:r>
          <m:r>
            <w:rPr>
              <w:rFonts w:ascii="Cambria Math" w:hAnsi="Cambria Math"/>
              <w:sz w:val="19"/>
              <w:szCs w:val="19"/>
            </w:rPr>
            <m:t xml:space="preserve">2.495</m:t>
          </m:r>
          <m:r>
            <w:rPr>
              <w:rFonts w:ascii="Cambria Math" w:hAnsi="Cambria Math"/>
              <w:sz w:val="19"/>
              <w:szCs w:val="19"/>
            </w:rPr>
            <m:t xml:space="preserve">×</m:t>
          </m:r>
          <m:sSup>
            <m:e>
              <m:r>
                <w:rPr>
                  <w:rFonts w:ascii="Cambria Math" w:hAnsi="Cambria Math"/>
                  <w:sz w:val="19"/>
                  <w:szCs w:val="19"/>
                </w:rPr>
                <m:t xml:space="preserve">10</m:t>
              </m:r>
            </m:e>
            <m:sup>
              <m:r>
                <w:rPr>
                  <w:rFonts w:ascii="Cambria Math" w:hAnsi="Cambria Math"/>
                  <w:sz w:val="19"/>
                  <w:szCs w:val="19"/>
                </w:rPr>
                <m:t xml:space="preserve">-</m:t>
              </m:r>
              <m:r>
                <w:rPr>
                  <w:rFonts w:ascii="Cambria Math" w:hAnsi="Cambria Math"/>
                  <w:sz w:val="19"/>
                  <w:szCs w:val="19"/>
                </w:rPr>
                <m:t xml:space="preserve">4</m:t>
              </m:r>
            </m:sup>
          </m:sSup>
          <m:sSup>
            <m:e>
              <m:r>
                <w:rPr>
                  <w:rFonts w:ascii="Cambria Math" w:hAnsi="Cambria Math"/>
                  <w:sz w:val="19"/>
                  <w:szCs w:val="19"/>
                </w:rPr>
                <m:t xml:space="preserve">a</m:t>
              </m:r>
            </m:e>
            <m:sup>
              <m:r>
                <w:rPr>
                  <w:rFonts w:ascii="Cambria Math" w:hAnsi="Cambria Math"/>
                  <w:sz w:val="19"/>
                  <w:szCs w:val="19"/>
                </w:rPr>
                <m:t xml:space="preserve">2</m:t>
              </m:r>
            </m:sup>
          </m:sSup>
          <m:r>
            <w:rPr>
              <w:rFonts w:ascii="Cambria Math" w:hAnsi="Cambria Math"/>
              <w:sz w:val="19"/>
              <w:szCs w:val="19"/>
            </w:rPr>
            <m:t xml:space="preserve">+</m:t>
          </m:r>
          <m:r>
            <w:rPr>
              <w:rFonts w:ascii="Cambria Math" w:hAnsi="Cambria Math"/>
              <w:sz w:val="19"/>
              <w:szCs w:val="19"/>
            </w:rPr>
            <m:t xml:space="preserve">0.2134</m:t>
          </m:r>
          <m:r>
            <w:rPr>
              <w:rFonts w:ascii="Cambria Math" w:hAnsi="Cambria Math"/>
              <w:sz w:val="19"/>
              <w:szCs w:val="19"/>
            </w:rPr>
            <m:t xml:space="preserve">a</m:t>
          </m:r>
          <m:r>
            <w:rPr>
              <w:rFonts w:ascii="Cambria Math" w:hAnsi="Cambria Math"/>
              <w:sz w:val="19"/>
              <w:szCs w:val="19"/>
            </w:rPr>
            <m:t xml:space="preserve">-</m:t>
          </m:r>
          <m:r>
            <w:rPr>
              <w:rFonts w:ascii="Cambria Math" w:hAnsi="Cambria Math"/>
              <w:sz w:val="19"/>
              <w:szCs w:val="19"/>
            </w:rPr>
            <m:t xml:space="preserve">17.559</m:t>
          </m:r>
        </m:oMath>
      </m:oMathPara>
    </w:p>
    <w:p>
      <w:pPr>
        <w:spacing w:after="70" w:before="0" w:line="250" w:lineRule="auto"/>
        <w:jc w:val="both"/>
      </w:pPr>
      <w:r>
        <w:rPr>
          <w:sz w:val="18"/>
          <w:szCs w:val="18"/>
        </w:rPr>
        <w:t xml:space="preserve">It has </w:t>
      </w:r>
      <w:r>
        <w:rPr>
          <w:i w:val="1"/>
          <w:iCs w:val="1"/>
          <w:sz w:val="18"/>
          <w:szCs w:val="18"/>
        </w:rPr>
        <w:t xml:space="preserve">R</w:t>
      </w:r>
      <w:r>
        <w:rPr>
          <w:sz w:val="18"/>
          <w:szCs w:val="18"/>
          <w:vertAlign w:val="superscript"/>
        </w:rPr>
        <w:t xml:space="preserve">2</w:t>
      </w:r>
      <w:r>
        <w:rPr>
          <w:sz w:val="18"/>
          <w:szCs w:val="18"/>
        </w:rPr>
        <w:t xml:space="preserve"> = 0.999 and RMSE 0.54 °C. The mean 95 % prediction half-width is </w:t>
      </w:r>
      <w:r>
        <w:rPr>
          <w:b w:val="1"/>
          <w:bCs w:val="1"/>
          <w:sz w:val="18"/>
          <w:szCs w:val="18"/>
        </w:rPr>
        <w:t xml:space="preserve">±1.06 °C</w:t>
      </w:r>
      <w:r>
        <w:rPr>
          <w:sz w:val="18"/>
          <w:szCs w:val="18"/>
        </w:rPr>
        <w:t xml:space="preserve">. For the β-model, a straight line of ln </w:t>
      </w:r>
      <w:r>
        <w:rPr>
          <w:i w:val="1"/>
          <w:iCs w:val="1"/>
          <w:sz w:val="18"/>
          <w:szCs w:val="18"/>
        </w:rPr>
        <w:t xml:space="preserve">r</w:t>
      </w:r>
      <w:r>
        <w:rPr>
          <w:sz w:val="18"/>
          <w:szCs w:val="18"/>
        </w:rPr>
        <w:t xml:space="preserve"> against 1</w:t>
      </w:r>
      <w:r>
        <w:rPr>
          <w:i w:val="1"/>
          <w:iCs w:val="1"/>
          <w:sz w:val="18"/>
          <w:szCs w:val="18"/>
        </w:rPr>
        <w:t xml:space="preserve">/T</w:t>
      </w:r>
      <w:r>
        <w:rPr>
          <w:sz w:val="18"/>
          <w:szCs w:val="18"/>
        </w:rPr>
        <w:t xml:space="preserve"> gives β = 3965.3 K, </w:t>
      </w:r>
      <w:r>
        <w:rPr>
          <w:i w:val="1"/>
          <w:iCs w:val="1"/>
          <w:sz w:val="18"/>
          <w:szCs w:val="18"/>
        </w:rPr>
        <w:t xml:space="preserve">R</w:t>
      </w:r>
      <w:r>
        <w:rPr>
          <w:sz w:val="18"/>
          <w:szCs w:val="18"/>
          <w:vertAlign w:val="superscript"/>
        </w:rPr>
        <w:t xml:space="preserve">2</w:t>
      </w:r>
      <w:r>
        <w:rPr>
          <w:sz w:val="18"/>
          <w:szCs w:val="18"/>
        </w:rPr>
        <w:t xml:space="preserve"> = 0.9993 and an RMSE of </w:t>
      </w:r>
      <w:r>
        <w:rPr>
          <w:b w:val="1"/>
          <w:bCs w:val="1"/>
          <w:sz w:val="18"/>
          <w:szCs w:val="18"/>
        </w:rPr>
        <w:t xml:space="preserve">0.598 °C</w:t>
      </w:r>
      <w:r>
        <w:rPr>
          <w:sz w:val="18"/>
          <w:szCs w:val="18"/>
        </w:rPr>
        <w:t xml:space="preserve">, using only two parameters (Figure 2).</w:t>
      </w:r>
    </w:p>
    <w:tbl>
      <w:tblPr>
        <w:tblW w:w="9360" w:type="dxa"/>
        <w:jc w:val="center"/>
        <w:tblLayout w:type="fixed"/>
        <w:tblCellMar>
          <w:left w:w="40" w:type="dxa"/>
          <w:right w:w="40" w:type="dxa"/>
        </w:tblCellMar>
      </w:tblPr>
      <w:tblGrid>
        <w:gridCol w:w="4680"/>
        <w:gridCol w:w="4680"/>
      </w:tblGrid>
      <w:tr>
        <w:trPr>
          <w:cantSplit/>
        </w:trPr>
        <w:tc>
          <w:tcPr>
            <w:tcW w:w="4680" w:type="dxa"/>
            <w:vAlign w:val="center"/>
          </w:tcPr>
          <w:p>
            <w:pPr>
              <w:keepNext/>
              <w:spacing w:after="40" w:before="120"/>
              <w:jc w:val="center"/>
            </w:pPr>
            <w:r>
              <w:drawing>
                <wp:inline distT="0" distB="0" distL="0" distR="0">
                  <wp:extent cx="2103120" cy="1394203"/>
                  <wp:docPr id="102" name="Figure 2"/>
                  <wp:cNvGraphicFramePr>
                    <a:graphicFrameLocks noChangeAspect="1"/>
                  </wp:cNvGraphicFramePr>
                  <a:graphic>
                    <a:graphicData uri="http://schemas.openxmlformats.org/drawingml/2006/picture">
                      <pic:pic>
                        <pic:nvPicPr>
                          <pic:cNvPr id="102" name="c14_6.png"/>
                          <pic:cNvPicPr/>
                        </pic:nvPicPr>
                        <pic:blipFill>
                          <a:blip r:embed="rIdImg2"/>
                          <a:stretch>
                            <a:fillRect/>
                          </a:stretch>
                        </pic:blipFill>
                        <pic:spPr>
                          <a:xfrm>
                            <a:off x="0" y="0"/>
                            <a:ext cx="2103120" cy="1394203"/>
                          </a:xfrm>
                          <a:prstGeom prst="rect">
                            <a:avLst/>
                          </a:prstGeom>
                        </pic:spPr>
                      </pic:pic>
                    </a:graphicData>
                  </a:graphic>
                </wp:inline>
              </w:drawing>
            </w:r>
          </w:p>
        </w:tc>
        <w:tc>
          <w:tcPr>
            <w:tcW w:w="4680" w:type="dxa"/>
            <w:vAlign w:val="center"/>
          </w:tcPr>
          <w:p>
            <w:pPr>
              <w:keepNext/>
              <w:spacing w:after="40" w:before="120"/>
              <w:jc w:val="center"/>
            </w:pPr>
            <w:r>
              <w:drawing>
                <wp:inline distT="0" distB="0" distL="0" distR="0">
                  <wp:extent cx="3566160" cy="1468418"/>
                  <wp:docPr id="103" name="Figure 3"/>
                  <wp:cNvGraphicFramePr>
                    <a:graphicFrameLocks noChangeAspect="1"/>
                  </wp:cNvGraphicFramePr>
                  <a:graphic>
                    <a:graphicData uri="http://schemas.openxmlformats.org/drawingml/2006/picture">
                      <pic:pic>
                        <pic:nvPicPr>
                          <pic:cNvPr id="103" name="c17_7.png"/>
                          <pic:cNvPicPr/>
                        </pic:nvPicPr>
                        <pic:blipFill>
                          <a:blip r:embed="rIdImg3"/>
                          <a:stretch>
                            <a:fillRect/>
                          </a:stretch>
                        </pic:blipFill>
                        <pic:spPr>
                          <a:xfrm>
                            <a:off x="0" y="0"/>
                            <a:ext cx="3566160" cy="1468418"/>
                          </a:xfrm>
                          <a:prstGeom prst="rect">
                            <a:avLst/>
                          </a:prstGeom>
                        </pic:spPr>
                      </pic:pic>
                    </a:graphicData>
                  </a:graphic>
                </wp:inline>
              </w:drawing>
            </w:r>
          </w:p>
        </w:tc>
      </w:tr>
    </w:tbl>
    <w:p>
      <w:pPr>
        <w:spacing w:after="80" w:before="20" w:line="250" w:lineRule="auto"/>
        <w:jc w:val="center"/>
      </w:pPr>
      <w:r>
        <w:rPr>
          <w:i w:val="1"/>
          <w:iCs w:val="1"/>
          <w:color w:val="4A5568"/>
          <w:sz w:val="16"/>
          <w:szCs w:val="16"/>
        </w:rPr>
        <w:t xml:space="preserve">Figure 2. Left: global cubic fit with its 95 % prediction band. Right: Arrhenius fit and β-model accuracy.</w:t>
      </w:r>
    </w:p>
    <w:p>
      <w:pPr>
        <w:spacing w:after="70" w:before="0" w:line="250" w:lineRule="auto"/>
        <w:jc w:val="both"/>
      </w:pPr>
      <w:r>
        <w:rPr>
          <w:sz w:val="18"/>
          <w:szCs w:val="18"/>
        </w:rPr>
        <w:t xml:space="preserve">We compared the heating and cooling cubics over the shared range (ADC 309–849). The biggest gap is </w:t>
      </w:r>
      <w:r>
        <w:rPr>
          <w:b w:val="1"/>
          <w:bCs w:val="1"/>
          <w:sz w:val="18"/>
          <w:szCs w:val="18"/>
        </w:rPr>
        <w:t xml:space="preserve">1.15 °C</w:t>
      </w:r>
      <w:r>
        <w:rPr>
          <w:sz w:val="18"/>
          <w:szCs w:val="18"/>
        </w:rPr>
        <w:t xml:space="preserve"> and the average gap is </w:t>
      </w:r>
      <w:r>
        <w:rPr>
          <w:b w:val="1"/>
          <w:bCs w:val="1"/>
          <w:sz w:val="18"/>
          <w:szCs w:val="18"/>
        </w:rPr>
        <w:t xml:space="preserve">0.60 °C</w:t>
      </w:r>
      <w:r>
        <w:rPr>
          <w:sz w:val="18"/>
          <w:szCs w:val="18"/>
        </w:rPr>
        <w:t xml:space="preserve">. The likely causes are thermal lag between the NTC and the reference, the fact that the gap is a difference of two cubics, and uneven water temperature. The average gap is smaller than the reference uncertainty, so we do not claim real sensor hysteresis.</w:t>
      </w:r>
    </w:p>
    <w:p>
      <w:pPr>
        <w:spacing w:after="70" w:before="0" w:line="250" w:lineRule="auto"/>
        <w:jc w:val="both"/>
      </w:pPr>
      <w:r>
        <w:rPr>
          <w:sz w:val="18"/>
          <w:szCs w:val="18"/>
        </w:rPr>
        <w:t xml:space="preserve">The sensitivity d</w:t>
      </w:r>
      <w:r>
        <w:rPr>
          <w:i w:val="1"/>
          <w:iCs w:val="1"/>
          <w:sz w:val="18"/>
          <w:szCs w:val="18"/>
        </w:rPr>
        <w:t xml:space="preserve">T</w:t>
      </w:r>
      <w:r>
        <w:rPr>
          <w:sz w:val="18"/>
          <w:szCs w:val="18"/>
        </w:rPr>
        <w:t xml:space="preserve">/dADC is 0.102–0.195 °C/count for the cubic and 0.101–0.245 °C/count for the β-model (Figure 3). The sensor reads best in the middle of the range and worse near both ends, where the divider output flattens.</w:t>
      </w:r>
    </w:p>
    <w:tbl>
      <w:tblPr>
        <w:tblW w:w="9360" w:type="dxa"/>
        <w:jc w:val="center"/>
        <w:tblLayout w:type="fixed"/>
        <w:tblCellMar>
          <w:left w:w="40" w:type="dxa"/>
          <w:right w:w="40" w:type="dxa"/>
        </w:tblCellMar>
      </w:tblPr>
      <w:tblGrid>
        <w:gridCol w:w="4680"/>
        <w:gridCol w:w="4680"/>
      </w:tblGrid>
      <w:tr>
        <w:trPr>
          <w:cantSplit/>
        </w:trPr>
        <w:tc>
          <w:tcPr>
            <w:tcW w:w="4680" w:type="dxa"/>
            <w:vAlign w:val="center"/>
          </w:tcPr>
          <w:p>
            <w:pPr>
              <w:keepNext/>
              <w:spacing w:after="40" w:before="120"/>
              <w:jc w:val="center"/>
            </w:pPr>
            <w:r>
              <w:drawing>
                <wp:inline distT="0" distB="0" distL="0" distR="0">
                  <wp:extent cx="2468880" cy="1970116"/>
                  <wp:docPr id="104" name="Figure 4"/>
                  <wp:cNvGraphicFramePr>
                    <a:graphicFrameLocks noChangeAspect="1"/>
                  </wp:cNvGraphicFramePr>
                  <a:graphic>
                    <a:graphicData uri="http://schemas.openxmlformats.org/drawingml/2006/picture">
                      <pic:pic>
                        <pic:nvPicPr>
                          <pic:cNvPr id="104" name="c11_5.png"/>
                          <pic:cNvPicPr/>
                        </pic:nvPicPr>
                        <pic:blipFill>
                          <a:blip r:embed="rIdImg4"/>
                          <a:stretch>
                            <a:fillRect/>
                          </a:stretch>
                        </pic:blipFill>
                        <pic:spPr>
                          <a:xfrm>
                            <a:off x="0" y="0"/>
                            <a:ext cx="2468880" cy="1970116"/>
                          </a:xfrm>
                          <a:prstGeom prst="rect">
                            <a:avLst/>
                          </a:prstGeom>
                        </pic:spPr>
                      </pic:pic>
                    </a:graphicData>
                  </a:graphic>
                </wp:inline>
              </w:drawing>
            </w:r>
          </w:p>
        </w:tc>
        <w:tc>
          <w:tcPr>
            <w:tcW w:w="4680" w:type="dxa"/>
            <w:vAlign w:val="center"/>
          </w:tcPr>
          <w:p>
            <w:pPr>
              <w:keepNext/>
              <w:spacing w:after="40" w:before="120"/>
              <w:jc w:val="center"/>
            </w:pPr>
            <w:r>
              <w:drawing>
                <wp:inline distT="0" distB="0" distL="0" distR="0">
                  <wp:extent cx="3200400" cy="2208027"/>
                  <wp:docPr id="105" name="Figure 5"/>
                  <wp:cNvGraphicFramePr>
                    <a:graphicFrameLocks noChangeAspect="1"/>
                  </wp:cNvGraphicFramePr>
                  <a:graphic>
                    <a:graphicData uri="http://schemas.openxmlformats.org/drawingml/2006/picture">
                      <pic:pic>
                        <pic:nvPicPr>
                          <pic:cNvPr id="105" name="c20_8.png"/>
                          <pic:cNvPicPr/>
                        </pic:nvPicPr>
                        <pic:blipFill>
                          <a:blip r:embed="rIdImg5"/>
                          <a:stretch>
                            <a:fillRect/>
                          </a:stretch>
                        </pic:blipFill>
                        <pic:spPr>
                          <a:xfrm>
                            <a:off x="0" y="0"/>
                            <a:ext cx="3200400" cy="2208027"/>
                          </a:xfrm>
                          <a:prstGeom prst="rect">
                            <a:avLst/>
                          </a:prstGeom>
                        </pic:spPr>
                      </pic:pic>
                    </a:graphicData>
                  </a:graphic>
                </wp:inline>
              </w:drawing>
            </w:r>
          </w:p>
        </w:tc>
      </w:tr>
    </w:tbl>
    <w:p>
      <w:pPr>
        <w:spacing w:after="80" w:before="20" w:line="250" w:lineRule="auto"/>
        <w:jc w:val="center"/>
      </w:pPr>
      <w:r>
        <w:rPr>
          <w:i w:val="1"/>
          <w:iCs w:val="1"/>
          <w:color w:val="4A5568"/>
          <w:sz w:val="16"/>
          <w:szCs w:val="16"/>
        </w:rPr>
        <w:t xml:space="preserve">Figure 3. Left: heating vs. cooling fits and the gap Δ</w:t>
      </w:r>
      <w:r>
        <w:rPr>
          <w:i w:val="1"/>
          <w:iCs w:val="1"/>
          <w:color w:val="4A5568"/>
          <w:sz w:val="16"/>
          <w:szCs w:val="16"/>
        </w:rPr>
        <w:t xml:space="preserve">T</w:t>
      </w:r>
      <w:r>
        <w:rPr>
          <w:i w:val="1"/>
          <w:iCs w:val="1"/>
          <w:color w:val="4A5568"/>
          <w:sz w:val="16"/>
          <w:szCs w:val="16"/>
        </w:rPr>
        <w:t xml:space="preserve">. Right: fitted curves and sensitivity of both models.</w:t>
      </w:r>
    </w:p>
    <w:p>
      <w:pPr>
        <w:spacing w:after="70" w:before="0" w:line="250" w:lineRule="auto"/>
        <w:jc w:val="both"/>
      </w:pPr>
      <w:r>
        <w:rPr>
          <w:sz w:val="18"/>
          <w:szCs w:val="18"/>
        </w:rPr>
        <w:t xml:space="preserve">For the response time, we fitted </w:t>
      </w:r>
      <m:oMath>
        <m:r>
          <w:rPr>
            <w:rFonts w:ascii="Cambria Math" w:hAnsi="Cambria Math"/>
            <w:sz w:val="18"/>
            <w:szCs w:val="18"/>
          </w:rPr>
          <m:t xml:space="preserve">T</m:t>
        </m:r>
        <m:r>
          <w:rPr>
            <w:rFonts w:ascii="Cambria Math" w:hAnsi="Cambria Math"/>
            <w:sz w:val="18"/>
            <w:szCs w:val="18"/>
          </w:rPr>
          <m:t xml:space="preserve">(</m:t>
        </m:r>
        <m:r>
          <w:rPr>
            <w:rFonts w:ascii="Cambria Math" w:hAnsi="Cambria Math"/>
            <w:sz w:val="18"/>
            <w:szCs w:val="18"/>
          </w:rPr>
          <m:t xml:space="preserve">t</m:t>
        </m:r>
        <m:r>
          <w:rPr>
            <w:rFonts w:ascii="Cambria Math" w:hAnsi="Cambria Math"/>
            <w:sz w:val="18"/>
            <w:szCs w:val="18"/>
          </w:rPr>
          <m:t xml:space="preserve">)</m:t>
        </m:r>
        <m:r>
          <w:rPr>
            <w:rFonts w:ascii="Cambria Math" w:hAnsi="Cambria Math"/>
            <w:sz w:val="18"/>
            <w:szCs w:val="18"/>
          </w:rPr>
          <m:t xml:space="preserve">=</m:t>
        </m:r>
        <m:sSub>
          <m:e>
            <m:r>
              <w:rPr>
                <w:rFonts w:ascii="Cambria Math" w:hAnsi="Cambria Math"/>
                <w:sz w:val="18"/>
                <w:szCs w:val="18"/>
              </w:rPr>
              <m:t xml:space="preserve">T</m:t>
            </m:r>
          </m:e>
          <m:sub>
            <m:r>
              <w:rPr>
                <w:rFonts w:ascii="Cambria Math" w:hAnsi="Cambria Math"/>
                <w:sz w:val="18"/>
                <w:szCs w:val="18"/>
              </w:rPr>
              <m:t xml:space="preserve">f</m:t>
            </m:r>
          </m:sub>
        </m:sSub>
        <m:r>
          <w:rPr>
            <w:rFonts w:ascii="Cambria Math" w:hAnsi="Cambria Math"/>
            <w:sz w:val="18"/>
            <w:szCs w:val="18"/>
          </w:rPr>
          <m:t xml:space="preserve">+</m:t>
        </m:r>
        <m:r>
          <w:rPr>
            <w:rFonts w:ascii="Cambria Math" w:hAnsi="Cambria Math"/>
            <w:sz w:val="18"/>
            <w:szCs w:val="18"/>
          </w:rPr>
          <m:t xml:space="preserve">(</m:t>
        </m:r>
        <m:sSub>
          <m:e>
            <m:r>
              <w:rPr>
                <w:rFonts w:ascii="Cambria Math" w:hAnsi="Cambria Math"/>
                <w:sz w:val="18"/>
                <w:szCs w:val="18"/>
              </w:rPr>
              <m:t xml:space="preserve">T</m:t>
            </m:r>
          </m:e>
          <m:sub>
            <m:r>
              <w:rPr>
                <w:rFonts w:ascii="Cambria Math" w:hAnsi="Cambria Math"/>
                <w:sz w:val="18"/>
                <w:szCs w:val="18"/>
              </w:rPr>
              <m:t xml:space="preserve">i</m:t>
            </m:r>
          </m:sub>
        </m:sSub>
        <m:r>
          <w:rPr>
            <w:rFonts w:ascii="Cambria Math" w:hAnsi="Cambria Math"/>
            <w:sz w:val="18"/>
            <w:szCs w:val="18"/>
          </w:rPr>
          <m:t xml:space="preserve">-</m:t>
        </m:r>
        <m:sSub>
          <m:e>
            <m:r>
              <w:rPr>
                <w:rFonts w:ascii="Cambria Math" w:hAnsi="Cambria Math"/>
                <w:sz w:val="18"/>
                <w:szCs w:val="18"/>
              </w:rPr>
              <m:t xml:space="preserve">T</m:t>
            </m:r>
          </m:e>
          <m:sub>
            <m:r>
              <w:rPr>
                <w:rFonts w:ascii="Cambria Math" w:hAnsi="Cambria Math"/>
                <w:sz w:val="18"/>
                <w:szCs w:val="18"/>
              </w:rPr>
              <m:t xml:space="preserve">f</m:t>
            </m:r>
          </m:sub>
        </m:sSub>
        <m:r>
          <w:rPr>
            <w:rFonts w:ascii="Cambria Math" w:hAnsi="Cambria Math"/>
            <w:sz w:val="18"/>
            <w:szCs w:val="18"/>
          </w:rPr>
          <m:t xml:space="preserve">)</m:t>
        </m:r>
        <m:r>
          <w:rPr>
            <w:rFonts w:ascii="Cambria Math" w:hAnsi="Cambria Math"/>
            <w:sz w:val="18"/>
            <w:szCs w:val="18"/>
          </w:rPr>
          <m:t xml:space="preserve"> </m:t>
        </m:r>
        <m:sSup>
          <m:e>
            <m:r>
              <w:rPr>
                <w:rFonts w:ascii="Cambria Math" w:hAnsi="Cambria Math"/>
                <w:sz w:val="18"/>
                <w:szCs w:val="18"/>
              </w:rPr>
              <m:t xml:space="preserve">e</m:t>
            </m:r>
          </m:e>
          <m:sup>
            <m:r>
              <w:rPr>
                <w:rFonts w:ascii="Cambria Math" w:hAnsi="Cambria Math"/>
                <w:sz w:val="18"/>
                <w:szCs w:val="18"/>
              </w:rPr>
              <m:t xml:space="preserve">-</m:t>
            </m:r>
            <m:r>
              <w:rPr>
                <w:rFonts w:ascii="Cambria Math" w:hAnsi="Cambria Math"/>
                <w:sz w:val="18"/>
                <w:szCs w:val="18"/>
              </w:rPr>
              <m:t xml:space="preserve">(</m:t>
            </m:r>
            <m:r>
              <w:rPr>
                <w:rFonts w:ascii="Cambria Math" w:hAnsi="Cambria Math"/>
                <w:sz w:val="18"/>
                <w:szCs w:val="18"/>
              </w:rPr>
              <m:t xml:space="preserve">t</m:t>
            </m:r>
            <m:r>
              <w:rPr>
                <w:rFonts w:ascii="Cambria Math" w:hAnsi="Cambria Math"/>
                <w:sz w:val="18"/>
                <w:szCs w:val="18"/>
              </w:rPr>
              <m:t xml:space="preserve">-</m:t>
            </m:r>
            <m:sSub>
              <m:e>
                <m:r>
                  <w:rPr>
                    <w:rFonts w:ascii="Cambria Math" w:hAnsi="Cambria Math"/>
                    <w:sz w:val="18"/>
                    <w:szCs w:val="18"/>
                  </w:rPr>
                  <m:t xml:space="preserve">t</m:t>
                </m:r>
              </m:e>
              <m:sub>
                <m:r>
                  <w:rPr>
                    <w:rFonts w:ascii="Cambria Math" w:hAnsi="Cambria Math"/>
                    <w:sz w:val="18"/>
                    <w:szCs w:val="18"/>
                  </w:rPr>
                  <m:t xml:space="preserve">0</m:t>
                </m:r>
              </m:sub>
            </m:sSub>
            <m:r>
              <w:rPr>
                <w:rFonts w:ascii="Cambria Math" w:hAnsi="Cambria Math"/>
                <w:sz w:val="18"/>
                <w:szCs w:val="18"/>
              </w:rPr>
              <m:t xml:space="preserve">)</m:t>
            </m:r>
            <m:r>
              <w:rPr>
                <w:rFonts w:ascii="Cambria Math" w:hAnsi="Cambria Math"/>
                <w:sz w:val="18"/>
                <w:szCs w:val="18"/>
              </w:rPr>
              <m:t xml:space="preserve">/</m:t>
            </m:r>
            <m:r>
              <w:rPr>
                <w:rFonts w:ascii="Cambria Math" w:hAnsi="Cambria Math"/>
                <w:sz w:val="18"/>
                <w:szCs w:val="18"/>
              </w:rPr>
              <m:t xml:space="preserve">τ</m:t>
            </m:r>
          </m:sup>
        </m:sSup>
      </m:oMath>
      <w:r>
        <w:rPr>
          <w:sz w:val="18"/>
          <w:szCs w:val="18"/>
        </w:rPr>
        <w:t xml:space="preserve"> to 3 clean periods together. The thermistor has τ = </w:t>
      </w:r>
      <w:r>
        <w:rPr>
          <w:b w:val="1"/>
          <w:bCs w:val="1"/>
          <w:sz w:val="18"/>
          <w:szCs w:val="18"/>
        </w:rPr>
        <w:t xml:space="preserve">3.5 ± 0.3 s</w:t>
      </w:r>
      <w:r>
        <w:rPr>
          <w:sz w:val="18"/>
          <w:szCs w:val="18"/>
        </w:rPr>
        <w:t xml:space="preserve"> when heating and </w:t>
      </w:r>
      <w:r>
        <w:rPr>
          <w:b w:val="1"/>
          <w:bCs w:val="1"/>
          <w:sz w:val="18"/>
          <w:szCs w:val="18"/>
        </w:rPr>
        <w:t xml:space="preserve">7.7 ± 2.2 s</w:t>
      </w:r>
      <w:r>
        <w:rPr>
          <w:sz w:val="18"/>
          <w:szCs w:val="18"/>
        </w:rPr>
        <w:t xml:space="preserve"> when cooling (the β-model gives 3.3 s and 8.6 s). Cooling is slower and less certain: one period was much slower, and the ice bath warmed by about 2 °C in period 2.</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Error &amp; Uncertainty Analysis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0" w:before="0" w:lineRule="auto"/>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Sources of Error</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20" w:before="20" w:line="250" w:lineRule="auto"/>
        <w:ind w:left="300" w:hanging="360"/>
      </w:pPr>
      <w:r>
        <w:rPr>
          <w:b w:val="1"/>
          <w:bCs w:val="1"/>
          <w:sz w:val="18"/>
          <w:szCs w:val="18"/>
        </w:rPr>
        <w:t xml:space="preserve">Measurement precision:</w:t>
      </w:r>
      <w:r>
        <w:rPr>
          <w:sz w:val="18"/>
          <w:szCs w:val="18"/>
        </w:rPr>
        <w:t xml:space="preserve"> the DS18B20 is ±0.5 °C (we assume about ±1 °C in practice).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20" w:before="20" w:line="250" w:lineRule="auto"/>
        <w:ind w:left="300" w:hanging="360"/>
      </w:pPr>
      <w:r>
        <w:rPr>
          <w:b w:val="1"/>
          <w:bCs w:val="1"/>
          <w:sz w:val="18"/>
          <w:szCs w:val="18"/>
        </w:rPr>
        <w:t xml:space="preserve">ADC resolution:</w:t>
      </w:r>
      <w:r>
        <w:rPr>
          <w:sz w:val="18"/>
          <w:szCs w:val="18"/>
        </w:rPr>
        <w:t xml:space="preserve"> one count is worth 0.10 to 0.25 °C, coarsest at both ends of the range.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20" w:before="20" w:line="250" w:lineRule="auto"/>
        <w:ind w:left="300" w:hanging="360"/>
      </w:pPr>
      <w:r>
        <w:rPr>
          <w:b w:val="1"/>
          <w:bCs w:val="1"/>
          <w:sz w:val="18"/>
          <w:szCs w:val="18"/>
        </w:rPr>
        <w:t xml:space="preserve">Thermal lag:</w:t>
      </w:r>
      <w:r>
        <w:rPr>
          <w:sz w:val="18"/>
          <w:szCs w:val="18"/>
        </w:rPr>
        <w:t xml:space="preserve"> the NTC and the reference probe have different time constants, so one trails the other when the temperature changes.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20" w:before="20" w:line="250" w:lineRule="auto"/>
        <w:ind w:left="300" w:hanging="360"/>
      </w:pPr>
      <w:r>
        <w:rPr>
          <w:b w:val="1"/>
          <w:bCs w:val="1"/>
          <w:sz w:val="18"/>
          <w:szCs w:val="18"/>
        </w:rPr>
        <w:t xml:space="preserve">Self-heating:</w:t>
      </w:r>
      <w:r>
        <w:rPr>
          <w:sz w:val="18"/>
          <w:szCs w:val="18"/>
        </w:rPr>
        <w:t xml:space="preserve"> </w:t>
      </w:r>
      <w:r>
        <w:rPr>
          <w:i w:val="1"/>
          <w:iCs w:val="1"/>
          <w:sz w:val="18"/>
          <w:szCs w:val="18"/>
        </w:rPr>
        <w:t xml:space="preserve">P</w:t>
      </w:r>
      <w:r>
        <w:rPr>
          <w:sz w:val="18"/>
          <w:szCs w:val="18"/>
        </w:rPr>
        <w:t xml:space="preserve"> = </w:t>
      </w:r>
      <w:r>
        <w:rPr>
          <w:i w:val="1"/>
          <w:iCs w:val="1"/>
          <w:sz w:val="18"/>
          <w:szCs w:val="18"/>
        </w:rPr>
        <w:t xml:space="preserve">I</w:t>
      </w:r>
      <w:r>
        <w:rPr>
          <w:sz w:val="18"/>
          <w:szCs w:val="18"/>
          <w:vertAlign w:val="superscript"/>
        </w:rPr>
        <w:t xml:space="preserve">2</w:t>
      </w:r>
      <w:r>
        <w:rPr>
          <w:i w:val="1"/>
          <w:iCs w:val="1"/>
          <w:sz w:val="18"/>
          <w:szCs w:val="18"/>
        </w:rPr>
        <w:t xml:space="preserve">R</w:t>
      </w:r>
      <w:r>
        <w:rPr>
          <w:sz w:val="18"/>
          <w:szCs w:val="18"/>
        </w:rPr>
        <w:t xml:space="preserve"> is at most about 1.9 mW with a 5 V supply. We did not measure it.</w:t>
      </w:r>
    </w:p>
    <w:p>
      <w:pPr>
        <w:spacing w:after="70" w:before="40" w:line="250" w:lineRule="auto"/>
        <w:jc w:val="both"/>
      </w:pPr>
      <w:r>
        <w:rPr>
          <w:b w:val="1"/>
          <w:bCs w:val="1"/>
          <w:sz w:val="18"/>
          <w:szCs w:val="18"/>
        </w:rPr>
        <w:t xml:space="preserve">Datasheet comparison:</w:t>
      </w:r>
      <w:r>
        <w:rPr>
          <w:sz w:val="18"/>
          <w:szCs w:val="18"/>
        </w:rPr>
        <w:t xml:space="preserve"> [Insert the datasheet β (B-value) here.] Our fitted β = 3965.3 K.</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Uncertainty Calculations</w:t>
      </w:r>
    </w:p>
    <w:p>
      <w:pPr>
        <w:spacing w:after="70" w:before="0" w:line="250" w:lineRule="auto"/>
        <w:jc w:val="both"/>
      </w:pPr>
      <w:r>
        <w:rPr>
          <w:sz w:val="18"/>
          <w:szCs w:val="18"/>
        </w:rPr>
        <w:t xml:space="preserve">The regression standard error is 0.54 °C for the cubic and 0.60 °C for the β-model. The percentage error against the datasheet β is [Insert: |β</w:t>
      </w:r>
      <w:r>
        <w:rPr>
          <w:sz w:val="18"/>
          <w:szCs w:val="18"/>
          <w:vertAlign w:val="subscript"/>
        </w:rPr>
        <w:t xml:space="preserve">fit</w:t>
      </w:r>
      <w:r>
        <w:rPr>
          <w:sz w:val="18"/>
          <w:szCs w:val="18"/>
        </w:rPr>
        <w:t xml:space="preserve"> − β</w:t>
      </w:r>
      <w:r>
        <w:rPr>
          <w:sz w:val="18"/>
          <w:szCs w:val="18"/>
          <w:vertAlign w:val="subscript"/>
        </w:rPr>
        <w:t xml:space="preserve">datasheet</w:t>
      </w:r>
      <w:r>
        <w:rPr>
          <w:sz w:val="18"/>
          <w:szCs w:val="18"/>
        </w:rPr>
        <w:t xml:space="preserve">|/β</w:t>
      </w:r>
      <w:r>
        <w:rPr>
          <w:sz w:val="18"/>
          <w:szCs w:val="18"/>
          <w:vertAlign w:val="subscript"/>
        </w:rPr>
        <w:t xml:space="preserve">datasheet</w:t>
      </w:r>
      <w:r>
        <w:rPr>
          <w:sz w:val="18"/>
          <w:szCs w:val="18"/>
        </w:rPr>
        <w:t xml:space="preserve"> × 100.] The combined standard uncertainty adds three independent sources:</w:t>
      </w:r>
    </w:p>
    <w:p>
      <w:pPr>
        <w:spacing w:before="20" w:after="50" w:line="250" w:lineRule="auto"/>
        <w:jc w:val="center"/>
      </w:pPr>
      <m:oMathPara>
        <m:oMathParaPr>
          <m:jc m:val="center"/>
        </m:oMathParaPr>
        <m:oMath>
          <m:sSub>
            <m:e>
              <m:r>
                <w:rPr>
                  <w:rFonts w:ascii="Cambria Math" w:hAnsi="Cambria Math"/>
                  <w:sz w:val="19"/>
                  <w:szCs w:val="19"/>
                </w:rPr>
                <m:t xml:space="preserve">u</m:t>
              </m:r>
            </m:e>
            <m:sub>
              <m:r>
                <w:rPr>
                  <w:rFonts w:ascii="Cambria Math" w:hAnsi="Cambria Math"/>
                  <w:sz w:val="19"/>
                  <w:szCs w:val="19"/>
                </w:rPr>
                <m:t xml:space="preserve">T</m:t>
              </m:r>
            </m:sub>
          </m:sSub>
          <m:r>
            <w:rPr>
              <w:rFonts w:ascii="Cambria Math" w:hAnsi="Cambria Math"/>
              <w:sz w:val="19"/>
              <w:szCs w:val="19"/>
            </w:rPr>
            <m:t xml:space="preserve">=</m:t>
          </m:r>
          <m:rad>
            <m:radPr>
              <m:degHide m:val="1"/>
            </m:radPr>
            <m:deg/>
            <m:e>
              <m:sSubSup>
                <m:e>
                  <m:r>
                    <w:rPr>
                      <w:rFonts w:ascii="Cambria Math" w:hAnsi="Cambria Math"/>
                      <w:sz w:val="19"/>
                      <w:szCs w:val="19"/>
                    </w:rPr>
                    <m:t xml:space="preserve">u</m:t>
                  </m:r>
                </m:e>
                <m:sub>
                  <m:r>
                    <m:rPr>
                      <m:sty m:val="p"/>
                    </m:rPr>
                    <w:rPr>
                      <w:rFonts w:ascii="Cambria Math" w:hAnsi="Cambria Math"/>
                      <w:sz w:val="19"/>
                      <w:szCs w:val="19"/>
                    </w:rPr>
                    <m:t xml:space="preserve">ref</m:t>
                  </m:r>
                </m:sub>
                <m:sup>
                  <m:r>
                    <w:rPr>
                      <w:rFonts w:ascii="Cambria Math" w:hAnsi="Cambria Math"/>
                      <w:sz w:val="19"/>
                      <w:szCs w:val="19"/>
                    </w:rPr>
                    <m:t xml:space="preserve">2</m:t>
                  </m:r>
                </m:sup>
              </m:sSubSup>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d</m:t>
              </m:r>
              <m:r>
                <w:rPr>
                  <w:rFonts w:ascii="Cambria Math" w:hAnsi="Cambria Math"/>
                  <w:sz w:val="19"/>
                  <w:szCs w:val="19"/>
                </w:rPr>
                <m:t xml:space="preserve">T</m:t>
              </m:r>
              <m:r>
                <w:rPr>
                  <w:rFonts w:ascii="Cambria Math" w:hAnsi="Cambria Math"/>
                  <w:sz w:val="19"/>
                  <w:szCs w:val="19"/>
                </w:rPr>
                <m:t xml:space="preserve">/</m:t>
              </m:r>
              <m:r>
                <w:rPr>
                  <w:rFonts w:ascii="Cambria Math" w:hAnsi="Cambria Math"/>
                  <w:sz w:val="19"/>
                  <w:szCs w:val="19"/>
                </w:rPr>
                <m:t xml:space="preserve">d</m:t>
              </m:r>
              <m:r>
                <m:rPr>
                  <m:sty m:val="p"/>
                </m:rPr>
                <w:rPr>
                  <w:rFonts w:ascii="Cambria Math" w:hAnsi="Cambria Math"/>
                  <w:sz w:val="19"/>
                  <w:szCs w:val="19"/>
                </w:rPr>
                <m:t xml:space="preserve">ADC</m:t>
              </m:r>
              <m:sSup>
                <m:e>
                  <m:r>
                    <w:rPr>
                      <w:rFonts w:ascii="Cambria Math" w:hAnsi="Cambria Math"/>
                      <w:sz w:val="19"/>
                      <w:szCs w:val="19"/>
                    </w:rPr>
                    <m:t xml:space="preserve">)</m:t>
                  </m:r>
                </m:e>
                <m:sup>
                  <m:r>
                    <w:rPr>
                      <w:rFonts w:ascii="Cambria Math" w:hAnsi="Cambria Math"/>
                      <w:sz w:val="19"/>
                      <w:szCs w:val="19"/>
                    </w:rPr>
                    <m:t xml:space="preserve">2</m:t>
                  </m:r>
                </m:sup>
              </m:sSup>
              <m:r>
                <w:rPr>
                  <w:rFonts w:ascii="Cambria Math" w:hAnsi="Cambria Math"/>
                  <w:sz w:val="19"/>
                  <w:szCs w:val="19"/>
                </w:rPr>
                <m:t xml:space="preserve"> </m:t>
              </m:r>
              <m:sSubSup>
                <m:e>
                  <m:r>
                    <w:rPr>
                      <w:rFonts w:ascii="Cambria Math" w:hAnsi="Cambria Math"/>
                      <w:sz w:val="19"/>
                      <w:szCs w:val="19"/>
                    </w:rPr>
                    <m:t xml:space="preserve">u</m:t>
                  </m:r>
                </m:e>
                <m:sub>
                  <m:r>
                    <m:rPr>
                      <m:sty m:val="p"/>
                    </m:rPr>
                    <w:rPr>
                      <w:rFonts w:ascii="Cambria Math" w:hAnsi="Cambria Math"/>
                      <w:sz w:val="19"/>
                      <w:szCs w:val="19"/>
                    </w:rPr>
                    <m:t xml:space="preserve">ADC</m:t>
                  </m:r>
                </m:sub>
                <m:sup>
                  <m:r>
                    <w:rPr>
                      <w:rFonts w:ascii="Cambria Math" w:hAnsi="Cambria Math"/>
                      <w:sz w:val="19"/>
                      <w:szCs w:val="19"/>
                    </w:rPr>
                    <m:t xml:space="preserve">2</m:t>
                  </m:r>
                </m:sup>
              </m:sSubSup>
              <m:r>
                <w:rPr>
                  <w:rFonts w:ascii="Cambria Math" w:hAnsi="Cambria Math"/>
                  <w:sz w:val="19"/>
                  <w:szCs w:val="19"/>
                </w:rPr>
                <m:t xml:space="preserve">+</m:t>
              </m:r>
              <m:sSup>
                <m:e>
                  <m:r>
                    <m:rPr>
                      <m:sty m:val="b"/>
                    </m:rPr>
                    <w:rPr>
                      <w:rFonts w:ascii="Cambria Math" w:hAnsi="Cambria Math"/>
                      <w:sz w:val="19"/>
                      <w:szCs w:val="19"/>
                    </w:rPr>
                    <m:t xml:space="preserve">g</m:t>
                  </m:r>
                </m:e>
                <m:sup>
                  <m:r>
                    <w:rPr>
                      <w:rFonts w:ascii="Cambria Math" w:hAnsi="Cambria Math"/>
                      <w:sz w:val="19"/>
                      <w:szCs w:val="19"/>
                    </w:rPr>
                    <m:t xml:space="preserve">T</m:t>
                  </m:r>
                </m:sup>
              </m:sSup>
              <m:r>
                <m:rPr>
                  <m:sty m:val="b"/>
                </m:rPr>
                <w:rPr>
                  <w:rFonts w:ascii="Cambria Math" w:hAnsi="Cambria Math"/>
                  <w:sz w:val="19"/>
                  <w:szCs w:val="19"/>
                </w:rPr>
                <m:t xml:space="preserve">C</m:t>
              </m:r>
              <m:r>
                <w:rPr>
                  <w:rFonts w:ascii="Cambria Math" w:hAnsi="Cambria Math"/>
                  <w:sz w:val="19"/>
                  <w:szCs w:val="19"/>
                </w:rPr>
                <m:t xml:space="preserve"> </m:t>
              </m:r>
              <m:r>
                <m:rPr>
                  <m:sty m:val="b"/>
                </m:rPr>
                <w:rPr>
                  <w:rFonts w:ascii="Cambria Math" w:hAnsi="Cambria Math"/>
                  <w:sz w:val="19"/>
                  <w:szCs w:val="19"/>
                </w:rPr>
                <m:t xml:space="preserve">g</m:t>
              </m:r>
            </m:e>
          </m:rad>
        </m:oMath>
      </m:oMathPara>
    </w:p>
    <w:p>
      <w:pPr>
        <w:spacing w:after="70" w:before="0" w:line="250" w:lineRule="auto"/>
        <w:jc w:val="both"/>
      </w:pPr>
      <w:r>
        <w:rPr>
          <w:sz w:val="18"/>
          <w:szCs w:val="18"/>
        </w:rPr>
        <w:t xml:space="preserve">Here </w:t>
      </w:r>
      <m:oMath>
        <m:sSub>
          <m:e>
            <m:r>
              <w:rPr>
                <w:rFonts w:ascii="Cambria Math" w:hAnsi="Cambria Math"/>
                <w:sz w:val="18"/>
                <w:szCs w:val="18"/>
              </w:rPr>
              <m:t xml:space="preserve">u</m:t>
            </m:r>
          </m:e>
          <m:sub>
            <m:r>
              <m:rPr>
                <m:sty m:val="p"/>
              </m:rPr>
              <w:rPr>
                <w:rFonts w:ascii="Cambria Math" w:hAnsi="Cambria Math"/>
                <w:sz w:val="18"/>
                <w:szCs w:val="18"/>
              </w:rPr>
              <m:t xml:space="preserve">ref</m:t>
            </m:r>
          </m:sub>
        </m:sSub>
        <m:r>
          <w:rPr>
            <w:rFonts w:ascii="Cambria Math" w:hAnsi="Cambria Math"/>
            <w:sz w:val="18"/>
            <w:szCs w:val="18"/>
          </w:rPr>
          <m:t xml:space="preserve">=</m:t>
        </m:r>
        <m:r>
          <w:rPr>
            <w:rFonts w:ascii="Cambria Math" w:hAnsi="Cambria Math"/>
            <w:sz w:val="18"/>
            <w:szCs w:val="18"/>
          </w:rPr>
          <m:t xml:space="preserve">0.5</m:t>
        </m:r>
      </m:oMath>
      <w:r>
        <w:rPr>
          <w:sz w:val="18"/>
          <w:szCs w:val="18"/>
        </w:rPr>
        <w:t xml:space="preserve"> °C, </w:t>
      </w:r>
      <m:oMath>
        <m:sSub>
          <m:e>
            <m:r>
              <w:rPr>
                <w:rFonts w:ascii="Cambria Math" w:hAnsi="Cambria Math"/>
                <w:sz w:val="18"/>
                <w:szCs w:val="18"/>
              </w:rPr>
              <m:t xml:space="preserve">u</m:t>
            </m:r>
          </m:e>
          <m:sub>
            <m:r>
              <m:rPr>
                <m:sty m:val="p"/>
              </m:rPr>
              <w:rPr>
                <w:rFonts w:ascii="Cambria Math" w:hAnsi="Cambria Math"/>
                <w:sz w:val="18"/>
                <w:szCs w:val="18"/>
              </w:rPr>
              <m:t xml:space="preserve">ADC</m:t>
            </m:r>
          </m:sub>
        </m:sSub>
        <m:r>
          <w:rPr>
            <w:rFonts w:ascii="Cambria Math" w:hAnsi="Cambria Math"/>
            <w:sz w:val="18"/>
            <w:szCs w:val="18"/>
          </w:rPr>
          <m:t xml:space="preserve">=</m:t>
        </m:r>
        <m:r>
          <w:rPr>
            <w:rFonts w:ascii="Cambria Math" w:hAnsi="Cambria Math"/>
            <w:sz w:val="18"/>
            <w:szCs w:val="18"/>
          </w:rPr>
          <m:t xml:space="preserve">0.5</m:t>
        </m:r>
      </m:oMath>
      <w:r>
        <w:rPr>
          <w:sz w:val="18"/>
          <w:szCs w:val="18"/>
        </w:rPr>
        <w:t xml:space="preserve"> count, </w:t>
      </w:r>
      <w:r>
        <w:rPr>
          <w:b w:val="1"/>
          <w:bCs w:val="1"/>
          <w:sz w:val="18"/>
          <w:szCs w:val="18"/>
        </w:rPr>
        <w:t xml:space="preserve">g</w:t>
      </w:r>
      <w:r>
        <w:rPr>
          <w:sz w:val="18"/>
          <w:szCs w:val="18"/>
        </w:rPr>
        <w:t xml:space="preserve"> = </w:t>
      </w:r>
      <m:oMath>
        <m:r>
          <w:rPr>
            <w:rFonts w:ascii="Cambria Math" w:hAnsi="Cambria Math"/>
            <w:sz w:val="18"/>
            <w:szCs w:val="18"/>
          </w:rPr>
          <m:t xml:space="preserve">∂</m:t>
        </m:r>
        <m:r>
          <w:rPr>
            <w:rFonts w:ascii="Cambria Math" w:hAnsi="Cambria Math"/>
            <w:sz w:val="18"/>
            <w:szCs w:val="18"/>
          </w:rPr>
          <m:t xml:space="preserve">T</m:t>
        </m:r>
        <m:r>
          <w:rPr>
            <w:rFonts w:ascii="Cambria Math" w:hAnsi="Cambria Math"/>
            <w:sz w:val="18"/>
            <w:szCs w:val="18"/>
          </w:rPr>
          <m:t xml:space="preserve">/</m:t>
        </m:r>
        <m:r>
          <w:rPr>
            <w:rFonts w:ascii="Cambria Math" w:hAnsi="Cambria Math"/>
            <w:sz w:val="18"/>
            <w:szCs w:val="18"/>
          </w:rPr>
          <m:t xml:space="preserve">∂</m:t>
        </m:r>
        <m:r>
          <w:rPr>
            <w:rFonts w:ascii="Cambria Math" w:hAnsi="Cambria Math"/>
            <w:sz w:val="18"/>
            <w:szCs w:val="18"/>
          </w:rPr>
          <m:t xml:space="preserve">(</m:t>
        </m:r>
        <m:r>
          <m:rPr>
            <m:sty m:val="p"/>
          </m:rPr>
          <w:rPr>
            <w:rFonts w:ascii="Cambria Math" w:hAnsi="Cambria Math"/>
            <w:sz w:val="18"/>
            <w:szCs w:val="18"/>
          </w:rPr>
          <m:t xml:space="preserve">parameters</m:t>
        </m:r>
        <m:r>
          <w:rPr>
            <w:rFonts w:ascii="Cambria Math" w:hAnsi="Cambria Math"/>
            <w:sz w:val="18"/>
            <w:szCs w:val="18"/>
          </w:rPr>
          <m:t xml:space="preserve">)</m:t>
        </m:r>
      </m:oMath>
      <w:r>
        <w:rPr>
          <w:sz w:val="18"/>
          <w:szCs w:val="18"/>
        </w:rPr>
        <w:t xml:space="preserve"> and </w:t>
      </w:r>
      <w:r>
        <w:rPr>
          <w:b w:val="1"/>
          <w:bCs w:val="1"/>
          <w:sz w:val="18"/>
          <w:szCs w:val="18"/>
        </w:rPr>
        <w:t xml:space="preserve">C</w:t>
      </w:r>
      <w:r>
        <w:rPr>
          <w:sz w:val="18"/>
          <w:szCs w:val="18"/>
        </w:rPr>
        <w:t xml:space="preserve"> is the parameter covariance matrix. The reference dominates (the ADC term is at most 0.12 °C and the fit term at most 0.04 °C). So the largest </w:t>
      </w:r>
      <w:r>
        <w:rPr>
          <w:i w:val="1"/>
          <w:iCs w:val="1"/>
          <w:sz w:val="18"/>
          <w:szCs w:val="18"/>
        </w:rPr>
        <w:t xml:space="preserve">u</w:t>
      </w:r>
      <w:r>
        <w:rPr>
          <w:sz w:val="18"/>
          <w:szCs w:val="18"/>
          <w:vertAlign w:val="subscript"/>
        </w:rPr>
        <w:t xml:space="preserve">T</w:t>
      </w:r>
      <w:r>
        <w:rPr>
          <w:sz w:val="18"/>
          <w:szCs w:val="18"/>
        </w:rPr>
        <w:t xml:space="preserve"> is </w:t>
      </w:r>
      <w:r>
        <w:rPr>
          <w:b w:val="1"/>
          <w:bCs w:val="1"/>
          <w:sz w:val="18"/>
          <w:szCs w:val="18"/>
        </w:rPr>
        <w:t xml:space="preserve">±0.51 °C</w:t>
      </w:r>
      <w:r>
        <w:rPr>
          <w:sz w:val="18"/>
          <w:szCs w:val="18"/>
        </w:rPr>
        <w:t xml:space="preserve"> for the cubic and </w:t>
      </w:r>
      <w:r>
        <w:rPr>
          <w:b w:val="1"/>
          <w:bCs w:val="1"/>
          <w:sz w:val="18"/>
          <w:szCs w:val="18"/>
        </w:rPr>
        <w:t xml:space="preserve">±0.52 °C</w:t>
      </w:r>
      <w:r>
        <w:rPr>
          <w:sz w:val="18"/>
          <w:szCs w:val="18"/>
        </w:rPr>
        <w:t xml:space="preserve"> for the β-model, or about ±1.0 °C at 95 %. This is close to the measured RMSE and agrees with the ±1.06 °C prediction band.</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Discussion &amp; Conclusion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0" w:before="0" w:lineRule="auto"/>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pPr>
        <w:spacing w:after="70" w:before="0" w:line="250" w:lineRule="auto"/>
        <w:jc w:val="both"/>
      </w:pPr>
      <w:r>
        <w:rPr>
          <w:sz w:val="18"/>
          <w:szCs w:val="18"/>
        </w:rPr>
        <w:t xml:space="preserve">Both models calibrate the thermistor to within the ±1 °C uncertainty of the DS18B20, and their RMSE differ by only 0.06 °C. The cubic is slightly better inside the measured range (0–98 °C). The β-model is almost as good with half the parameters, works well outside the range, and gives a real physical constant. The relative sensitivity </w:t>
      </w:r>
      <m:oMath>
        <m:r>
          <w:rPr>
            <w:rFonts w:ascii="Cambria Math" w:hAnsi="Cambria Math"/>
            <w:sz w:val="18"/>
            <w:szCs w:val="18"/>
          </w:rPr>
          <m:t xml:space="preserve">α</m:t>
        </m:r>
        <m:r>
          <w:rPr>
            <w:rFonts w:ascii="Cambria Math" w:hAnsi="Cambria Math"/>
            <w:sz w:val="18"/>
            <w:szCs w:val="18"/>
          </w:rPr>
          <m:t xml:space="preserve">=</m:t>
        </m:r>
        <m:r>
          <w:rPr>
            <w:rFonts w:ascii="Cambria Math" w:hAnsi="Cambria Math"/>
            <w:sz w:val="18"/>
            <w:szCs w:val="18"/>
          </w:rPr>
          <m:t xml:space="preserve">-</m:t>
        </m:r>
        <m:r>
          <w:rPr>
            <w:rFonts w:ascii="Cambria Math" w:hAnsi="Cambria Math"/>
            <w:sz w:val="18"/>
            <w:szCs w:val="18"/>
          </w:rPr>
          <m:t xml:space="preserve">β</m:t>
        </m:r>
        <m:r>
          <w:rPr>
            <w:rFonts w:ascii="Cambria Math" w:hAnsi="Cambria Math"/>
            <w:sz w:val="18"/>
            <w:szCs w:val="18"/>
          </w:rPr>
          <m:t xml:space="preserve">/</m:t>
        </m:r>
        <m:sSup>
          <m:e>
            <m:r>
              <w:rPr>
                <w:rFonts w:ascii="Cambria Math" w:hAnsi="Cambria Math"/>
                <w:sz w:val="18"/>
                <w:szCs w:val="18"/>
              </w:rPr>
              <m:t xml:space="preserve">T</m:t>
            </m:r>
          </m:e>
          <m:sup>
            <m:r>
              <w:rPr>
                <w:rFonts w:ascii="Cambria Math" w:hAnsi="Cambria Math"/>
                <w:sz w:val="18"/>
                <w:szCs w:val="18"/>
              </w:rPr>
              <m:t xml:space="preserve">2</m:t>
            </m:r>
          </m:sup>
        </m:sSup>
      </m:oMath>
      <w:r>
        <w:rPr>
          <w:sz w:val="18"/>
          <w:szCs w:val="18"/>
        </w:rPr>
        <w:t xml:space="preserve"> is about −5.3 %/K at 0 °C and −2.9 %/K at 98 °C. The heating/cooling gap is below the reference uncertainty, so one calibration works for both directions. The final equations are:</w:t>
      </w:r>
    </w:p>
    <w:p>
      <w:pPr>
        <w:spacing w:before="20" w:after="50" w:line="250" w:lineRule="auto"/>
        <w:jc w:val="center"/>
      </w:pPr>
      <m:oMathPara>
        <m:oMathParaPr>
          <m:jc m:val="center"/>
        </m:oMathParaPr>
        <m:oMath>
          <m:r>
            <w:rPr>
              <w:rFonts w:ascii="Cambria Math" w:hAnsi="Cambria Math"/>
              <w:sz w:val="19"/>
              <w:szCs w:val="19"/>
            </w:rPr>
            <m:t xml:space="preserve">T</m:t>
          </m:r>
          <m:r>
            <w:rPr>
              <w:rFonts w:ascii="Cambria Math" w:hAnsi="Cambria Math"/>
              <w:sz w:val="19"/>
              <w:szCs w:val="19"/>
            </w:rPr>
            <m:t xml:space="preserve">=</m:t>
          </m:r>
          <m:r>
            <w:rPr>
              <w:rFonts w:ascii="Cambria Math" w:hAnsi="Cambria Math"/>
              <w:sz w:val="19"/>
              <w:szCs w:val="19"/>
            </w:rPr>
            <m:t xml:space="preserve">1.869</m:t>
          </m:r>
          <m:r>
            <w:rPr>
              <w:rFonts w:ascii="Cambria Math" w:hAnsi="Cambria Math"/>
              <w:sz w:val="19"/>
              <w:szCs w:val="19"/>
            </w:rPr>
            <m:t xml:space="preserve">×</m:t>
          </m:r>
          <m:sSup>
            <m:e>
              <m:r>
                <w:rPr>
                  <w:rFonts w:ascii="Cambria Math" w:hAnsi="Cambria Math"/>
                  <w:sz w:val="19"/>
                  <w:szCs w:val="19"/>
                </w:rPr>
                <m:t xml:space="preserve">10</m:t>
              </m:r>
            </m:e>
            <m:sup>
              <m:r>
                <w:rPr>
                  <w:rFonts w:ascii="Cambria Math" w:hAnsi="Cambria Math"/>
                  <w:sz w:val="19"/>
                  <w:szCs w:val="19"/>
                </w:rPr>
                <m:t xml:space="preserve">-</m:t>
              </m:r>
              <m:r>
                <w:rPr>
                  <w:rFonts w:ascii="Cambria Math" w:hAnsi="Cambria Math"/>
                  <w:sz w:val="19"/>
                  <w:szCs w:val="19"/>
                </w:rPr>
                <m:t xml:space="preserve">7</m:t>
              </m:r>
            </m:sup>
          </m:sSup>
          <m:sSup>
            <m:e>
              <m:r>
                <w:rPr>
                  <w:rFonts w:ascii="Cambria Math" w:hAnsi="Cambria Math"/>
                  <w:sz w:val="19"/>
                  <w:szCs w:val="19"/>
                </w:rPr>
                <m:t xml:space="preserve">a</m:t>
              </m:r>
            </m:e>
            <m:sup>
              <m:r>
                <w:rPr>
                  <w:rFonts w:ascii="Cambria Math" w:hAnsi="Cambria Math"/>
                  <w:sz w:val="19"/>
                  <w:szCs w:val="19"/>
                </w:rPr>
                <m:t xml:space="preserve">3</m:t>
              </m:r>
            </m:sup>
          </m:sSup>
          <m:r>
            <w:rPr>
              <w:rFonts w:ascii="Cambria Math" w:hAnsi="Cambria Math"/>
              <w:sz w:val="19"/>
              <w:szCs w:val="19"/>
            </w:rPr>
            <m:t xml:space="preserve">-</m:t>
          </m:r>
          <m:r>
            <w:rPr>
              <w:rFonts w:ascii="Cambria Math" w:hAnsi="Cambria Math"/>
              <w:sz w:val="19"/>
              <w:szCs w:val="19"/>
            </w:rPr>
            <m:t xml:space="preserve">2.495</m:t>
          </m:r>
          <m:r>
            <w:rPr>
              <w:rFonts w:ascii="Cambria Math" w:hAnsi="Cambria Math"/>
              <w:sz w:val="19"/>
              <w:szCs w:val="19"/>
            </w:rPr>
            <m:t xml:space="preserve">×</m:t>
          </m:r>
          <m:sSup>
            <m:e>
              <m:r>
                <w:rPr>
                  <w:rFonts w:ascii="Cambria Math" w:hAnsi="Cambria Math"/>
                  <w:sz w:val="19"/>
                  <w:szCs w:val="19"/>
                </w:rPr>
                <m:t xml:space="preserve">10</m:t>
              </m:r>
            </m:e>
            <m:sup>
              <m:r>
                <w:rPr>
                  <w:rFonts w:ascii="Cambria Math" w:hAnsi="Cambria Math"/>
                  <w:sz w:val="19"/>
                  <w:szCs w:val="19"/>
                </w:rPr>
                <m:t xml:space="preserve">-</m:t>
              </m:r>
              <m:r>
                <w:rPr>
                  <w:rFonts w:ascii="Cambria Math" w:hAnsi="Cambria Math"/>
                  <w:sz w:val="19"/>
                  <w:szCs w:val="19"/>
                </w:rPr>
                <m:t xml:space="preserve">4</m:t>
              </m:r>
            </m:sup>
          </m:sSup>
          <m:sSup>
            <m:e>
              <m:r>
                <w:rPr>
                  <w:rFonts w:ascii="Cambria Math" w:hAnsi="Cambria Math"/>
                  <w:sz w:val="19"/>
                  <w:szCs w:val="19"/>
                </w:rPr>
                <m:t xml:space="preserve">a</m:t>
              </m:r>
            </m:e>
            <m:sup>
              <m:r>
                <w:rPr>
                  <w:rFonts w:ascii="Cambria Math" w:hAnsi="Cambria Math"/>
                  <w:sz w:val="19"/>
                  <w:szCs w:val="19"/>
                </w:rPr>
                <m:t xml:space="preserve">2</m:t>
              </m:r>
            </m:sup>
          </m:sSup>
          <m:r>
            <w:rPr>
              <w:rFonts w:ascii="Cambria Math" w:hAnsi="Cambria Math"/>
              <w:sz w:val="19"/>
              <w:szCs w:val="19"/>
            </w:rPr>
            <m:t xml:space="preserve">+</m:t>
          </m:r>
          <m:r>
            <w:rPr>
              <w:rFonts w:ascii="Cambria Math" w:hAnsi="Cambria Math"/>
              <w:sz w:val="19"/>
              <w:szCs w:val="19"/>
            </w:rPr>
            <m:t xml:space="preserve">0.2134</m:t>
          </m:r>
          <m:r>
            <w:rPr>
              <w:rFonts w:ascii="Cambria Math" w:hAnsi="Cambria Math"/>
              <w:sz w:val="19"/>
              <w:szCs w:val="19"/>
            </w:rPr>
            <m:t xml:space="preserve">a</m:t>
          </m:r>
          <m:r>
            <w:rPr>
              <w:rFonts w:ascii="Cambria Math" w:hAnsi="Cambria Math"/>
              <w:sz w:val="19"/>
              <w:szCs w:val="19"/>
            </w:rPr>
            <m:t xml:space="preserve">-</m:t>
          </m:r>
          <m:r>
            <w:rPr>
              <w:rFonts w:ascii="Cambria Math" w:hAnsi="Cambria Math"/>
              <w:sz w:val="19"/>
              <w:szCs w:val="19"/>
            </w:rPr>
            <m:t xml:space="preserve">17.559</m:t>
          </m:r>
          <m:r>
            <w:rPr>
              <w:rFonts w:ascii="Cambria Math" w:hAnsi="Cambria Math"/>
              <w:sz w:val="19"/>
              <w:szCs w:val="19"/>
            </w:rPr>
            <m:t xml:space="preserve"> </m:t>
          </m:r>
          <m:r>
            <w:rPr>
              <w:rFonts w:ascii="Cambria Math" w:hAnsi="Cambria Math"/>
              <w:sz w:val="19"/>
              <w:szCs w:val="19"/>
            </w:rPr>
            <m:t xml:space="preserve">°</m:t>
          </m:r>
          <m:r>
            <m:rPr>
              <m:sty m:val="p"/>
            </m:rPr>
            <w:rPr>
              <w:rFonts w:ascii="Cambria Math" w:hAnsi="Cambria Math"/>
              <w:sz w:val="19"/>
              <w:szCs w:val="19"/>
            </w:rPr>
            <m:t xml:space="preserve">C</m:t>
          </m:r>
          <m:r>
            <w:rPr>
              <w:rFonts w:ascii="Cambria Math" w:hAnsi="Cambria Math"/>
              <w:sz w:val="19"/>
              <w:szCs w:val="19"/>
            </w:rPr>
            <m:t xml:space="preserve"> </m:t>
          </m:r>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1.06</m:t>
          </m:r>
          <m:r>
            <w:rPr>
              <w:rFonts w:ascii="Cambria Math" w:hAnsi="Cambria Math"/>
              <w:sz w:val="19"/>
              <w:szCs w:val="19"/>
            </w:rPr>
            <m:t xml:space="preserve"> </m:t>
          </m:r>
          <m:r>
            <w:rPr>
              <w:rFonts w:ascii="Cambria Math" w:hAnsi="Cambria Math"/>
              <w:sz w:val="19"/>
              <w:szCs w:val="19"/>
            </w:rPr>
            <m:t xml:space="preserve">°</m:t>
          </m:r>
          <m:r>
            <m:rPr>
              <m:sty m:val="p"/>
            </m:rPr>
            <w:rPr>
              <w:rFonts w:ascii="Cambria Math" w:hAnsi="Cambria Math"/>
              <w:sz w:val="19"/>
              <w:szCs w:val="19"/>
            </w:rPr>
            <m:t xml:space="preserve">C</m:t>
          </m:r>
          <m:r>
            <w:rPr>
              <w:rFonts w:ascii="Cambria Math" w:hAnsi="Cambria Math"/>
              <w:sz w:val="19"/>
              <w:szCs w:val="19"/>
            </w:rPr>
            <m:t xml:space="preserve">, </m:t>
          </m:r>
          <m:r>
            <w:rPr>
              <w:rFonts w:ascii="Cambria Math" w:hAnsi="Cambria Math"/>
              <w:sz w:val="19"/>
              <w:szCs w:val="19"/>
            </w:rPr>
            <m:t xml:space="preserve"> </m:t>
          </m:r>
          <m:r>
            <w:rPr>
              <w:rFonts w:ascii="Cambria Math" w:hAnsi="Cambria Math"/>
              <w:sz w:val="19"/>
              <w:szCs w:val="19"/>
            </w:rPr>
            <m:t xml:space="preserve">95</m:t>
          </m:r>
          <m:r>
            <w:rPr>
              <w:rFonts w:ascii="Cambria Math" w:hAnsi="Cambria Math"/>
              <w:sz w:val="19"/>
              <w:szCs w:val="19"/>
            </w:rPr>
            <m:t xml:space="preserve">%</m:t>
          </m:r>
          <m:r>
            <w:rPr>
              <w:rFonts w:ascii="Cambria Math" w:hAnsi="Cambria Math"/>
              <w:sz w:val="19"/>
              <w:szCs w:val="19"/>
            </w:rPr>
            <m:t xml:space="preserve">)</m:t>
          </m:r>
        </m:oMath>
      </m:oMathPara>
    </w:p>
    <w:p>
      <w:pPr>
        <w:spacing w:before="20" w:after="50" w:line="250" w:lineRule="auto"/>
        <w:jc w:val="center"/>
      </w:pPr>
      <m:oMathPara>
        <m:oMathParaPr>
          <m:jc m:val="center"/>
        </m:oMathParaPr>
        <m:oMath>
          <m:r>
            <w:rPr>
              <w:rFonts w:ascii="Cambria Math" w:hAnsi="Cambria Math"/>
              <w:sz w:val="19"/>
              <w:szCs w:val="19"/>
            </w:rPr>
            <m:t xml:space="preserve">T</m:t>
          </m:r>
          <m:r>
            <w:rPr>
              <w:rFonts w:ascii="Cambria Math" w:hAnsi="Cambria Math"/>
              <w:sz w:val="19"/>
              <w:szCs w:val="19"/>
            </w:rPr>
            <m:t xml:space="preserve">=</m:t>
          </m:r>
          <m:r>
            <w:rPr>
              <w:rFonts w:ascii="Cambria Math" w:hAnsi="Cambria Math"/>
              <w:sz w:val="19"/>
              <w:szCs w:val="19"/>
            </w:rPr>
            <m:t xml:space="preserve">1</m:t>
          </m:r>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2.520</m:t>
          </m:r>
          <m:r>
            <w:rPr>
              <w:rFonts w:ascii="Cambria Math" w:hAnsi="Cambria Math"/>
              <w:sz w:val="19"/>
              <w:szCs w:val="19"/>
            </w:rPr>
            <m:t xml:space="preserve">×</m:t>
          </m:r>
          <m:sSup>
            <m:e>
              <m:r>
                <w:rPr>
                  <w:rFonts w:ascii="Cambria Math" w:hAnsi="Cambria Math"/>
                  <w:sz w:val="19"/>
                  <w:szCs w:val="19"/>
                </w:rPr>
                <m:t xml:space="preserve">10</m:t>
              </m:r>
            </m:e>
            <m:sup>
              <m:r>
                <w:rPr>
                  <w:rFonts w:ascii="Cambria Math" w:hAnsi="Cambria Math"/>
                  <w:sz w:val="19"/>
                  <w:szCs w:val="19"/>
                </w:rPr>
                <m:t xml:space="preserve">-</m:t>
              </m:r>
              <m:r>
                <w:rPr>
                  <w:rFonts w:ascii="Cambria Math" w:hAnsi="Cambria Math"/>
                  <w:sz w:val="19"/>
                  <w:szCs w:val="19"/>
                </w:rPr>
                <m:t xml:space="preserve">4</m:t>
              </m:r>
            </m:sup>
          </m:sSup>
          <m:r>
            <m:rPr>
              <m:sty m:val="p"/>
            </m:rPr>
            <w:rPr>
              <w:rFonts w:ascii="Cambria Math" w:hAnsi="Cambria Math"/>
              <w:sz w:val="19"/>
              <w:szCs w:val="19"/>
            </w:rPr>
            <m:t xml:space="preserve">ln</m:t>
          </m:r>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1023</m:t>
          </m:r>
          <m:r>
            <w:rPr>
              <w:rFonts w:ascii="Cambria Math" w:hAnsi="Cambria Math"/>
              <w:sz w:val="19"/>
              <w:szCs w:val="19"/>
            </w:rPr>
            <m:t xml:space="preserve">-</m:t>
          </m:r>
          <m:r>
            <w:rPr>
              <w:rFonts w:ascii="Cambria Math" w:hAnsi="Cambria Math"/>
              <w:sz w:val="19"/>
              <w:szCs w:val="19"/>
            </w:rPr>
            <m:t xml:space="preserve">a</m:t>
          </m:r>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a</m:t>
          </m:r>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3.0842</m:t>
          </m:r>
          <m:r>
            <w:rPr>
              <w:rFonts w:ascii="Cambria Math" w:hAnsi="Cambria Math"/>
              <w:sz w:val="19"/>
              <w:szCs w:val="19"/>
            </w:rPr>
            <m:t xml:space="preserve">×</m:t>
          </m:r>
          <m:sSup>
            <m:e>
              <m:r>
                <w:rPr>
                  <w:rFonts w:ascii="Cambria Math" w:hAnsi="Cambria Math"/>
                  <w:sz w:val="19"/>
                  <w:szCs w:val="19"/>
                </w:rPr>
                <m:t xml:space="preserve">10</m:t>
              </m:r>
            </m:e>
            <m:sup>
              <m:r>
                <w:rPr>
                  <w:rFonts w:ascii="Cambria Math" w:hAnsi="Cambria Math"/>
                  <w:sz w:val="19"/>
                  <w:szCs w:val="19"/>
                </w:rPr>
                <m:t xml:space="preserve">-</m:t>
              </m:r>
              <m:r>
                <w:rPr>
                  <w:rFonts w:ascii="Cambria Math" w:hAnsi="Cambria Math"/>
                  <w:sz w:val="19"/>
                  <w:szCs w:val="19"/>
                </w:rPr>
                <m:t xml:space="preserve">3</m:t>
              </m:r>
            </m:sup>
          </m:sSup>
          <m:r>
            <w:rPr>
              <w:rFonts w:ascii="Cambria Math" w:hAnsi="Cambria Math"/>
              <w:sz w:val="19"/>
              <w:szCs w:val="19"/>
            </w:rPr>
            <m:t xml:space="preserve">]</m:t>
          </m:r>
          <m:r>
            <w:rPr>
              <w:rFonts w:ascii="Cambria Math" w:hAnsi="Cambria Math"/>
              <w:sz w:val="19"/>
              <w:szCs w:val="19"/>
            </w:rPr>
            <m:t xml:space="preserve">-</m:t>
          </m:r>
          <m:r>
            <w:rPr>
              <w:rFonts w:ascii="Cambria Math" w:hAnsi="Cambria Math"/>
              <w:sz w:val="19"/>
              <w:szCs w:val="19"/>
            </w:rPr>
            <m:t xml:space="preserve">273.15</m:t>
          </m:r>
          <m:r>
            <w:rPr>
              <w:rFonts w:ascii="Cambria Math" w:hAnsi="Cambria Math"/>
              <w:sz w:val="19"/>
              <w:szCs w:val="19"/>
            </w:rPr>
            <m:t xml:space="preserve"> </m:t>
          </m:r>
          <m:r>
            <w:rPr>
              <w:rFonts w:ascii="Cambria Math" w:hAnsi="Cambria Math"/>
              <w:sz w:val="19"/>
              <w:szCs w:val="19"/>
            </w:rPr>
            <m:t xml:space="preserve">°</m:t>
          </m:r>
          <m:r>
            <m:rPr>
              <m:sty m:val="p"/>
            </m:rPr>
            <w:rPr>
              <w:rFonts w:ascii="Cambria Math" w:hAnsi="Cambria Math"/>
              <w:sz w:val="19"/>
              <w:szCs w:val="19"/>
            </w:rPr>
            <m:t xml:space="preserve">C</m:t>
          </m:r>
          <m:r>
            <w:rPr>
              <w:rFonts w:ascii="Cambria Math" w:hAnsi="Cambria Math"/>
              <w:sz w:val="19"/>
              <w:szCs w:val="19"/>
            </w:rPr>
            <m:t xml:space="preserve"> </m:t>
          </m:r>
          <m:r>
            <w:rPr>
              <w:rFonts w:ascii="Cambria Math" w:hAnsi="Cambria Math"/>
              <w:sz w:val="19"/>
              <w:szCs w:val="19"/>
            </w:rPr>
            <m:t xml:space="preserve">(</m:t>
          </m:r>
          <m:r>
            <w:rPr>
              <w:rFonts w:ascii="Cambria Math" w:hAnsi="Cambria Math"/>
              <w:sz w:val="19"/>
              <w:szCs w:val="19"/>
            </w:rPr>
            <m:t xml:space="preserve">β</m:t>
          </m:r>
          <m:r>
            <w:rPr>
              <w:rFonts w:ascii="Cambria Math" w:hAnsi="Cambria Math"/>
              <w:sz w:val="19"/>
              <w:szCs w:val="19"/>
            </w:rPr>
            <m:t xml:space="preserve">=</m:t>
          </m:r>
          <m:r>
            <w:rPr>
              <w:rFonts w:ascii="Cambria Math" w:hAnsi="Cambria Math"/>
              <w:sz w:val="19"/>
              <w:szCs w:val="19"/>
            </w:rPr>
            <m:t xml:space="preserve">3965.3</m:t>
          </m:r>
          <m:r>
            <w:rPr>
              <w:rFonts w:ascii="Cambria Math" w:hAnsi="Cambria Math"/>
              <w:sz w:val="19"/>
              <w:szCs w:val="19"/>
            </w:rPr>
            <m:t xml:space="preserve"> </m:t>
          </m:r>
          <m:r>
            <m:rPr>
              <m:sty m:val="p"/>
            </m:rPr>
            <w:rPr>
              <w:rFonts w:ascii="Cambria Math" w:hAnsi="Cambria Math"/>
              <w:sz w:val="19"/>
              <w:szCs w:val="19"/>
            </w:rPr>
            <m:t xml:space="preserve">K</m:t>
          </m:r>
          <m:r>
            <w:rPr>
              <w:rFonts w:ascii="Cambria Math" w:hAnsi="Cambria Math"/>
              <w:sz w:val="19"/>
              <w:szCs w:val="19"/>
            </w:rPr>
            <m:t xml:space="preserve">)</m:t>
          </m:r>
        </m:oMath>
      </m:oMathPara>
    </w:p>
    <w:p>
      <w:pPr>
        <w:spacing w:after="70" w:before="40" w:line="250" w:lineRule="auto"/>
        <w:jc w:val="both"/>
      </w:pPr>
      <w:r>
        <w:rPr>
          <w:b w:val="1"/>
          <w:bCs w:val="1"/>
          <w:sz w:val="18"/>
          <w:szCs w:val="18"/>
        </w:rPr>
        <w:t xml:space="preserve">Limits.</w:t>
      </w:r>
      <w:r>
        <w:rPr>
          <w:sz w:val="18"/>
          <w:szCs w:val="18"/>
        </w:rPr>
        <w:t xml:space="preserve"> The DS18B20 is only accurate to ±0.5 °C, lag between the sensors adds error during fast changes, and only three runs were usable, so do not use the cubic outside 0–98 °C. We recommend the β-model as the main calibration, and the cubic only when you need the lowest error inside this range.</w:t>
      </w:r>
    </w:p>
    <w:p w:rsidR="00000000" w:rsidDel="00000000" w:rsidP="00000000" w:rsidRDefault="00000000" w:rsidRPr="00000000" w14:paraId="00000020">
      <w:pPr>
        <w:pStyle w:val="Heading2"/>
        <w:pageBreakBefore/>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Prelab Activities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0" w:before="0" w:lineRule="auto"/>
        <w:ind w:left="120" w:right="120" w:firstLine="0"/>
        <w:rPr/>
      </w:pPr>
      <w:r w:rsidDel="00000000" w:rsidR="00000000" w:rsidRPr="00000000">
        <w:pict>
          <v:rect style="width:0.0pt;height:1.5pt" o:hr="t" o:hrstd="t" o:hralign="center" fillcolor="#A0A0A0" stroked="f"/>
        </w:pict>
      </w:r>
      <w:r w:rsidDel="00000000" w:rsidR="00000000" w:rsidRPr="00000000">
        <w:rPr>
          <w:rtl w:val="0"/>
        </w:rPr>
      </w:r>
    </w:p>
    <w:p>
      <w:pPr>
        <w:spacing w:after="30" w:before="0" w:line="250" w:lineRule="auto"/>
        <w:ind w:left="360" w:hanging="360"/>
      </w:pPr>
      <w:r>
        <w:rPr>
          <w:sz w:val="18"/>
          <w:szCs w:val="18"/>
        </w:rPr>
        <w:t xml:space="preserve">1.	</w:t>
      </w:r>
      <w:r>
        <w:rPr>
          <w:b w:val="1"/>
          <w:bCs w:val="1"/>
          <w:sz w:val="18"/>
          <w:szCs w:val="18"/>
        </w:rPr>
        <w:t xml:space="preserve">Nominal resistance.</w:t>
      </w:r>
      <w:r>
        <w:rPr>
          <w:sz w:val="18"/>
          <w:szCs w:val="18"/>
        </w:rPr>
        <w:t xml:space="preserve"> It is the resistance of the thermistor at the reference temperature of 25 °C (</w:t>
      </w:r>
      <w:r>
        <w:rPr>
          <w:i w:val="1"/>
          <w:iCs w:val="1"/>
          <w:sz w:val="18"/>
          <w:szCs w:val="18"/>
        </w:rPr>
        <w:t xml:space="preserve">R</w:t>
      </w:r>
      <w:r>
        <w:rPr>
          <w:sz w:val="18"/>
          <w:szCs w:val="18"/>
          <w:vertAlign w:val="subscript"/>
        </w:rPr>
        <w:t xml:space="preserve">25</w:t>
      </w:r>
      <w:r>
        <w:rPr>
          <w:sz w:val="18"/>
          <w:szCs w:val="18"/>
        </w:rPr>
        <w:t xml:space="preserve">), given in the datasheet with a tolerance. Here it is 3.3 kΩ.</w:t>
      </w:r>
    </w:p>
    <w:p>
      <w:pPr>
        <w:spacing w:after="30" w:before="0" w:line="250" w:lineRule="auto"/>
        <w:ind w:left="360" w:hanging="360"/>
      </w:pPr>
      <w:r>
        <w:rPr>
          <w:sz w:val="18"/>
          <w:szCs w:val="18"/>
        </w:rPr>
        <w:t xml:space="preserve">2.	</w:t>
      </w:r>
      <w:r>
        <w:rPr>
          <w:b w:val="1"/>
          <w:bCs w:val="1"/>
          <w:sz w:val="18"/>
          <w:szCs w:val="18"/>
        </w:rPr>
        <w:t xml:space="preserve">Interfacing methods.</w:t>
      </w:r>
    </w:p>
    <w:p>
      <w:pPr>
        <w:spacing w:after="20" w:before="0" w:line="250" w:lineRule="auto"/>
        <w:ind w:left="720" w:hanging="360"/>
      </w:pPr>
      <w:r>
        <w:rPr>
          <w:sz w:val="18"/>
          <w:szCs w:val="18"/>
        </w:rPr>
        <w:t xml:space="preserve">•	</w:t>
      </w:r>
      <w:r>
        <w:rPr>
          <w:i w:val="1"/>
          <w:iCs w:val="1"/>
          <w:sz w:val="18"/>
          <w:szCs w:val="18"/>
        </w:rPr>
        <w:t xml:space="preserve">Voltage divider:</w:t>
      </w:r>
      <w:r>
        <w:rPr>
          <w:sz w:val="18"/>
          <w:szCs w:val="18"/>
        </w:rPr>
        <w:t xml:space="preserve"> simplest and cheapest, and an ADC reads it directly. The output is not linear, and the divider current causes self-heating.</w:t>
      </w:r>
    </w:p>
    <w:p>
      <w:pPr>
        <w:spacing w:after="20" w:before="0" w:line="250" w:lineRule="auto"/>
        <w:ind w:left="720" w:hanging="360"/>
      </w:pPr>
      <w:r>
        <w:rPr>
          <w:sz w:val="18"/>
          <w:szCs w:val="18"/>
        </w:rPr>
        <w:t xml:space="preserve">•	</w:t>
      </w:r>
      <w:r>
        <w:rPr>
          <w:i w:val="1"/>
          <w:iCs w:val="1"/>
          <w:sz w:val="18"/>
          <w:szCs w:val="18"/>
        </w:rPr>
        <w:t xml:space="preserve">Wheatstone bridge:</w:t>
      </w:r>
      <w:r>
        <w:rPr>
          <w:sz w:val="18"/>
          <w:szCs w:val="18"/>
        </w:rPr>
        <w:t xml:space="preserve"> cancels the offset and is very sensitive to small changes. It needs more resistors and an amplifier.</w:t>
      </w:r>
    </w:p>
    <w:p>
      <w:pPr>
        <w:spacing w:after="20" w:before="0" w:line="250" w:lineRule="auto"/>
        <w:ind w:left="720" w:hanging="360"/>
      </w:pPr>
      <w:r>
        <w:rPr>
          <w:sz w:val="18"/>
          <w:szCs w:val="18"/>
        </w:rPr>
        <w:t xml:space="preserve">•	</w:t>
      </w:r>
      <w:r>
        <w:rPr>
          <w:i w:val="1"/>
          <w:iCs w:val="1"/>
          <w:sz w:val="18"/>
          <w:szCs w:val="18"/>
        </w:rPr>
        <w:t xml:space="preserve">Constant-current source:</w:t>
      </w:r>
      <w:r>
        <w:rPr>
          <w:sz w:val="18"/>
          <w:szCs w:val="18"/>
        </w:rPr>
        <w:t xml:space="preserve"> the voltage is proportional to the resistance, so the divider non-linearity is gone. It needs a current source and still self-heats.</w:t>
      </w:r>
    </w:p>
    <w:p>
      <w:pPr>
        <w:spacing w:after="20" w:before="0" w:line="250" w:lineRule="auto"/>
        <w:ind w:left="720" w:hanging="360"/>
      </w:pPr>
      <w:r>
        <w:rPr>
          <w:sz w:val="18"/>
          <w:szCs w:val="18"/>
        </w:rPr>
        <w:t xml:space="preserve">•	</w:t>
      </w:r>
      <w:r>
        <w:rPr>
          <w:i w:val="1"/>
          <w:iCs w:val="1"/>
          <w:sz w:val="18"/>
          <w:szCs w:val="18"/>
        </w:rPr>
        <w:t xml:space="preserve">Op-amp or linearising network:</w:t>
      </w:r>
      <w:r>
        <w:rPr>
          <w:sz w:val="18"/>
          <w:szCs w:val="18"/>
        </w:rPr>
        <w:t xml:space="preserve"> gives gain or a straighter response. It needs more parts and also amplifies noise.</w:t>
      </w:r>
    </w:p>
    <w:p>
      <w:pPr>
        <w:spacing w:after="20" w:before="0" w:line="250" w:lineRule="auto"/>
        <w:ind w:left="720" w:hanging="360"/>
      </w:pPr>
      <w:r>
        <w:rPr>
          <w:sz w:val="18"/>
          <w:szCs w:val="18"/>
        </w:rPr>
        <w:t xml:space="preserve">•	</w:t>
      </w:r>
      <w:r>
        <w:rPr>
          <w:i w:val="1"/>
          <w:iCs w:val="1"/>
          <w:sz w:val="18"/>
          <w:szCs w:val="18"/>
        </w:rPr>
        <w:t xml:space="preserve">RC timing or digital converter:</w:t>
      </w:r>
      <w:r>
        <w:rPr>
          <w:sz w:val="18"/>
          <w:szCs w:val="18"/>
        </w:rPr>
        <w:t xml:space="preserve"> gives a digital output with good accuracy. It needs timing code or a special chip.</w:t>
      </w:r>
    </w:p>
    <w:p>
      <w:pPr>
        <w:spacing w:after="30" w:before="0" w:line="250" w:lineRule="auto"/>
        <w:ind w:left="360" w:hanging="360"/>
      </w:pPr>
      <w:r>
        <w:rPr>
          <w:sz w:val="18"/>
          <w:szCs w:val="18"/>
        </w:rPr>
        <w:t xml:space="preserve">3.	</w:t>
      </w:r>
      <w:r>
        <w:rPr>
          <w:b w:val="1"/>
          <w:bCs w:val="1"/>
          <w:sz w:val="18"/>
          <w:szCs w:val="18"/>
        </w:rPr>
        <w:t xml:space="preserve">Terms.</w:t>
      </w:r>
      <w:r>
        <w:rPr>
          <w:sz w:val="18"/>
          <w:szCs w:val="18"/>
        </w:rPr>
        <w:t xml:space="preserve"> </w:t>
      </w:r>
      <w:r>
        <w:rPr>
          <w:i w:val="1"/>
          <w:iCs w:val="1"/>
          <w:sz w:val="18"/>
          <w:szCs w:val="18"/>
        </w:rPr>
        <w:t xml:space="preserve">Accuracy</w:t>
      </w:r>
      <w:r>
        <w:rPr>
          <w:sz w:val="18"/>
          <w:szCs w:val="18"/>
        </w:rPr>
        <w:t xml:space="preserve"> is how close the measured temperature is to the true one (±0.5 °C from our reference). </w:t>
      </w:r>
      <w:r>
        <w:rPr>
          <w:i w:val="1"/>
          <w:iCs w:val="1"/>
          <w:sz w:val="18"/>
          <w:szCs w:val="18"/>
        </w:rPr>
        <w:t xml:space="preserve">Precision</w:t>
      </w:r>
      <w:r>
        <w:rPr>
          <w:sz w:val="18"/>
          <w:szCs w:val="18"/>
        </w:rPr>
        <w:t xml:space="preserve"> is how well repeated readings agree (limited here by the ADC to 0.10–0.25 °C per count). </w:t>
      </w:r>
      <w:r>
        <w:rPr>
          <w:i w:val="1"/>
          <w:iCs w:val="1"/>
          <w:sz w:val="18"/>
          <w:szCs w:val="18"/>
        </w:rPr>
        <w:t xml:space="preserve">Span</w:t>
      </w:r>
      <w:r>
        <w:rPr>
          <w:sz w:val="18"/>
          <w:szCs w:val="18"/>
        </w:rPr>
        <w:t xml:space="preserve"> is the temperature range measured (0 to 98 °C). </w:t>
      </w:r>
      <w:r>
        <w:rPr>
          <w:i w:val="1"/>
          <w:iCs w:val="1"/>
          <w:sz w:val="18"/>
          <w:szCs w:val="18"/>
        </w:rPr>
        <w:t xml:space="preserve">Dynamic range</w:t>
      </w:r>
      <w:r>
        <w:rPr>
          <w:sz w:val="18"/>
          <w:szCs w:val="18"/>
        </w:rPr>
        <w:t xml:space="preserve"> is the largest to the smallest output measured (ADC counts 97 to 850, about 9:1). </w:t>
      </w:r>
      <w:r>
        <w:rPr>
          <w:i w:val="1"/>
          <w:iCs w:val="1"/>
          <w:sz w:val="18"/>
          <w:szCs w:val="18"/>
        </w:rPr>
        <w:t xml:space="preserve">Sensitivity</w:t>
      </w:r>
      <w:r>
        <w:rPr>
          <w:sz w:val="18"/>
          <w:szCs w:val="18"/>
        </w:rPr>
        <w:t xml:space="preserve"> is the output change per degree, dADC/d</w:t>
      </w:r>
      <w:r>
        <w:rPr>
          <w:i w:val="1"/>
          <w:iCs w:val="1"/>
          <w:sz w:val="18"/>
          <w:szCs w:val="18"/>
        </w:rPr>
        <w:t xml:space="preserve">T</w:t>
      </w:r>
      <w:r>
        <w:rPr>
          <w:sz w:val="18"/>
          <w:szCs w:val="18"/>
        </w:rPr>
        <w:t xml:space="preserve"> (4–10 counts/°C here), or </w:t>
      </w:r>
      <m:oMath>
        <m:r>
          <w:rPr>
            <w:rFonts w:ascii="Cambria Math" w:hAnsi="Cambria Math"/>
            <w:sz w:val="18"/>
            <w:szCs w:val="18"/>
          </w:rPr>
          <m:t xml:space="preserve">α</m:t>
        </m:r>
        <m:r>
          <w:rPr>
            <w:rFonts w:ascii="Cambria Math" w:hAnsi="Cambria Math"/>
            <w:sz w:val="18"/>
            <w:szCs w:val="18"/>
          </w:rPr>
          <m:t xml:space="preserve">=</m:t>
        </m:r>
        <m:r>
          <w:rPr>
            <w:rFonts w:ascii="Cambria Math" w:hAnsi="Cambria Math"/>
            <w:sz w:val="18"/>
            <w:szCs w:val="18"/>
          </w:rPr>
          <m:t xml:space="preserve">-</m:t>
        </m:r>
        <m:r>
          <w:rPr>
            <w:rFonts w:ascii="Cambria Math" w:hAnsi="Cambria Math"/>
            <w:sz w:val="18"/>
            <w:szCs w:val="18"/>
          </w:rPr>
          <m:t xml:space="preserve">β</m:t>
        </m:r>
        <m:r>
          <w:rPr>
            <w:rFonts w:ascii="Cambria Math" w:hAnsi="Cambria Math"/>
            <w:sz w:val="18"/>
            <w:szCs w:val="18"/>
          </w:rPr>
          <m:t xml:space="preserve">/</m:t>
        </m:r>
        <m:sSup>
          <m:e>
            <m:r>
              <w:rPr>
                <w:rFonts w:ascii="Cambria Math" w:hAnsi="Cambria Math"/>
                <w:sz w:val="18"/>
                <w:szCs w:val="18"/>
              </w:rPr>
              <m:t xml:space="preserve">T</m:t>
            </m:r>
          </m:e>
          <m:sup>
            <m:r>
              <w:rPr>
                <w:rFonts w:ascii="Cambria Math" w:hAnsi="Cambria Math"/>
                <w:sz w:val="18"/>
                <w:szCs w:val="18"/>
              </w:rPr>
              <m:t xml:space="preserve">2</m:t>
            </m:r>
          </m:sup>
        </m:sSup>
      </m:oMath>
      <w:r>
        <w:rPr>
          <w:sz w:val="18"/>
          <w:szCs w:val="18"/>
        </w:rPr>
        <w:t xml:space="preserve"> (about −4.5 %/K at 25 °C).</w:t>
      </w:r>
    </w:p>
    <w:p>
      <w:pPr>
        <w:spacing w:after="30" w:before="0" w:line="250" w:lineRule="auto"/>
        <w:ind w:left="360" w:hanging="360"/>
      </w:pPr>
      <w:r>
        <w:rPr>
          <w:sz w:val="18"/>
          <w:szCs w:val="18"/>
        </w:rPr>
        <w:t xml:space="preserve">4.	</w:t>
      </w:r>
      <w:r>
        <w:rPr>
          <w:b w:val="1"/>
          <w:bCs w:val="1"/>
          <w:sz w:val="18"/>
          <w:szCs w:val="18"/>
        </w:rPr>
        <w:t xml:space="preserve">PSPICE simulation.</w:t>
      </w:r>
      <w:r>
        <w:rPr>
          <w:sz w:val="18"/>
          <w:szCs w:val="18"/>
        </w:rPr>
        <w:t xml:space="preserve"> We did not run PSPICE. We did the same calculation numerically (item 7).</w:t>
      </w:r>
    </w:p>
    <w:p>
      <w:pPr>
        <w:spacing w:after="30" w:before="0" w:line="250" w:lineRule="auto"/>
        <w:ind w:left="360" w:hanging="360"/>
      </w:pPr>
      <w:r>
        <w:rPr>
          <w:sz w:val="18"/>
          <w:szCs w:val="18"/>
        </w:rPr>
        <w:t xml:space="preserve">5.	</w:t>
      </w:r>
      <w:r>
        <w:rPr>
          <w:b w:val="1"/>
          <w:bCs w:val="1"/>
          <w:sz w:val="18"/>
          <w:szCs w:val="18"/>
        </w:rPr>
        <w:t xml:space="preserve">Two configurations.</w:t>
      </w:r>
      <w:r>
        <w:rPr>
          <w:sz w:val="18"/>
          <w:szCs w:val="18"/>
        </w:rPr>
        <w:t xml:space="preserve"> In the divider, the fixed resistor </w:t>
      </w:r>
      <w:r>
        <w:rPr>
          <w:i w:val="1"/>
          <w:iCs w:val="1"/>
          <w:sz w:val="18"/>
          <w:szCs w:val="18"/>
        </w:rPr>
        <w:t xml:space="preserve">R</w:t>
      </w:r>
      <w:r>
        <w:rPr>
          <w:sz w:val="18"/>
          <w:szCs w:val="18"/>
          <w:vertAlign w:val="subscript"/>
        </w:rPr>
        <w:t xml:space="preserve">f</w:t>
      </w:r>
      <w:r>
        <w:rPr>
          <w:sz w:val="18"/>
          <w:szCs w:val="18"/>
        </w:rPr>
        <w:t xml:space="preserve"> and the NTC can swap places: (A) NTC to GND with the output across the NTC, and (B) NTC to </w:t>
      </w:r>
      <w:r>
        <w:rPr>
          <w:i w:val="1"/>
          <w:iCs w:val="1"/>
          <w:sz w:val="18"/>
          <w:szCs w:val="18"/>
        </w:rPr>
        <w:t xml:space="preserve">V</w:t>
      </w:r>
      <w:r>
        <w:rPr>
          <w:sz w:val="18"/>
          <w:szCs w:val="18"/>
          <w:vertAlign w:val="subscript"/>
        </w:rPr>
        <w:t xml:space="preserve">cc</w:t>
      </w:r>
      <w:r>
        <w:rPr>
          <w:sz w:val="18"/>
          <w:szCs w:val="18"/>
        </w:rPr>
        <w:t xml:space="preserve"> with the output across </w:t>
      </w:r>
      <w:r>
        <w:rPr>
          <w:i w:val="1"/>
          <w:iCs w:val="1"/>
          <w:sz w:val="18"/>
          <w:szCs w:val="18"/>
        </w:rPr>
        <w:t xml:space="preserve">R</w:t>
      </w:r>
      <w:r>
        <w:rPr>
          <w:sz w:val="18"/>
          <w:szCs w:val="18"/>
          <w:vertAlign w:val="subscript"/>
        </w:rPr>
        <w:t xml:space="preserve">f</w:t>
      </w:r>
      <w:r>
        <w:rPr>
          <w:sz w:val="18"/>
          <w:szCs w:val="18"/>
        </w:rPr>
        <w:t xml:space="preserve">.</w:t>
      </w:r>
    </w:p>
    <w:p>
      <w:pPr>
        <w:spacing w:after="30" w:before="0" w:line="250" w:lineRule="auto"/>
        <w:ind w:left="360" w:hanging="360"/>
      </w:pPr>
      <w:r>
        <w:rPr>
          <w:sz w:val="18"/>
          <w:szCs w:val="18"/>
        </w:rPr>
        <w:t xml:space="preserve">6.	</w:t>
      </w:r>
      <w:r>
        <w:rPr>
          <w:b w:val="1"/>
          <w:bCs w:val="1"/>
          <w:sz w:val="18"/>
          <w:szCs w:val="18"/>
        </w:rPr>
        <w:t xml:space="preserve">Assumed values.</w:t>
      </w:r>
      <w:r>
        <w:rPr>
          <w:sz w:val="18"/>
          <w:szCs w:val="18"/>
        </w:rPr>
        <w:t xml:space="preserve"> </w:t>
      </w:r>
      <w:r>
        <w:rPr>
          <w:i w:val="1"/>
          <w:iCs w:val="1"/>
          <w:sz w:val="18"/>
          <w:szCs w:val="18"/>
        </w:rPr>
        <w:t xml:space="preserve">R</w:t>
      </w:r>
      <w:r>
        <w:rPr>
          <w:sz w:val="18"/>
          <w:szCs w:val="18"/>
          <w:vertAlign w:val="subscript"/>
        </w:rPr>
        <w:t xml:space="preserve">25</w:t>
      </w:r>
      <w:r>
        <w:rPr>
          <w:sz w:val="18"/>
          <w:szCs w:val="18"/>
        </w:rPr>
        <w:t xml:space="preserve"> = 3.3 kΩ for the NTC, </w:t>
      </w:r>
      <w:r>
        <w:rPr>
          <w:i w:val="1"/>
          <w:iCs w:val="1"/>
          <w:sz w:val="18"/>
          <w:szCs w:val="18"/>
        </w:rPr>
        <w:t xml:space="preserve">R</w:t>
      </w:r>
      <w:r>
        <w:rPr>
          <w:sz w:val="18"/>
          <w:szCs w:val="18"/>
          <w:vertAlign w:val="subscript"/>
        </w:rPr>
        <w:t xml:space="preserve">f</w:t>
      </w:r>
      <w:r>
        <w:rPr>
          <w:sz w:val="18"/>
          <w:szCs w:val="18"/>
        </w:rPr>
        <w:t xml:space="preserve"> = 3.3 kΩ, </w:t>
      </w:r>
      <w:r>
        <w:rPr>
          <w:i w:val="1"/>
          <w:iCs w:val="1"/>
          <w:sz w:val="18"/>
          <w:szCs w:val="18"/>
        </w:rPr>
        <w:t xml:space="preserve">V</w:t>
      </w:r>
      <w:r>
        <w:rPr>
          <w:sz w:val="18"/>
          <w:szCs w:val="18"/>
          <w:vertAlign w:val="subscript"/>
        </w:rPr>
        <w:t xml:space="preserve">cc</w:t>
      </w:r>
      <w:r>
        <w:rPr>
          <w:sz w:val="18"/>
          <w:szCs w:val="18"/>
        </w:rPr>
        <w:t xml:space="preserve"> = 5 V and β = 3965 K (our fitted value, as the prelab gives none).</w:t>
      </w:r>
    </w:p>
    <w:p>
      <w:pPr>
        <w:spacing w:after="30" w:before="0" w:line="250" w:lineRule="auto"/>
        <w:ind w:left="360" w:hanging="360"/>
      </w:pPr>
      <w:r>
        <w:rPr>
          <w:sz w:val="18"/>
          <w:szCs w:val="18"/>
        </w:rPr>
        <w:t xml:space="preserve">7.	</w:t>
      </w:r>
      <w:r>
        <w:rPr>
          <w:b w:val="1"/>
          <w:bCs w:val="1"/>
          <w:sz w:val="18"/>
          <w:szCs w:val="18"/>
        </w:rPr>
        <w:t xml:space="preserve">Numerical simulation, 0 to 100 °C.</w:t>
      </w:r>
    </w:p>
    <w:p>
      <w:pPr>
        <w:keepNext/>
        <w:spacing w:after="30" w:before="60" w:line="250" w:lineRule="auto"/>
        <w:jc w:val="center"/>
      </w:pPr>
      <w:r>
        <w:rPr>
          <w:i w:val="1"/>
          <w:iCs w:val="1"/>
          <w:color w:val="4A5568"/>
          <w:sz w:val="17"/>
          <w:szCs w:val="17"/>
        </w:rPr>
        <w:t xml:space="preserve">Table 2. Simulated output voltages and sensitivity of the two configurations.</w:t>
      </w:r>
    </w:p>
    <w:tbl>
      <w:tblPr>
        <w:tblW w:w="9360" w:type="dxa"/>
        <w:jc w:val="center"/>
        <w:tblBorders>
          <w:top w:val="single" w:sz="4" w:space="0" w:color="A0AEC0"/>
          <w:left w:val="single" w:sz="4" w:space="0" w:color="A0AEC0"/>
          <w:bottom w:val="single" w:sz="4" w:space="0" w:color="A0AEC0"/>
          <w:right w:val="single" w:sz="4" w:space="0" w:color="A0AEC0"/>
          <w:insideH w:val="single" w:sz="4" w:space="0" w:color="A0AEC0"/>
          <w:insideV w:val="single" w:sz="4" w:space="0" w:color="A0AEC0"/>
        </w:tblBorders>
        <w:tblLayout w:type="fixed"/>
        <w:tblCellMar>
          <w:top w:w="15" w:type="dxa"/>
          <w:left w:w="80" w:type="dxa"/>
          <w:bottom w:w="15" w:type="dxa"/>
          <w:right w:w="80" w:type="dxa"/>
        </w:tblCellMar>
      </w:tblPr>
      <w:tblGrid>
        <w:gridCol w:w="1500"/>
        <w:gridCol w:w="1900"/>
        <w:gridCol w:w="1700"/>
        <w:gridCol w:w="1700"/>
        <w:gridCol w:w="2560"/>
      </w:tblGrid>
      <w:tr>
        <w:trPr>
          <w:cantSplit/>
          <w:tblHeader/>
        </w:trPr>
        <w:tc>
          <w:tcPr>
            <w:tcW w:w="1500" w:type="dxa"/>
            <w:shd w:val="clear" w:color="auto" w:fill="EDF2F7"/>
            <w:vAlign w:val="center"/>
          </w:tcPr>
          <w:p>
            <w:pPr>
              <w:spacing w:after="0" w:before="0" w:lineRule="auto"/>
              <w:jc w:val="center"/>
            </w:pPr>
            <w:r>
              <w:rPr>
                <w:b w:val="1"/>
                <w:bCs w:val="1"/>
                <w:i w:val="1"/>
                <w:iCs w:val="1"/>
                <w:sz w:val="16"/>
                <w:szCs w:val="16"/>
              </w:rPr>
              <w:t xml:space="preserve">T</w:t>
            </w:r>
            <w:r>
              <w:rPr>
                <w:b w:val="1"/>
                <w:bCs w:val="1"/>
                <w:sz w:val="16"/>
                <w:szCs w:val="16"/>
              </w:rPr>
              <w:t xml:space="preserve"> (°C)</w:t>
            </w:r>
          </w:p>
        </w:tc>
        <w:tc>
          <w:tcPr>
            <w:tcW w:w="1900" w:type="dxa"/>
            <w:shd w:val="clear" w:color="auto" w:fill="EDF2F7"/>
            <w:vAlign w:val="center"/>
          </w:tcPr>
          <w:p>
            <w:pPr>
              <w:spacing w:after="0" w:before="0" w:lineRule="auto"/>
              <w:jc w:val="center"/>
            </w:pPr>
            <w:r>
              <w:rPr>
                <w:b w:val="1"/>
                <w:bCs w:val="1"/>
                <w:i w:val="1"/>
                <w:iCs w:val="1"/>
                <w:sz w:val="16"/>
                <w:szCs w:val="16"/>
              </w:rPr>
              <w:t xml:space="preserve">R</w:t>
            </w:r>
            <w:r>
              <w:rPr>
                <w:b w:val="1"/>
                <w:bCs w:val="1"/>
                <w:sz w:val="16"/>
                <w:szCs w:val="16"/>
                <w:vertAlign w:val="subscript"/>
              </w:rPr>
              <w:t xml:space="preserve">NTC</w:t>
            </w:r>
            <w:r>
              <w:rPr>
                <w:b w:val="1"/>
                <w:bCs w:val="1"/>
                <w:sz w:val="16"/>
                <w:szCs w:val="16"/>
              </w:rPr>
              <w:t xml:space="preserve"> (kΩ)</w:t>
            </w:r>
          </w:p>
        </w:tc>
        <w:tc>
          <w:tcPr>
            <w:tcW w:w="1700" w:type="dxa"/>
            <w:shd w:val="clear" w:color="auto" w:fill="EDF2F7"/>
            <w:vAlign w:val="center"/>
          </w:tcPr>
          <w:p>
            <w:pPr>
              <w:spacing w:after="0" w:before="0" w:lineRule="auto"/>
              <w:jc w:val="center"/>
            </w:pPr>
            <w:r>
              <w:rPr>
                <w:b w:val="1"/>
                <w:bCs w:val="1"/>
                <w:i w:val="1"/>
                <w:iCs w:val="1"/>
                <w:sz w:val="16"/>
                <w:szCs w:val="16"/>
              </w:rPr>
              <w:t xml:space="preserve">V</w:t>
            </w:r>
            <w:r>
              <w:rPr>
                <w:b w:val="1"/>
                <w:bCs w:val="1"/>
                <w:sz w:val="16"/>
                <w:szCs w:val="16"/>
                <w:vertAlign w:val="subscript"/>
              </w:rPr>
              <w:t xml:space="preserve">A</w:t>
            </w:r>
            <w:r>
              <w:rPr>
                <w:b w:val="1"/>
                <w:bCs w:val="1"/>
                <w:sz w:val="16"/>
                <w:szCs w:val="16"/>
              </w:rPr>
              <w:t xml:space="preserve"> (V)</w:t>
            </w:r>
          </w:p>
        </w:tc>
        <w:tc>
          <w:tcPr>
            <w:tcW w:w="1700" w:type="dxa"/>
            <w:shd w:val="clear" w:color="auto" w:fill="EDF2F7"/>
            <w:vAlign w:val="center"/>
          </w:tcPr>
          <w:p>
            <w:pPr>
              <w:spacing w:after="0" w:before="0" w:lineRule="auto"/>
              <w:jc w:val="center"/>
            </w:pPr>
            <w:r>
              <w:rPr>
                <w:b w:val="1"/>
                <w:bCs w:val="1"/>
                <w:i w:val="1"/>
                <w:iCs w:val="1"/>
                <w:sz w:val="16"/>
                <w:szCs w:val="16"/>
              </w:rPr>
              <w:t xml:space="preserve">V</w:t>
            </w:r>
            <w:r>
              <w:rPr>
                <w:b w:val="1"/>
                <w:bCs w:val="1"/>
                <w:sz w:val="16"/>
                <w:szCs w:val="16"/>
                <w:vertAlign w:val="subscript"/>
              </w:rPr>
              <w:t xml:space="preserve">B</w:t>
            </w:r>
            <w:r>
              <w:rPr>
                <w:b w:val="1"/>
                <w:bCs w:val="1"/>
                <w:sz w:val="16"/>
                <w:szCs w:val="16"/>
              </w:rPr>
              <w:t xml:space="preserve"> (V)</w:t>
            </w:r>
          </w:p>
        </w:tc>
        <w:tc>
          <w:tcPr>
            <w:tcW w:w="2560" w:type="dxa"/>
            <w:shd w:val="clear" w:color="auto" w:fill="EDF2F7"/>
            <w:vAlign w:val="center"/>
          </w:tcPr>
          <w:p>
            <w:pPr>
              <w:spacing w:after="0" w:before="0" w:lineRule="auto"/>
              <w:jc w:val="center"/>
            </w:pPr>
            <w:r>
              <w:rPr>
                <w:b w:val="1"/>
                <w:bCs w:val="1"/>
                <w:sz w:val="16"/>
                <w:szCs w:val="16"/>
              </w:rPr>
              <w:t xml:space="preserve">|d</w:t>
            </w:r>
            <w:r>
              <w:rPr>
                <w:b w:val="1"/>
                <w:bCs w:val="1"/>
                <w:i w:val="1"/>
                <w:iCs w:val="1"/>
                <w:sz w:val="16"/>
                <w:szCs w:val="16"/>
              </w:rPr>
              <w:t xml:space="preserve">V</w:t>
            </w:r>
            <w:r>
              <w:rPr>
                <w:b w:val="1"/>
                <w:bCs w:val="1"/>
                <w:sz w:val="16"/>
                <w:szCs w:val="16"/>
              </w:rPr>
              <w:t xml:space="preserve">/d</w:t>
            </w:r>
            <w:r>
              <w:rPr>
                <w:b w:val="1"/>
                <w:bCs w:val="1"/>
                <w:i w:val="1"/>
                <w:iCs w:val="1"/>
                <w:sz w:val="16"/>
                <w:szCs w:val="16"/>
              </w:rPr>
              <w:t xml:space="preserve">T</w:t>
            </w:r>
            <w:r>
              <w:rPr>
                <w:b w:val="1"/>
                <w:bCs w:val="1"/>
                <w:sz w:val="16"/>
                <w:szCs w:val="16"/>
              </w:rPr>
              <w:t xml:space="preserve">| (mV/K)</w:t>
            </w:r>
          </w:p>
        </w:tc>
      </w:tr>
      <w:tr>
        <w:trPr>
          <w:cantSplit/>
        </w:trPr>
        <w:tc>
          <w:tcPr>
            <w:tcW w:w="1500" w:type="dxa"/>
            <w:vAlign w:val="center"/>
          </w:tcPr>
          <w:p>
            <w:pPr>
              <w:spacing w:after="0" w:before="0" w:lineRule="auto"/>
              <w:jc w:val="center"/>
            </w:pPr>
            <w:r>
              <w:rPr>
                <w:sz w:val="16"/>
                <w:szCs w:val="16"/>
              </w:rPr>
              <w:t xml:space="preserve">0</w:t>
            </w:r>
          </w:p>
        </w:tc>
        <w:tc>
          <w:tcPr>
            <w:tcW w:w="1900" w:type="dxa"/>
            <w:vAlign w:val="center"/>
          </w:tcPr>
          <w:p>
            <w:pPr>
              <w:spacing w:after="0" w:before="0" w:lineRule="auto"/>
              <w:jc w:val="center"/>
            </w:pPr>
            <w:r>
              <w:rPr>
                <w:sz w:val="16"/>
                <w:szCs w:val="16"/>
              </w:rPr>
              <w:t xml:space="preserve">11.1</w:t>
            </w:r>
          </w:p>
        </w:tc>
        <w:tc>
          <w:tcPr>
            <w:tcW w:w="1700" w:type="dxa"/>
            <w:vAlign w:val="center"/>
          </w:tcPr>
          <w:p>
            <w:pPr>
              <w:spacing w:after="0" w:before="0" w:lineRule="auto"/>
              <w:jc w:val="center"/>
            </w:pPr>
            <w:r>
              <w:rPr>
                <w:sz w:val="16"/>
                <w:szCs w:val="16"/>
              </w:rPr>
              <w:t xml:space="preserve">3.858</w:t>
            </w:r>
          </w:p>
        </w:tc>
        <w:tc>
          <w:tcPr>
            <w:tcW w:w="1700" w:type="dxa"/>
            <w:vAlign w:val="center"/>
          </w:tcPr>
          <w:p>
            <w:pPr>
              <w:spacing w:after="0" w:before="0" w:lineRule="auto"/>
              <w:jc w:val="center"/>
            </w:pPr>
            <w:r>
              <w:rPr>
                <w:sz w:val="16"/>
                <w:szCs w:val="16"/>
              </w:rPr>
              <w:t xml:space="preserve">1.142</w:t>
            </w:r>
          </w:p>
        </w:tc>
        <w:tc>
          <w:tcPr>
            <w:tcW w:w="2560" w:type="dxa"/>
            <w:vAlign w:val="center"/>
          </w:tcPr>
          <w:p>
            <w:pPr>
              <w:spacing w:after="0" w:before="0" w:lineRule="auto"/>
              <w:jc w:val="center"/>
            </w:pPr>
            <w:r>
              <w:rPr>
                <w:sz w:val="16"/>
                <w:szCs w:val="16"/>
              </w:rPr>
              <w:t xml:space="preserve">46.9</w:t>
            </w:r>
          </w:p>
        </w:tc>
      </w:tr>
      <w:tr>
        <w:trPr>
          <w:cantSplit/>
        </w:trPr>
        <w:tc>
          <w:tcPr>
            <w:tcW w:w="1500" w:type="dxa"/>
            <w:vAlign w:val="center"/>
          </w:tcPr>
          <w:p>
            <w:pPr>
              <w:spacing w:after="0" w:before="0" w:lineRule="auto"/>
              <w:jc w:val="center"/>
            </w:pPr>
            <w:r>
              <w:rPr>
                <w:sz w:val="16"/>
                <w:szCs w:val="16"/>
              </w:rPr>
              <w:t xml:space="preserve">25</w:t>
            </w:r>
          </w:p>
        </w:tc>
        <w:tc>
          <w:tcPr>
            <w:tcW w:w="1900" w:type="dxa"/>
            <w:vAlign w:val="center"/>
          </w:tcPr>
          <w:p>
            <w:pPr>
              <w:spacing w:after="0" w:before="0" w:lineRule="auto"/>
              <w:jc w:val="center"/>
            </w:pPr>
            <w:r>
              <w:rPr>
                <w:sz w:val="16"/>
                <w:szCs w:val="16"/>
              </w:rPr>
              <w:t xml:space="preserve">3.30</w:t>
            </w:r>
          </w:p>
        </w:tc>
        <w:tc>
          <w:tcPr>
            <w:tcW w:w="1700" w:type="dxa"/>
            <w:vAlign w:val="center"/>
          </w:tcPr>
          <w:p>
            <w:pPr>
              <w:spacing w:after="0" w:before="0" w:lineRule="auto"/>
              <w:jc w:val="center"/>
            </w:pPr>
            <w:r>
              <w:rPr>
                <w:sz w:val="16"/>
                <w:szCs w:val="16"/>
              </w:rPr>
              <w:t xml:space="preserve">2.500</w:t>
            </w:r>
          </w:p>
        </w:tc>
        <w:tc>
          <w:tcPr>
            <w:tcW w:w="1700" w:type="dxa"/>
            <w:vAlign w:val="center"/>
          </w:tcPr>
          <w:p>
            <w:pPr>
              <w:spacing w:after="0" w:before="0" w:lineRule="auto"/>
              <w:jc w:val="center"/>
            </w:pPr>
            <w:r>
              <w:rPr>
                <w:sz w:val="16"/>
                <w:szCs w:val="16"/>
              </w:rPr>
              <w:t xml:space="preserve">2.500</w:t>
            </w:r>
          </w:p>
        </w:tc>
        <w:tc>
          <w:tcPr>
            <w:tcW w:w="2560" w:type="dxa"/>
            <w:vAlign w:val="center"/>
          </w:tcPr>
          <w:p>
            <w:pPr>
              <w:spacing w:after="0" w:before="0" w:lineRule="auto"/>
              <w:jc w:val="center"/>
            </w:pPr>
            <w:r>
              <w:rPr>
                <w:sz w:val="16"/>
                <w:szCs w:val="16"/>
              </w:rPr>
              <w:t xml:space="preserve">55.8</w:t>
            </w:r>
          </w:p>
        </w:tc>
      </w:tr>
      <w:tr>
        <w:trPr>
          <w:cantSplit/>
        </w:trPr>
        <w:tc>
          <w:tcPr>
            <w:tcW w:w="1500" w:type="dxa"/>
            <w:vAlign w:val="center"/>
          </w:tcPr>
          <w:p>
            <w:pPr>
              <w:spacing w:after="0" w:before="0" w:lineRule="auto"/>
              <w:jc w:val="center"/>
            </w:pPr>
            <w:r>
              <w:rPr>
                <w:sz w:val="16"/>
                <w:szCs w:val="16"/>
              </w:rPr>
              <w:t xml:space="preserve">50</w:t>
            </w:r>
          </w:p>
        </w:tc>
        <w:tc>
          <w:tcPr>
            <w:tcW w:w="1900" w:type="dxa"/>
            <w:vAlign w:val="center"/>
          </w:tcPr>
          <w:p>
            <w:pPr>
              <w:spacing w:after="0" w:before="0" w:lineRule="auto"/>
              <w:jc w:val="center"/>
            </w:pPr>
            <w:r>
              <w:rPr>
                <w:sz w:val="16"/>
                <w:szCs w:val="16"/>
              </w:rPr>
              <w:t xml:space="preserve">1.18</w:t>
            </w:r>
          </w:p>
        </w:tc>
        <w:tc>
          <w:tcPr>
            <w:tcW w:w="1700" w:type="dxa"/>
            <w:vAlign w:val="center"/>
          </w:tcPr>
          <w:p>
            <w:pPr>
              <w:spacing w:after="0" w:before="0" w:lineRule="auto"/>
              <w:jc w:val="center"/>
            </w:pPr>
            <w:r>
              <w:rPr>
                <w:sz w:val="16"/>
                <w:szCs w:val="16"/>
              </w:rPr>
              <w:t xml:space="preserve">1.316</w:t>
            </w:r>
          </w:p>
        </w:tc>
        <w:tc>
          <w:tcPr>
            <w:tcW w:w="1700" w:type="dxa"/>
            <w:vAlign w:val="center"/>
          </w:tcPr>
          <w:p>
            <w:pPr>
              <w:spacing w:after="0" w:before="0" w:lineRule="auto"/>
              <w:jc w:val="center"/>
            </w:pPr>
            <w:r>
              <w:rPr>
                <w:sz w:val="16"/>
                <w:szCs w:val="16"/>
              </w:rPr>
              <w:t xml:space="preserve">3.684</w:t>
            </w:r>
          </w:p>
        </w:tc>
        <w:tc>
          <w:tcPr>
            <w:tcW w:w="2560" w:type="dxa"/>
            <w:vAlign w:val="center"/>
          </w:tcPr>
          <w:p>
            <w:pPr>
              <w:spacing w:after="0" w:before="0" w:lineRule="auto"/>
              <w:jc w:val="center"/>
            </w:pPr>
            <w:r>
              <w:rPr>
                <w:sz w:val="16"/>
                <w:szCs w:val="16"/>
              </w:rPr>
              <w:t xml:space="preserve">36.8</w:t>
            </w:r>
          </w:p>
        </w:tc>
      </w:tr>
      <w:tr>
        <w:trPr>
          <w:cantSplit/>
        </w:trPr>
        <w:tc>
          <w:tcPr>
            <w:tcW w:w="1500" w:type="dxa"/>
            <w:vAlign w:val="center"/>
          </w:tcPr>
          <w:p>
            <w:pPr>
              <w:spacing w:after="0" w:before="0" w:lineRule="auto"/>
              <w:jc w:val="center"/>
            </w:pPr>
            <w:r>
              <w:rPr>
                <w:sz w:val="16"/>
                <w:szCs w:val="16"/>
              </w:rPr>
              <w:t xml:space="preserve">75</w:t>
            </w:r>
          </w:p>
        </w:tc>
        <w:tc>
          <w:tcPr>
            <w:tcW w:w="1900" w:type="dxa"/>
            <w:vAlign w:val="center"/>
          </w:tcPr>
          <w:p>
            <w:pPr>
              <w:spacing w:after="0" w:before="0" w:lineRule="auto"/>
              <w:jc w:val="center"/>
            </w:pPr>
            <w:r>
              <w:rPr>
                <w:sz w:val="16"/>
                <w:szCs w:val="16"/>
              </w:rPr>
              <w:t xml:space="preserve">0.49</w:t>
            </w:r>
          </w:p>
        </w:tc>
        <w:tc>
          <w:tcPr>
            <w:tcW w:w="1700" w:type="dxa"/>
            <w:vAlign w:val="center"/>
          </w:tcPr>
          <w:p>
            <w:pPr>
              <w:spacing w:after="0" w:before="0" w:lineRule="auto"/>
              <w:jc w:val="center"/>
            </w:pPr>
            <w:r>
              <w:rPr>
                <w:sz w:val="16"/>
                <w:szCs w:val="16"/>
              </w:rPr>
              <w:t xml:space="preserve">0.645</w:t>
            </w:r>
          </w:p>
        </w:tc>
        <w:tc>
          <w:tcPr>
            <w:tcW w:w="1700" w:type="dxa"/>
            <w:vAlign w:val="center"/>
          </w:tcPr>
          <w:p>
            <w:pPr>
              <w:spacing w:after="0" w:before="0" w:lineRule="auto"/>
              <w:jc w:val="center"/>
            </w:pPr>
            <w:r>
              <w:rPr>
                <w:sz w:val="16"/>
                <w:szCs w:val="16"/>
              </w:rPr>
              <w:t xml:space="preserve">4.355</w:t>
            </w:r>
          </w:p>
        </w:tc>
        <w:tc>
          <w:tcPr>
            <w:tcW w:w="2560" w:type="dxa"/>
            <w:vAlign w:val="center"/>
          </w:tcPr>
          <w:p>
            <w:pPr>
              <w:spacing w:after="0" w:before="0" w:lineRule="auto"/>
              <w:jc w:val="center"/>
            </w:pPr>
            <w:r>
              <w:rPr>
                <w:sz w:val="16"/>
                <w:szCs w:val="16"/>
              </w:rPr>
              <w:t xml:space="preserve">18.4</w:t>
            </w:r>
          </w:p>
        </w:tc>
      </w:tr>
      <w:tr>
        <w:trPr>
          <w:cantSplit/>
        </w:trPr>
        <w:tc>
          <w:tcPr>
            <w:tcW w:w="1500" w:type="dxa"/>
            <w:vAlign w:val="center"/>
          </w:tcPr>
          <w:p>
            <w:pPr>
              <w:spacing w:after="0" w:before="0" w:lineRule="auto"/>
              <w:jc w:val="center"/>
            </w:pPr>
            <w:r>
              <w:rPr>
                <w:sz w:val="16"/>
                <w:szCs w:val="16"/>
              </w:rPr>
              <w:t xml:space="preserve">100</w:t>
            </w:r>
          </w:p>
        </w:tc>
        <w:tc>
          <w:tcPr>
            <w:tcW w:w="1900" w:type="dxa"/>
            <w:vAlign w:val="center"/>
          </w:tcPr>
          <w:p>
            <w:pPr>
              <w:spacing w:after="0" w:before="0" w:lineRule="auto"/>
              <w:jc w:val="center"/>
            </w:pPr>
            <w:r>
              <w:rPr>
                <w:sz w:val="16"/>
                <w:szCs w:val="16"/>
              </w:rPr>
              <w:t xml:space="preserve">0.23</w:t>
            </w:r>
          </w:p>
        </w:tc>
        <w:tc>
          <w:tcPr>
            <w:tcW w:w="1700" w:type="dxa"/>
            <w:vAlign w:val="center"/>
          </w:tcPr>
          <w:p>
            <w:pPr>
              <w:spacing w:after="0" w:before="0" w:lineRule="auto"/>
              <w:jc w:val="center"/>
            </w:pPr>
            <w:r>
              <w:rPr>
                <w:sz w:val="16"/>
                <w:szCs w:val="16"/>
              </w:rPr>
              <w:t xml:space="preserve">0.323</w:t>
            </w:r>
          </w:p>
        </w:tc>
        <w:tc>
          <w:tcPr>
            <w:tcW w:w="1700" w:type="dxa"/>
            <w:vAlign w:val="center"/>
          </w:tcPr>
          <w:p>
            <w:pPr>
              <w:spacing w:after="0" w:before="0" w:lineRule="auto"/>
              <w:jc w:val="center"/>
            </w:pPr>
            <w:r>
              <w:rPr>
                <w:sz w:val="16"/>
                <w:szCs w:val="16"/>
              </w:rPr>
              <w:t xml:space="preserve">4.677</w:t>
            </w:r>
          </w:p>
        </w:tc>
        <w:tc>
          <w:tcPr>
            <w:tcW w:w="2560" w:type="dxa"/>
            <w:vAlign w:val="center"/>
          </w:tcPr>
          <w:p>
            <w:pPr>
              <w:spacing w:after="0" w:before="0" w:lineRule="auto"/>
              <w:jc w:val="center"/>
            </w:pPr>
            <w:r>
              <w:rPr>
                <w:sz w:val="16"/>
                <w:szCs w:val="16"/>
              </w:rPr>
              <w:t xml:space="preserve">8.6</w:t>
            </w:r>
          </w:p>
        </w:tc>
      </w:tr>
    </w:tbl>
    <w:p>
      <w:pPr>
        <w:spacing w:after="70" w:before="60" w:line="250" w:lineRule="auto"/>
        <w:ind w:left="360" w:hanging="0"/>
        <w:jc w:val="both"/>
      </w:pPr>
      <w:r>
        <w:rPr>
          <w:sz w:val="18"/>
          <w:szCs w:val="18"/>
        </w:rPr>
        <w:t xml:space="preserve">The two outputs always add up to </w:t>
      </w:r>
      <w:r>
        <w:rPr>
          <w:i w:val="1"/>
          <w:iCs w:val="1"/>
          <w:sz w:val="18"/>
          <w:szCs w:val="18"/>
        </w:rPr>
        <w:t xml:space="preserve">V</w:t>
      </w:r>
      <w:r>
        <w:rPr>
          <w:sz w:val="18"/>
          <w:szCs w:val="18"/>
          <w:vertAlign w:val="subscript"/>
        </w:rPr>
        <w:t xml:space="preserve">cc</w:t>
      </w:r>
      <w:r>
        <w:rPr>
          <w:sz w:val="18"/>
          <w:szCs w:val="18"/>
        </w:rPr>
        <w:t xml:space="preserve"> (</w:t>
      </w:r>
      <w:r>
        <w:rPr>
          <w:i w:val="1"/>
          <w:iCs w:val="1"/>
          <w:sz w:val="18"/>
          <w:szCs w:val="18"/>
        </w:rPr>
        <w:t xml:space="preserve">V</w:t>
      </w:r>
      <w:r>
        <w:rPr>
          <w:sz w:val="18"/>
          <w:szCs w:val="18"/>
          <w:vertAlign w:val="subscript"/>
        </w:rPr>
        <w:t xml:space="preserve">A</w:t>
      </w:r>
      <w:r>
        <w:rPr>
          <w:sz w:val="18"/>
          <w:szCs w:val="18"/>
        </w:rPr>
        <w:t xml:space="preserve"> + </w:t>
      </w:r>
      <w:r>
        <w:rPr>
          <w:i w:val="1"/>
          <w:iCs w:val="1"/>
          <w:sz w:val="18"/>
          <w:szCs w:val="18"/>
        </w:rPr>
        <w:t xml:space="preserve">V</w:t>
      </w:r>
      <w:r>
        <w:rPr>
          <w:sz w:val="18"/>
          <w:szCs w:val="18"/>
          <w:vertAlign w:val="subscript"/>
        </w:rPr>
        <w:t xml:space="preserve">B</w:t>
      </w:r>
      <w:r>
        <w:rPr>
          <w:sz w:val="18"/>
          <w:szCs w:val="18"/>
        </w:rPr>
        <w:t xml:space="preserve"> = </w:t>
      </w:r>
      <w:r>
        <w:rPr>
          <w:i w:val="1"/>
          <w:iCs w:val="1"/>
          <w:sz w:val="18"/>
          <w:szCs w:val="18"/>
        </w:rPr>
        <w:t xml:space="preserve">V</w:t>
      </w:r>
      <w:r>
        <w:rPr>
          <w:sz w:val="18"/>
          <w:szCs w:val="18"/>
          <w:vertAlign w:val="subscript"/>
        </w:rPr>
        <w:t xml:space="preserve">cc</w:t>
      </w:r>
      <w:r>
        <w:rPr>
          <w:sz w:val="18"/>
          <w:szCs w:val="18"/>
        </w:rPr>
        <w:t xml:space="preserve">), so |d</w:t>
      </w:r>
      <w:r>
        <w:rPr>
          <w:i w:val="1"/>
          <w:iCs w:val="1"/>
          <w:sz w:val="18"/>
          <w:szCs w:val="18"/>
        </w:rPr>
        <w:t xml:space="preserve">V</w:t>
      </w:r>
      <w:r>
        <w:rPr>
          <w:sz w:val="18"/>
          <w:szCs w:val="18"/>
        </w:rPr>
        <w:t xml:space="preserve">/d</w:t>
      </w:r>
      <w:r>
        <w:rPr>
          <w:i w:val="1"/>
          <w:iCs w:val="1"/>
          <w:sz w:val="18"/>
          <w:szCs w:val="18"/>
        </w:rPr>
        <w:t xml:space="preserve">T</w:t>
      </w:r>
      <w:r>
        <w:rPr>
          <w:sz w:val="18"/>
          <w:szCs w:val="18"/>
        </w:rPr>
        <w:t xml:space="preserve">| is exactly the same for A and B. It is highest near 18.5 °C (57 mV/K, about 11.6 counts/K) and falls to 8.6 mV/K at 100 °C. So neither configuration is more sensitive. They only differ in direction: A falls and B rises as the temperature rises.</w:t>
      </w:r>
    </w:p>
    <w:p>
      <w:pPr>
        <w:spacing w:after="30" w:before="0" w:line="250" w:lineRule="auto"/>
        <w:ind w:left="360" w:hanging="360"/>
      </w:pPr>
      <w:r>
        <w:rPr>
          <w:sz w:val="18"/>
          <w:szCs w:val="18"/>
        </w:rPr>
        <w:t xml:space="preserve">8.	</w:t>
      </w:r>
      <w:r>
        <w:rPr>
          <w:b w:val="1"/>
          <w:bCs w:val="1"/>
          <w:sz w:val="18"/>
          <w:szCs w:val="18"/>
        </w:rPr>
        <w:t xml:space="preserve">Choice for further studies.</w:t>
      </w:r>
      <w:r>
        <w:rPr>
          <w:sz w:val="18"/>
          <w:szCs w:val="18"/>
        </w:rPr>
        <w:t xml:space="preserve"> Because both are equally sensitive, either can be used. We used the circuit in Section 2.1.</w:t>
      </w:r>
    </w:p>
    <w:sectPr>
      <w:footerReference w:type="default" r:id="rIdFooter1"/>
      <w:pgSz w:h="15840" w:w="12240" w:orient="portrait"/>
      <w:pgMar w:bottom="1200" w:top="1100" w:left="1150" w:right="1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footer1.xml><?xml version="1.0" encoding="utf-8"?>
<w:ftr xmlns:w="http://schemas.openxmlformats.org/wordprocessingml/2006/main" xmlns:r="http://schemas.openxmlformats.org/officeDocument/2006/relationships">
  <w:p>
    <w:pPr>
      <w:spacing w:before="0" w:after="0"/>
      <w:jc w:val="center"/>
    </w:pPr>
    <w:r>
      <w:rPr>
        <w:sz w:val="18"/>
        <w:color w:val="4A5568"/>
      </w:rPr>
      <w:t xml:space="preserve">s17239 · PH 3039 Thermistor Calibration · Page </w:t>
    </w:r>
    <w:r>
      <w:rPr>
        <w:sz w:val="18"/>
        <w:color w:val="4A5568"/>
      </w:rPr>
      <w:fldChar w:fldCharType="begin"/>
    </w:r>
    <w:r>
      <w:rPr>
        <w:sz w:val="18"/>
        <w:color w:val="4A5568"/>
      </w:rPr>
      <w:instrText xml:space="preserve"> PAGE </w:instrText>
    </w:r>
    <w:r>
      <w:rPr>
        <w:sz w:val="18"/>
        <w:color w:val="4A5568"/>
      </w:rPr>
      <w:fldChar w:fldCharType="separate"/>
    </w:r>
    <w:r>
      <w:rPr>
        <w:sz w:val="18"/>
        <w:color w:val="4A5568"/>
      </w:rPr>
      <w:t>1</w:t>
    </w:r>
    <w:r>
      <w:rPr>
        <w:sz w:val="18"/>
        <w:color w:val="4A5568"/>
      </w:rPr>
      <w:fldChar w:fldCharType="end"/>
    </w:r>
    <w:r>
      <w:rPr>
        <w:sz w:val="18"/>
        <w:color w:val="4A5568"/>
      </w:rPr>
      <w:t xml:space="preserve"> of </w:t>
    </w:r>
    <w:r>
      <w:rPr>
        <w:sz w:val="18"/>
        <w:color w:val="4A5568"/>
      </w:rPr>
      <w:fldChar w:fldCharType="begin"/>
    </w:r>
    <w:r>
      <w:rPr>
        <w:sz w:val="18"/>
        <w:color w:val="4A5568"/>
      </w:rPr>
      <w:instrText xml:space="preserve"> NUMPAGES </w:instrText>
    </w:r>
    <w:r>
      <w:rPr>
        <w:sz w:val="18"/>
        <w:color w:val="4A5568"/>
      </w:rPr>
      <w:fldChar w:fldCharType="separate"/>
    </w:r>
    <w:r>
      <w:rPr>
        <w:sz w:val="18"/>
        <w:color w:val="4A5568"/>
      </w:rPr>
      <w:t>3</w:t>
    </w:r>
    <w:r>
      <w:rPr>
        <w:sz w:val="18"/>
        <w:color w:val="4A5568"/>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100" w:lineRule="auto"/>
    </w:pPr>
    <w:rPr>
      <w:b w:val="1"/>
      <w:bCs w:val="1"/>
      <w:i w:val="0"/>
      <w:iCs w:val="0"/>
      <w:color w:val="1a365d"/>
      <w:sz w:val="34"/>
      <w:szCs w:val="3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0" w:before="140" w:lineRule="auto"/>
    </w:pPr>
    <w:rPr>
      <w:b w:val="1"/>
      <w:bCs w:val="1"/>
      <w:i w:val="0"/>
      <w:iCs w:val="0"/>
      <w:color w:val="2b6cb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30" w:before="80" w:lineRule="auto"/>
    </w:pPr>
    <w:rPr>
      <w:b w:val="1"/>
      <w:bCs w:val="1"/>
      <w:i w:val="0"/>
      <w:iCs w:val="0"/>
      <w:color w:val="2d3748"/>
      <w:sz w:val="20"/>
      <w:szCs w:val="2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Img1" Type="http://schemas.openxmlformats.org/officeDocument/2006/relationships/image" Target="media/circuit.png"/><Relationship Id="rIdImg2" Type="http://schemas.openxmlformats.org/officeDocument/2006/relationships/image" Target="media/c14_6.png"/><Relationship Id="rIdImg3" Type="http://schemas.openxmlformats.org/officeDocument/2006/relationships/image" Target="media/c17_7.png"/><Relationship Id="rIdImg4" Type="http://schemas.openxmlformats.org/officeDocument/2006/relationships/image" Target="media/c11_5.png"/><Relationship Id="rIdImg5" Type="http://schemas.openxmlformats.org/officeDocument/2006/relationships/image" Target="media/c20_8.png"/><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