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line="288" w:lineRule="auto"/>
        <w:jc w:val="center"/>
      </w:pPr>
      <w:r>
        <w:rPr>
          <w:rFonts w:ascii="Calibri" w:hAnsi="Calibri"/>
          <w:b/>
          <w:i w:val="0"/>
          <w:color w:val="2E67D1"/>
          <w:sz w:val="20"/>
        </w:rPr>
        <w:t>ADMINISTRATOR TRAINING GUIDE</w:t>
      </w:r>
    </w:p>
    <w:p>
      <w:pPr>
        <w:keepNext w:val="0"/>
        <w:spacing w:before="0" w:after="160" w:line="288" w:lineRule="auto"/>
        <w:jc w:val="center"/>
      </w:pPr>
      <w:r>
        <w:rPr>
          <w:rFonts w:ascii="Calibri" w:hAnsi="Calibri"/>
          <w:b/>
          <w:i w:val="0"/>
          <w:color w:val="0B2545"/>
          <w:sz w:val="60"/>
        </w:rPr>
        <w:t>Costing Policies</w:t>
      </w:r>
    </w:p>
    <w:p>
      <w:pPr>
        <w:keepNext w:val="0"/>
        <w:spacing w:before="0" w:after="360" w:line="288" w:lineRule="auto"/>
        <w:jc w:val="center"/>
      </w:pPr>
      <w:r>
        <w:rPr>
          <w:rFonts w:ascii="Calibri" w:hAnsi="Calibri"/>
          <w:b w:val="0"/>
          <w:i w:val="0"/>
          <w:color w:val="5E6F87"/>
          <w:sz w:val="28"/>
        </w:rPr>
        <w:t>A simple guide to company costs, task costs, crew rates, overhead, margins, and exclusions</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pPr>
              <w:spacing w:after="40"/>
            </w:pPr>
            <w:r>
              <w:rPr>
                <w:rFonts w:ascii="Calibri" w:hAnsi="Calibri"/>
                <w:b/>
                <w:i w:val="0"/>
                <w:color w:val="2E67D1"/>
                <w:sz w:val="21"/>
              </w:rPr>
              <w:t xml:space="preserve">Purpose: </w:t>
            </w:r>
            <w:r>
              <w:rPr>
                <w:rFonts w:ascii="Calibri" w:hAnsi="Calibri"/>
                <w:b w:val="0"/>
                <w:i w:val="0"/>
                <w:color w:val="0B2545"/>
                <w:sz w:val="21"/>
              </w:rPr>
              <w:t>Help administrators understand what each feature does, when to use it, and how it affects an estimate.</w:t>
            </w:r>
          </w:p>
        </w:tc>
      </w:tr>
    </w:tbl>
    <w:p>
      <w:pPr>
        <w:keepNext w:val="0"/>
        <w:spacing w:before="0" w:after="40" w:line="288" w:lineRule="auto"/>
      </w:pPr>
      <w:r>
        <w:rPr>
          <w:rFonts w:ascii="Calibri" w:hAnsi="Calibri"/>
          <w:b w:val="0"/>
          <w:i w:val="0"/>
          <w:color w:val="0B2545"/>
          <w:sz w:val="22"/>
        </w:rPr>
      </w:r>
    </w:p>
    <w:p>
      <w:pPr>
        <w:keepNext/>
        <w:jc w:val="center"/>
      </w:pPr>
      <w:r>
        <w:drawing>
          <wp:inline xmlns:a="http://schemas.openxmlformats.org/drawingml/2006/main" xmlns:pic="http://schemas.openxmlformats.org/drawingml/2006/picture">
            <wp:extent cx="5897880" cy="3823132"/>
            <wp:docPr id="1" name="Picture 1" descr="The Costing Policies page begins with the active policy revision and company overhead assumptions." title="Costing Policies screen example"/>
            <wp:cNvGraphicFramePr>
              <a:graphicFrameLocks noChangeAspect="1"/>
            </wp:cNvGraphicFramePr>
            <a:graphic>
              <a:graphicData uri="http://schemas.openxmlformats.org/drawingml/2006/picture">
                <pic:pic>
                  <pic:nvPicPr>
                    <pic:cNvPr id="0" name="policy-overhead.png"/>
                    <pic:cNvPicPr/>
                  </pic:nvPicPr>
                  <pic:blipFill>
                    <a:blip r:embed="rId11"/>
                    <a:stretch>
                      <a:fillRect/>
                    </a:stretch>
                  </pic:blipFill>
                  <pic:spPr>
                    <a:xfrm>
                      <a:off x="0" y="0"/>
                      <a:ext cx="5897880" cy="3823132"/>
                    </a:xfrm>
                    <a:prstGeom prst="rect"/>
                  </pic:spPr>
                </pic:pic>
              </a:graphicData>
            </a:graphic>
          </wp:inline>
        </w:drawing>
      </w:r>
    </w:p>
    <w:p>
      <w:pPr>
        <w:spacing w:after="200"/>
        <w:jc w:val="center"/>
      </w:pPr>
      <w:r>
        <w:rPr>
          <w:rFonts w:ascii="Calibri" w:hAnsi="Calibri"/>
          <w:b w:val="0"/>
          <w:i/>
          <w:color w:val="5E6F87"/>
          <w:sz w:val="18"/>
        </w:rPr>
        <w:t>The Costing Policies page begins with the active policy revision and company overhead assumptions.</w:t>
      </w:r>
    </w:p>
    <w:p>
      <w:pPr>
        <w:keepNext w:val="0"/>
        <w:spacing w:before="80" w:after="80" w:line="288" w:lineRule="auto"/>
      </w:pPr>
      <w:r>
        <w:rPr>
          <w:rFonts w:ascii="Calibri" w:hAnsi="Calibri"/>
          <w:b/>
          <w:i w:val="0"/>
          <w:color w:val="0B2545"/>
          <w:sz w:val="24"/>
        </w:rPr>
        <w:t>Who should use this guide</w:t>
      </w:r>
    </w:p>
    <w:p>
      <w:pPr>
        <w:pStyle w:val="ListBullet"/>
        <w:spacing w:after="80" w:line="288" w:lineRule="auto"/>
        <w:ind w:left="547" w:hanging="274"/>
      </w:pPr>
      <w:r>
        <w:rPr>
          <w:rFonts w:ascii="Calibri" w:hAnsi="Calibri"/>
          <w:b w:val="0"/>
          <w:i w:val="0"/>
          <w:color w:val="0B2545"/>
          <w:sz w:val="21"/>
        </w:rPr>
        <w:t>Administrators who maintain company-wide or local-operation costing assumptions.</w:t>
      </w:r>
    </w:p>
    <w:p>
      <w:pPr>
        <w:pStyle w:val="ListBullet"/>
        <w:spacing w:after="80" w:line="288" w:lineRule="auto"/>
        <w:ind w:left="547" w:hanging="274"/>
      </w:pPr>
      <w:r>
        <w:rPr>
          <w:rFonts w:ascii="Calibri" w:hAnsi="Calibri"/>
          <w:b w:val="0"/>
          <w:i w:val="0"/>
          <w:color w:val="0B2545"/>
          <w:sz w:val="21"/>
        </w:rPr>
        <w:t>Managers who approve crew rates, overhead recovery, and selling margins.</w:t>
      </w:r>
    </w:p>
    <w:p>
      <w:pPr>
        <w:pStyle w:val="ListBullet"/>
        <w:spacing w:after="80" w:line="288" w:lineRule="auto"/>
        <w:ind w:left="547" w:hanging="274"/>
      </w:pPr>
      <w:r>
        <w:rPr>
          <w:rFonts w:ascii="Calibri" w:hAnsi="Calibri"/>
          <w:b w:val="0"/>
          <w:i w:val="0"/>
          <w:color w:val="0B2545"/>
          <w:sz w:val="21"/>
        </w:rPr>
        <w:t>Anyone reviewing why a CCV estimate reached a particular cost or suggested selling price.</w:t>
      </w:r>
    </w:p>
    <w:p>
      <w:r>
        <w:br w:type="page"/>
      </w:r>
    </w:p>
    <w:p>
      <w:pPr>
        <w:pStyle w:val="Heading1"/>
        <w:keepNext/>
      </w:pPr>
      <w:r>
        <w:t>1. The big picture</w:t>
      </w:r>
    </w:p>
    <w:p>
      <w:pPr>
        <w:keepNext w:val="0"/>
        <w:spacing w:before="0" w:after="120" w:line="288" w:lineRule="auto"/>
      </w:pPr>
      <w:r>
        <w:rPr>
          <w:rFonts w:ascii="Calibri" w:hAnsi="Calibri"/>
          <w:b w:val="0"/>
          <w:i w:val="0"/>
          <w:color w:val="0B2545"/>
          <w:sz w:val="22"/>
        </w:rPr>
        <w:t>The Costing Policies page is a set of pricing instructions. It tells CCV what normal costs to add, which vendor materials to use, what labor costs, what overhead must be recovered, and what margin should be targeted.</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pPr>
              <w:spacing w:after="40"/>
            </w:pPr>
            <w:r>
              <w:rPr>
                <w:rFonts w:ascii="Calibri" w:hAnsi="Calibri"/>
                <w:b/>
                <w:i w:val="0"/>
                <w:color w:val="217A49"/>
                <w:sz w:val="21"/>
              </w:rPr>
              <w:t xml:space="preserve">Simple rule: </w:t>
            </w:r>
            <w:r>
              <w:rPr>
                <w:rFonts w:ascii="Calibri" w:hAnsi="Calibri"/>
                <w:b w:val="0"/>
                <w:i w:val="0"/>
                <w:color w:val="0B2545"/>
                <w:sz w:val="21"/>
              </w:rPr>
              <w:t>Catalogs tell CCV what an item costs. Policies tell CCV which additional costs, crew rates, standard supplies, overhead, and margins must be applied.</w:t>
            </w:r>
          </w:p>
        </w:tc>
      </w:tr>
    </w:tbl>
    <w:p>
      <w:pPr>
        <w:keepNext w:val="0"/>
        <w:spacing w:before="0" w:after="40" w:line="288" w:lineRule="auto"/>
      </w:pPr>
      <w:r>
        <w:rPr>
          <w:rFonts w:ascii="Calibri" w:hAnsi="Calibri"/>
          <w:b w:val="0"/>
          <w:i w:val="0"/>
          <w:color w:val="0B2545"/>
          <w:sz w:val="22"/>
        </w:rPr>
      </w:r>
    </w:p>
    <w:p>
      <w:pPr>
        <w:pStyle w:val="Heading2"/>
        <w:keepNext/>
      </w:pPr>
      <w:r>
        <w:t>How an estimate is calculated</w:t>
      </w:r>
    </w:p>
    <w:p>
      <w:pPr>
        <w:pStyle w:val="ListNumber"/>
        <w:spacing w:after="100"/>
        <w:ind w:left="547" w:hanging="274"/>
      </w:pPr>
      <w:r>
        <w:rPr>
          <w:rFonts w:ascii="Calibri" w:hAnsi="Calibri"/>
          <w:b w:val="0"/>
          <w:i w:val="0"/>
          <w:color w:val="0B2545"/>
          <w:sz w:val="21"/>
        </w:rPr>
        <w:t>CentCom proposes materials and quantities from the estimator’s notes and photographs.</w:t>
      </w:r>
    </w:p>
    <w:p>
      <w:pPr>
        <w:pStyle w:val="ListNumber"/>
        <w:spacing w:after="100"/>
        <w:ind w:left="547" w:hanging="274"/>
      </w:pPr>
      <w:r>
        <w:rPr>
          <w:rFonts w:ascii="Calibri" w:hAnsi="Calibri"/>
          <w:b w:val="0"/>
          <w:i w:val="0"/>
          <w:color w:val="0B2545"/>
          <w:sz w:val="21"/>
        </w:rPr>
        <w:t>CCV matches those materials to vendor catalog items and current prices.</w:t>
      </w:r>
    </w:p>
    <w:p>
      <w:pPr>
        <w:pStyle w:val="ListNumber"/>
        <w:spacing w:after="100"/>
        <w:ind w:left="547" w:hanging="274"/>
      </w:pPr>
      <w:r>
        <w:rPr>
          <w:rFonts w:ascii="Calibri" w:hAnsi="Calibri"/>
          <w:b w:val="0"/>
          <w:i w:val="0"/>
          <w:color w:val="0B2545"/>
          <w:sz w:val="21"/>
        </w:rPr>
        <w:t>Required supply kits add standard items even when the estimator did not mention them.</w:t>
      </w:r>
    </w:p>
    <w:p>
      <w:pPr>
        <w:pStyle w:val="ListNumber"/>
        <w:spacing w:after="100"/>
        <w:ind w:left="547" w:hanging="274"/>
      </w:pPr>
      <w:r>
        <w:rPr>
          <w:rFonts w:ascii="Calibri" w:hAnsi="Calibri"/>
          <w:b w:val="0"/>
          <w:i w:val="0"/>
          <w:color w:val="0B2545"/>
          <w:sz w:val="21"/>
        </w:rPr>
        <w:t>Crew rates and project days calculate labor.</w:t>
      </w:r>
    </w:p>
    <w:p>
      <w:pPr>
        <w:pStyle w:val="ListNumber"/>
        <w:spacing w:after="100"/>
        <w:ind w:left="547" w:hanging="274"/>
      </w:pPr>
      <w:r>
        <w:rPr>
          <w:rFonts w:ascii="Calibri" w:hAnsi="Calibri"/>
          <w:b w:val="0"/>
          <w:i w:val="0"/>
          <w:color w:val="0B2545"/>
          <w:sz w:val="21"/>
        </w:rPr>
        <w:t>Task and project rules add costs such as permits, mobilization, and disposal.</w:t>
      </w:r>
    </w:p>
    <w:p>
      <w:pPr>
        <w:pStyle w:val="ListNumber"/>
        <w:spacing w:after="100"/>
        <w:ind w:left="547" w:hanging="274"/>
      </w:pPr>
      <w:r>
        <w:rPr>
          <w:rFonts w:ascii="Calibri" w:hAnsi="Calibri"/>
          <w:b w:val="0"/>
          <w:i w:val="0"/>
          <w:color w:val="0B2545"/>
          <w:sz w:val="21"/>
        </w:rPr>
        <w:t>General overhead and contingency are applied.</w:t>
      </w:r>
    </w:p>
    <w:p>
      <w:pPr>
        <w:pStyle w:val="ListNumber"/>
        <w:spacing w:after="100"/>
        <w:ind w:left="547" w:hanging="274"/>
      </w:pPr>
      <w:r>
        <w:rPr>
          <w:rFonts w:ascii="Calibri" w:hAnsi="Calibri"/>
          <w:b w:val="0"/>
          <w:i w:val="0"/>
          <w:color w:val="0B2545"/>
          <w:sz w:val="21"/>
        </w:rPr>
        <w:t>The applicable task margin produces the suggested customer price.</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pPr>
              <w:spacing w:after="40"/>
            </w:pPr>
            <w:r>
              <w:rPr>
                <w:rFonts w:ascii="Calibri" w:hAnsi="Calibri"/>
                <w:b/>
                <w:i w:val="0"/>
                <w:color w:val="2E67D1"/>
                <w:sz w:val="21"/>
              </w:rPr>
              <w:t xml:space="preserve">Pricing flow: </w:t>
            </w:r>
            <w:r>
              <w:rPr>
                <w:rFonts w:ascii="Calibri" w:hAnsi="Calibri"/>
                <w:b w:val="0"/>
                <w:i w:val="0"/>
                <w:color w:val="0B2545"/>
                <w:sz w:val="21"/>
              </w:rPr>
              <w:t>Materials + standard supplies + labor + task/project costs + overhead + contingency = estimated cost. The margin rule then determines the suggested selling price.</w:t>
            </w:r>
          </w:p>
        </w:tc>
      </w:tr>
    </w:tbl>
    <w:p>
      <w:pPr>
        <w:keepNext w:val="0"/>
        <w:spacing w:before="0" w:after="40" w:line="288" w:lineRule="auto"/>
      </w:pPr>
      <w:r>
        <w:rPr>
          <w:rFonts w:ascii="Calibri" w:hAnsi="Calibri"/>
          <w:b w:val="0"/>
          <w:i w:val="0"/>
          <w:color w:val="0B2545"/>
          <w:sz w:val="22"/>
        </w:rPr>
      </w:r>
    </w:p>
    <w:p>
      <w:pPr>
        <w:pStyle w:val="Heading2"/>
        <w:keepNext/>
      </w:pPr>
      <w:r>
        <w:t>Company-wide rules and local overrides</w:t>
      </w:r>
    </w:p>
    <w:p>
      <w:pPr>
        <w:pStyle w:val="ListBullet"/>
        <w:spacing w:after="80" w:line="288" w:lineRule="auto"/>
        <w:ind w:left="547" w:hanging="274"/>
      </w:pPr>
      <w:r>
        <w:rPr>
          <w:rFonts w:ascii="Calibri" w:hAnsi="Calibri"/>
          <w:b w:val="0"/>
          <w:i w:val="0"/>
          <w:color w:val="0B2545"/>
          <w:sz w:val="21"/>
        </w:rPr>
        <w:t>Company-wide default: used by every local operation unless that operation has its own active policy.</w:t>
      </w:r>
    </w:p>
    <w:p>
      <w:pPr>
        <w:pStyle w:val="ListBullet"/>
        <w:spacing w:after="80" w:line="288" w:lineRule="auto"/>
        <w:ind w:left="547" w:hanging="274"/>
      </w:pPr>
      <w:r>
        <w:rPr>
          <w:rFonts w:ascii="Calibri" w:hAnsi="Calibri"/>
          <w:b w:val="0"/>
          <w:i w:val="0"/>
          <w:color w:val="0B2545"/>
          <w:sz w:val="21"/>
        </w:rPr>
        <w:t>Local-operation policy: overrides the company default for that location.</w:t>
      </w:r>
    </w:p>
    <w:p>
      <w:pPr>
        <w:pStyle w:val="ListBullet"/>
        <w:spacing w:after="80" w:line="288" w:lineRule="auto"/>
        <w:ind w:left="547" w:hanging="274"/>
      </w:pPr>
      <w:r>
        <w:rPr>
          <w:rFonts w:ascii="Calibri" w:hAnsi="Calibri"/>
          <w:b w:val="0"/>
          <w:i w:val="0"/>
          <w:color w:val="0B2545"/>
          <w:sz w:val="21"/>
        </w:rPr>
        <w:t>Inheritance: a local policy can use company-wide kits, crew rates, margins, and costs when a matching local rule does not exist.</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pPr>
              <w:spacing w:after="40"/>
            </w:pPr>
            <w:r>
              <w:rPr>
                <w:rFonts w:ascii="Calibri" w:hAnsi="Calibri"/>
                <w:b/>
                <w:i w:val="0"/>
                <w:color w:val="217A49"/>
                <w:sz w:val="21"/>
              </w:rPr>
              <w:t xml:space="preserve">Good practice: </w:t>
            </w:r>
            <w:r>
              <w:rPr>
                <w:rFonts w:ascii="Calibri" w:hAnsi="Calibri"/>
                <w:b w:val="0"/>
                <w:i w:val="0"/>
                <w:color w:val="0B2545"/>
                <w:sz w:val="21"/>
              </w:rPr>
              <w:t>Start with a company-wide policy. Add a local override only when a real local cost or pricing difference exists.</w:t>
            </w:r>
          </w:p>
        </w:tc>
      </w:tr>
    </w:tbl>
    <w:p>
      <w:pPr>
        <w:keepNext w:val="0"/>
        <w:spacing w:before="0" w:after="40" w:line="288" w:lineRule="auto"/>
      </w:pPr>
      <w:r>
        <w:rPr>
          <w:rFonts w:ascii="Calibri" w:hAnsi="Calibri"/>
          <w:b w:val="0"/>
          <w:i w:val="0"/>
          <w:color w:val="0B2545"/>
          <w:sz w:val="22"/>
        </w:rPr>
      </w:r>
    </w:p>
    <w:p>
      <w:pPr>
        <w:pStyle w:val="Heading2"/>
        <w:keepNext/>
      </w:pPr>
      <w:r>
        <w:t>Revisions preserve history</w:t>
      </w:r>
    </w:p>
    <w:p>
      <w:pPr>
        <w:keepNext w:val="0"/>
        <w:spacing w:before="0" w:after="120" w:line="288" w:lineRule="auto"/>
      </w:pPr>
      <w:r>
        <w:rPr>
          <w:rFonts w:ascii="Calibri" w:hAnsi="Calibri"/>
          <w:b w:val="0"/>
          <w:i w:val="0"/>
          <w:color w:val="0B2545"/>
          <w:sz w:val="22"/>
        </w:rPr>
        <w:t>A policy is versioned. Creating a new revision makes it the active revision for the same location and effective date. Existing estimate snapshots remain unchanged, which lets administrators explain older estimates later.</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pPr>
              <w:spacing w:after="40"/>
            </w:pPr>
            <w:r>
              <w:rPr>
                <w:rFonts w:ascii="Calibri" w:hAnsi="Calibri"/>
                <w:b/>
                <w:i w:val="0"/>
                <w:color w:val="A36B00"/>
                <w:sz w:val="21"/>
              </w:rPr>
              <w:t xml:space="preserve">Do not edit history: </w:t>
            </w:r>
            <w:r>
              <w:rPr>
                <w:rFonts w:ascii="Calibri" w:hAnsi="Calibri"/>
                <w:b w:val="0"/>
                <w:i w:val="0"/>
                <w:color w:val="0B2545"/>
                <w:sz w:val="21"/>
              </w:rPr>
              <w:t>When assumptions change, create a new revision. Do not expect older estimates to recalculate automatically.</w:t>
            </w:r>
          </w:p>
        </w:tc>
      </w:tr>
    </w:tbl>
    <w:p>
      <w:pPr>
        <w:keepNext w:val="0"/>
        <w:spacing w:before="0" w:after="40" w:line="288" w:lineRule="auto"/>
      </w:pPr>
      <w:r>
        <w:rPr>
          <w:rFonts w:ascii="Calibri" w:hAnsi="Calibri"/>
          <w:b w:val="0"/>
          <w:i w:val="0"/>
          <w:color w:val="0B2545"/>
          <w:sz w:val="22"/>
        </w:rPr>
      </w:r>
    </w:p>
    <w:p>
      <w:pPr>
        <w:pStyle w:val="Heading1"/>
        <w:keepNext/>
      </w:pPr>
      <w:r>
        <w:t>2. Policy revision and general overhead</w:t>
      </w:r>
    </w:p>
    <w:p>
      <w:pPr>
        <w:keepNext/>
        <w:jc w:val="center"/>
      </w:pPr>
      <w:r>
        <w:drawing>
          <wp:inline xmlns:a="http://schemas.openxmlformats.org/drawingml/2006/main" xmlns:pic="http://schemas.openxmlformats.org/drawingml/2006/picture">
            <wp:extent cx="5897880" cy="3823132"/>
            <wp:docPr id="2" name="Picture 2" descr="Screen example: the policy container and company overhead assumptions." title="Costing Policies screen example"/>
            <wp:cNvGraphicFramePr>
              <a:graphicFrameLocks noChangeAspect="1"/>
            </wp:cNvGraphicFramePr>
            <a:graphic>
              <a:graphicData uri="http://schemas.openxmlformats.org/drawingml/2006/picture">
                <pic:pic>
                  <pic:nvPicPr>
                    <pic:cNvPr id="0" name="policy-overhead.png"/>
                    <pic:cNvPicPr/>
                  </pic:nvPicPr>
                  <pic:blipFill>
                    <a:blip r:embed="rId11"/>
                    <a:stretch>
                      <a:fillRect/>
                    </a:stretch>
                  </pic:blipFill>
                  <pic:spPr>
                    <a:xfrm>
                      <a:off x="0" y="0"/>
                      <a:ext cx="5897880" cy="3823132"/>
                    </a:xfrm>
                    <a:prstGeom prst="rect"/>
                  </pic:spPr>
                </pic:pic>
              </a:graphicData>
            </a:graphic>
          </wp:inline>
        </w:drawing>
      </w:r>
    </w:p>
    <w:p>
      <w:pPr>
        <w:spacing w:after="200"/>
        <w:jc w:val="center"/>
      </w:pPr>
      <w:r>
        <w:rPr>
          <w:rFonts w:ascii="Calibri" w:hAnsi="Calibri"/>
          <w:b w:val="0"/>
          <w:i/>
          <w:color w:val="5E6F87"/>
          <w:sz w:val="18"/>
        </w:rPr>
        <w:t>Screen example: the policy container and company overhead assumptions.</w:t>
      </w:r>
    </w:p>
    <w:p>
      <w:pPr>
        <w:keepNext w:val="0"/>
        <w:spacing w:before="0" w:after="120" w:line="288" w:lineRule="auto"/>
      </w:pPr>
      <w:r>
        <w:rPr>
          <w:rFonts w:ascii="Calibri" w:hAnsi="Calibri"/>
          <w:b w:val="0"/>
          <w:i w:val="0"/>
          <w:color w:val="0B2545"/>
          <w:sz w:val="22"/>
        </w:rPr>
        <w:t>This section establishes the policy version and the company costs that must be recovered across all work.</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376"/>
            <w:tcMar>
              <w:top w:w="100" w:type="dxa"/>
              <w:start w:w="140" w:type="dxa"/>
              <w:bottom w:w="100" w:type="dxa"/>
              <w:end w:w="140" w:type="dxa"/>
            </w:tcMar>
            <w:vAlign w:val="center"/>
            <w:shd w:fill="0B2545"/>
          </w:tcPr>
          <w:p>
            <w:r>
              <w:rPr>
                <w:rFonts w:ascii="Calibri" w:hAnsi="Calibri"/>
                <w:b/>
                <w:i w:val="0"/>
                <w:color w:val="FFFFFF"/>
                <w:sz w:val="20"/>
              </w:rPr>
              <w:t>Field</w:t>
            </w:r>
          </w:p>
        </w:tc>
        <w:tc>
          <w:tcPr>
            <w:tcW w:type="dxa" w:w="3240"/>
            <w:tcMar>
              <w:top w:w="100" w:type="dxa"/>
              <w:start w:w="140" w:type="dxa"/>
              <w:bottom w:w="100" w:type="dxa"/>
              <w:end w:w="140" w:type="dxa"/>
            </w:tcMar>
            <w:vAlign w:val="center"/>
            <w:shd w:fill="0B2545"/>
          </w:tcPr>
          <w:p>
            <w:r>
              <w:rPr>
                <w:rFonts w:ascii="Calibri" w:hAnsi="Calibri"/>
                <w:b/>
                <w:i w:val="0"/>
                <w:color w:val="FFFFFF"/>
                <w:sz w:val="20"/>
              </w:rPr>
              <w:t>Plain meaning</w:t>
            </w:r>
          </w:p>
        </w:tc>
        <w:tc>
          <w:tcPr>
            <w:tcW w:type="dxa" w:w="3744"/>
            <w:tcMar>
              <w:top w:w="100" w:type="dxa"/>
              <w:start w:w="140" w:type="dxa"/>
              <w:bottom w:w="100" w:type="dxa"/>
              <w:end w:w="140" w:type="dxa"/>
            </w:tcMar>
            <w:vAlign w:val="center"/>
            <w:shd w:fill="0B2545"/>
          </w:tcPr>
          <w:p>
            <w:r>
              <w:rPr>
                <w:rFonts w:ascii="Calibri" w:hAnsi="Calibri"/>
                <w:b/>
                <w:i w:val="0"/>
                <w:color w:val="FFFFFF"/>
                <w:sz w:val="20"/>
              </w:rPr>
              <w:t>Simple guidance</w:t>
            </w:r>
          </w:p>
        </w:tc>
      </w:tr>
      <w:tr>
        <w:tc>
          <w:tcPr>
            <w:tcW w:type="dxa" w:w="2376"/>
            <w:tcMar>
              <w:top w:w="100" w:type="dxa"/>
              <w:start w:w="140" w:type="dxa"/>
              <w:bottom w:w="100" w:type="dxa"/>
              <w:end w:w="140" w:type="dxa"/>
            </w:tcMar>
            <w:vAlign w:val="center"/>
          </w:tcPr>
          <w:p>
            <w:r>
              <w:rPr>
                <w:rFonts w:ascii="Calibri" w:hAnsi="Calibri"/>
                <w:b/>
                <w:i w:val="0"/>
                <w:color w:val="0B2545"/>
                <w:sz w:val="19"/>
              </w:rPr>
              <w:t>Policy name</w:t>
            </w:r>
          </w:p>
        </w:tc>
        <w:tc>
          <w:tcPr>
            <w:tcW w:type="dxa" w:w="3240"/>
            <w:tcMar>
              <w:top w:w="100" w:type="dxa"/>
              <w:start w:w="140" w:type="dxa"/>
              <w:bottom w:w="100" w:type="dxa"/>
              <w:end w:w="140" w:type="dxa"/>
            </w:tcMar>
            <w:vAlign w:val="center"/>
          </w:tcPr>
          <w:p>
            <w:r>
              <w:rPr>
                <w:rFonts w:ascii="Calibri" w:hAnsi="Calibri"/>
                <w:b w:val="0"/>
                <w:i w:val="0"/>
                <w:color w:val="0B2545"/>
                <w:sz w:val="19"/>
              </w:rPr>
              <w:t>Name of the policy family.</w:t>
            </w:r>
          </w:p>
        </w:tc>
        <w:tc>
          <w:tcPr>
            <w:tcW w:type="dxa" w:w="3744"/>
            <w:tcMar>
              <w:top w:w="100" w:type="dxa"/>
              <w:start w:w="140" w:type="dxa"/>
              <w:bottom w:w="100" w:type="dxa"/>
              <w:end w:w="140" w:type="dxa"/>
            </w:tcMar>
            <w:vAlign w:val="center"/>
          </w:tcPr>
          <w:p>
            <w:r>
              <w:rPr>
                <w:rFonts w:ascii="Calibri" w:hAnsi="Calibri"/>
                <w:b w:val="0"/>
                <w:i w:val="0"/>
                <w:color w:val="0B2545"/>
                <w:sz w:val="19"/>
              </w:rPr>
              <w:t>Use a stable name such as Standard Costing.</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Local operation</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Where the policy applies.</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Choose Company-wide default unless the location truly differs.</w:t>
            </w:r>
          </w:p>
        </w:tc>
      </w:tr>
      <w:tr>
        <w:tc>
          <w:tcPr>
            <w:tcW w:type="dxa" w:w="2376"/>
            <w:tcMar>
              <w:top w:w="100" w:type="dxa"/>
              <w:start w:w="140" w:type="dxa"/>
              <w:bottom w:w="100" w:type="dxa"/>
              <w:end w:w="140" w:type="dxa"/>
            </w:tcMar>
            <w:vAlign w:val="center"/>
          </w:tcPr>
          <w:p>
            <w:r>
              <w:rPr>
                <w:rFonts w:ascii="Calibri" w:hAnsi="Calibri"/>
                <w:b/>
                <w:i w:val="0"/>
                <w:color w:val="0B2545"/>
                <w:sz w:val="19"/>
              </w:rPr>
              <w:t>Effective date</w:t>
            </w:r>
          </w:p>
        </w:tc>
        <w:tc>
          <w:tcPr>
            <w:tcW w:type="dxa" w:w="3240"/>
            <w:tcMar>
              <w:top w:w="100" w:type="dxa"/>
              <w:start w:w="140" w:type="dxa"/>
              <w:bottom w:w="100" w:type="dxa"/>
              <w:end w:w="140" w:type="dxa"/>
            </w:tcMar>
            <w:vAlign w:val="center"/>
          </w:tcPr>
          <w:p>
            <w:r>
              <w:rPr>
                <w:rFonts w:ascii="Calibri" w:hAnsi="Calibri"/>
                <w:b w:val="0"/>
                <w:i w:val="0"/>
                <w:color w:val="0B2545"/>
                <w:sz w:val="19"/>
              </w:rPr>
              <w:t>First day the revision is valid.</w:t>
            </w:r>
          </w:p>
        </w:tc>
        <w:tc>
          <w:tcPr>
            <w:tcW w:type="dxa" w:w="3744"/>
            <w:tcMar>
              <w:top w:w="100" w:type="dxa"/>
              <w:start w:w="140" w:type="dxa"/>
              <w:bottom w:w="100" w:type="dxa"/>
              <w:end w:w="140" w:type="dxa"/>
            </w:tcMar>
            <w:vAlign w:val="center"/>
          </w:tcPr>
          <w:p>
            <w:r>
              <w:rPr>
                <w:rFonts w:ascii="Calibri" w:hAnsi="Calibri"/>
                <w:b w:val="0"/>
                <w:i w:val="0"/>
                <w:color w:val="0B2545"/>
                <w:sz w:val="19"/>
              </w:rPr>
              <w:t>Use the date the new assumptions should begin.</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Fallback crew cost</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Backup daily labor cost.</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Used only when no more specific crew rate matches.</w:t>
            </w:r>
          </w:p>
        </w:tc>
      </w:tr>
      <w:tr>
        <w:tc>
          <w:tcPr>
            <w:tcW w:type="dxa" w:w="2376"/>
            <w:tcMar>
              <w:top w:w="100" w:type="dxa"/>
              <w:start w:w="140" w:type="dxa"/>
              <w:bottom w:w="100" w:type="dxa"/>
              <w:end w:w="140" w:type="dxa"/>
            </w:tcMar>
            <w:vAlign w:val="center"/>
          </w:tcPr>
          <w:p>
            <w:r>
              <w:rPr>
                <w:rFonts w:ascii="Calibri" w:hAnsi="Calibri"/>
                <w:b/>
                <w:i w:val="0"/>
                <w:color w:val="0B2545"/>
                <w:sz w:val="19"/>
              </w:rPr>
              <w:t>Fallback crew size</w:t>
            </w:r>
          </w:p>
        </w:tc>
        <w:tc>
          <w:tcPr>
            <w:tcW w:type="dxa" w:w="3240"/>
            <w:tcMar>
              <w:top w:w="100" w:type="dxa"/>
              <w:start w:w="140" w:type="dxa"/>
              <w:bottom w:w="100" w:type="dxa"/>
              <w:end w:w="140" w:type="dxa"/>
            </w:tcMar>
            <w:vAlign w:val="center"/>
          </w:tcPr>
          <w:p>
            <w:r>
              <w:rPr>
                <w:rFonts w:ascii="Calibri" w:hAnsi="Calibri"/>
                <w:b w:val="0"/>
                <w:i w:val="0"/>
                <w:color w:val="0B2545"/>
                <w:sz w:val="19"/>
              </w:rPr>
              <w:t>Backup number of workers.</w:t>
            </w:r>
          </w:p>
        </w:tc>
        <w:tc>
          <w:tcPr>
            <w:tcW w:type="dxa" w:w="3744"/>
            <w:tcMar>
              <w:top w:w="100" w:type="dxa"/>
              <w:start w:w="140" w:type="dxa"/>
              <w:bottom w:w="100" w:type="dxa"/>
              <w:end w:w="140" w:type="dxa"/>
            </w:tcMar>
            <w:vAlign w:val="center"/>
          </w:tcPr>
          <w:p>
            <w:r>
              <w:rPr>
                <w:rFonts w:ascii="Calibri" w:hAnsi="Calibri"/>
                <w:b w:val="0"/>
                <w:i w:val="0"/>
                <w:color w:val="0B2545"/>
                <w:sz w:val="19"/>
              </w:rPr>
              <w:t>The daily crew cost is for the whole crew, not each worker.</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Default contingency</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Allowance for uncertainty.</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10% adds a cushion for normal unknowns; it is not profit.</w:t>
            </w:r>
          </w:p>
        </w:tc>
      </w:tr>
      <w:tr>
        <w:tc>
          <w:tcPr>
            <w:tcW w:type="dxa" w:w="2376"/>
            <w:tcMar>
              <w:top w:w="100" w:type="dxa"/>
              <w:start w:w="140" w:type="dxa"/>
              <w:bottom w:w="100" w:type="dxa"/>
              <w:end w:w="140" w:type="dxa"/>
            </w:tcMar>
            <w:vAlign w:val="center"/>
          </w:tcPr>
          <w:p>
            <w:r>
              <w:rPr>
                <w:rFonts w:ascii="Calibri" w:hAnsi="Calibri"/>
                <w:b/>
                <w:i w:val="0"/>
                <w:color w:val="0B2545"/>
                <w:sz w:val="19"/>
              </w:rPr>
              <w:t>Fallback margin</w:t>
            </w:r>
          </w:p>
        </w:tc>
        <w:tc>
          <w:tcPr>
            <w:tcW w:type="dxa" w:w="3240"/>
            <w:tcMar>
              <w:top w:w="100" w:type="dxa"/>
              <w:start w:w="140" w:type="dxa"/>
              <w:bottom w:w="100" w:type="dxa"/>
              <w:end w:w="140" w:type="dxa"/>
            </w:tcMar>
            <w:vAlign w:val="center"/>
          </w:tcPr>
          <w:p>
            <w:r>
              <w:rPr>
                <w:rFonts w:ascii="Calibri" w:hAnsi="Calibri"/>
                <w:b w:val="0"/>
                <w:i w:val="0"/>
                <w:color w:val="0B2545"/>
                <w:sz w:val="19"/>
              </w:rPr>
              <w:t>Backup selling margin.</w:t>
            </w:r>
          </w:p>
        </w:tc>
        <w:tc>
          <w:tcPr>
            <w:tcW w:type="dxa" w:w="3744"/>
            <w:tcMar>
              <w:top w:w="100" w:type="dxa"/>
              <w:start w:w="140" w:type="dxa"/>
              <w:bottom w:w="100" w:type="dxa"/>
              <w:end w:w="140" w:type="dxa"/>
            </w:tcMar>
            <w:vAlign w:val="center"/>
          </w:tcPr>
          <w:p>
            <w:r>
              <w:rPr>
                <w:rFonts w:ascii="Calibri" w:hAnsi="Calibri"/>
                <w:b w:val="0"/>
                <w:i w:val="0"/>
                <w:color w:val="0B2545"/>
                <w:sz w:val="19"/>
              </w:rPr>
              <w:t>Used only when no task-specific margin rule matches.</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Monthly overhead budget</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Average monthly operating costs.</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Examples: office payroll, insurance, rent, software, and vehicles.</w:t>
            </w:r>
          </w:p>
        </w:tc>
      </w:tr>
      <w:tr>
        <w:tc>
          <w:tcPr>
            <w:tcW w:type="dxa" w:w="2376"/>
            <w:tcMar>
              <w:top w:w="100" w:type="dxa"/>
              <w:start w:w="140" w:type="dxa"/>
              <w:bottom w:w="100" w:type="dxa"/>
              <w:end w:w="140" w:type="dxa"/>
            </w:tcMar>
            <w:vAlign w:val="center"/>
          </w:tcPr>
          <w:p>
            <w:r>
              <w:rPr>
                <w:rFonts w:ascii="Calibri" w:hAnsi="Calibri"/>
                <w:b/>
                <w:i w:val="0"/>
                <w:color w:val="0B2545"/>
                <w:sz w:val="19"/>
              </w:rPr>
              <w:t>Productive crew days</w:t>
            </w:r>
          </w:p>
        </w:tc>
        <w:tc>
          <w:tcPr>
            <w:tcW w:type="dxa" w:w="3240"/>
            <w:tcMar>
              <w:top w:w="100" w:type="dxa"/>
              <w:start w:w="140" w:type="dxa"/>
              <w:bottom w:w="100" w:type="dxa"/>
              <w:end w:w="140" w:type="dxa"/>
            </w:tcMar>
            <w:vAlign w:val="center"/>
          </w:tcPr>
          <w:p>
            <w:r>
              <w:rPr>
                <w:rFonts w:ascii="Calibri" w:hAnsi="Calibri"/>
                <w:b w:val="0"/>
                <w:i w:val="0"/>
                <w:color w:val="0B2545"/>
                <w:sz w:val="19"/>
              </w:rPr>
              <w:t>Crew-days expected to produce revenue.</w:t>
            </w:r>
          </w:p>
        </w:tc>
        <w:tc>
          <w:tcPr>
            <w:tcW w:type="dxa" w:w="3744"/>
            <w:tcMar>
              <w:top w:w="100" w:type="dxa"/>
              <w:start w:w="140" w:type="dxa"/>
              <w:bottom w:w="100" w:type="dxa"/>
              <w:end w:w="140" w:type="dxa"/>
            </w:tcMar>
            <w:vAlign w:val="center"/>
          </w:tcPr>
          <w:p>
            <w:r>
              <w:rPr>
                <w:rFonts w:ascii="Calibri" w:hAnsi="Calibri"/>
                <w:b w:val="0"/>
                <w:i w:val="0"/>
                <w:color w:val="0B2545"/>
                <w:sz w:val="19"/>
              </w:rPr>
              <w:t>CCV divides monthly overhead by this number.</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Additional overhead</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Extra fixed, daily, or percent recovery.</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Use only for costs not already included in the monthly budget.</w:t>
            </w:r>
          </w:p>
        </w:tc>
      </w:tr>
    </w:tbl>
    <w:p>
      <w:pPr>
        <w:keepNext w:val="0"/>
        <w:spacing w:before="0" w:after="40" w:line="288" w:lineRule="auto"/>
      </w:pPr>
      <w:r>
        <w:rPr>
          <w:rFonts w:ascii="Calibri" w:hAnsi="Calibri"/>
          <w:b w:val="0"/>
          <w:i w:val="0"/>
          <w:color w:val="0B2545"/>
          <w:sz w:val="22"/>
        </w:rPr>
      </w:r>
    </w:p>
    <w:p>
      <w:pPr>
        <w:pStyle w:val="Heading2"/>
        <w:keepNext/>
      </w:pPr>
      <w:r>
        <w:t>Overhead example</w:t>
      </w:r>
    </w:p>
    <w:p>
      <w:pPr>
        <w:keepNext w:val="0"/>
        <w:spacing w:before="0" w:after="120" w:line="288" w:lineRule="auto"/>
      </w:pPr>
      <w:r>
        <w:rPr>
          <w:rFonts w:ascii="Calibri" w:hAnsi="Calibri"/>
          <w:b w:val="0"/>
          <w:i w:val="0"/>
          <w:color w:val="0B2545"/>
          <w:sz w:val="22"/>
        </w:rPr>
        <w:t>If monthly overhead is $17,260.87 and the company expects 50 productive crew-days, CCV allocates $345.22 of overhead per crew-day. A five-day task would recover $1,726.10 before any additional overhead settings.</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DECEC"/>
          </w:tcPr>
          <w:p>
            <w:pPr>
              <w:spacing w:after="40"/>
            </w:pPr>
            <w:r>
              <w:rPr>
                <w:rFonts w:ascii="Calibri" w:hAnsi="Calibri"/>
                <w:b/>
                <w:i w:val="0"/>
                <w:color w:val="9B1C1C"/>
                <w:sz w:val="21"/>
              </w:rPr>
              <w:t xml:space="preserve">Avoid double counting: </w:t>
            </w:r>
            <w:r>
              <w:rPr>
                <w:rFonts w:ascii="Calibri" w:hAnsi="Calibri"/>
                <w:b w:val="0"/>
                <w:i w:val="0"/>
                <w:color w:val="0B2545"/>
                <w:sz w:val="21"/>
              </w:rPr>
              <w:t>If an expense is already inside the monthly overhead budget, do not also enter it as a fixed or percentage overhead amount.</w:t>
            </w:r>
          </w:p>
        </w:tc>
      </w:tr>
    </w:tbl>
    <w:p>
      <w:pPr>
        <w:keepNext w:val="0"/>
        <w:spacing w:before="0" w:after="40" w:line="288" w:lineRule="auto"/>
      </w:pPr>
      <w:r>
        <w:rPr>
          <w:rFonts w:ascii="Calibri" w:hAnsi="Calibri"/>
          <w:b w:val="0"/>
          <w:i w:val="0"/>
          <w:color w:val="0B2545"/>
          <w:sz w:val="22"/>
        </w:rPr>
      </w:r>
    </w:p>
    <w:p>
      <w:pPr>
        <w:pStyle w:val="Heading1"/>
        <w:keepNext/>
      </w:pPr>
      <w:r>
        <w:t>3. Standard supply kits</w:t>
      </w:r>
    </w:p>
    <w:p>
      <w:pPr>
        <w:keepNext/>
        <w:jc w:val="center"/>
      </w:pPr>
      <w:r>
        <w:drawing>
          <wp:inline xmlns:a="http://schemas.openxmlformats.org/drawingml/2006/main" xmlns:pic="http://schemas.openxmlformats.org/drawingml/2006/picture">
            <wp:extent cx="5897880" cy="3356896"/>
            <wp:docPr id="3" name="Picture 3" descr="Screen example: required supply kits, crew rate cards, and task margin rules." title="Costing Policies screen example"/>
            <wp:cNvGraphicFramePr>
              <a:graphicFrameLocks noChangeAspect="1"/>
            </wp:cNvGraphicFramePr>
            <a:graphic>
              <a:graphicData uri="http://schemas.openxmlformats.org/drawingml/2006/picture">
                <pic:pic>
                  <pic:nvPicPr>
                    <pic:cNvPr id="0" name="kits-crews-margins.png"/>
                    <pic:cNvPicPr/>
                  </pic:nvPicPr>
                  <pic:blipFill>
                    <a:blip r:embed="rId12"/>
                    <a:stretch>
                      <a:fillRect/>
                    </a:stretch>
                  </pic:blipFill>
                  <pic:spPr>
                    <a:xfrm>
                      <a:off x="0" y="0"/>
                      <a:ext cx="5897880" cy="3356896"/>
                    </a:xfrm>
                    <a:prstGeom prst="rect"/>
                  </pic:spPr>
                </pic:pic>
              </a:graphicData>
            </a:graphic>
          </wp:inline>
        </w:drawing>
      </w:r>
    </w:p>
    <w:p>
      <w:pPr>
        <w:spacing w:after="200"/>
        <w:jc w:val="center"/>
      </w:pPr>
      <w:r>
        <w:rPr>
          <w:rFonts w:ascii="Calibri" w:hAnsi="Calibri"/>
          <w:b w:val="0"/>
          <w:i/>
          <w:color w:val="5E6F87"/>
          <w:sz w:val="18"/>
        </w:rPr>
        <w:t>Screen example: required supply kits, crew rate cards, and task margin rules.</w:t>
      </w:r>
    </w:p>
    <w:p>
      <w:pPr>
        <w:keepNext w:val="0"/>
        <w:spacing w:before="0" w:after="120" w:line="288" w:lineRule="auto"/>
      </w:pPr>
      <w:r>
        <w:rPr>
          <w:rFonts w:ascii="Calibri" w:hAnsi="Calibri"/>
          <w:b w:val="0"/>
          <w:i w:val="0"/>
          <w:color w:val="0B2545"/>
          <w:sz w:val="22"/>
        </w:rPr>
        <w:t>A standard supply kit is a repeatable bundle of catalog items that CCV adds automatically to matching work. It solves the problem of ordinary supplies being forgotten because they were not dictated by the estimator.</w:t>
      </w:r>
    </w:p>
    <w:p>
      <w:pPr>
        <w:pStyle w:val="Heading2"/>
        <w:keepNext/>
      </w:pPr>
      <w:r>
        <w:t>When to create a kit</w:t>
      </w:r>
    </w:p>
    <w:p>
      <w:pPr>
        <w:pStyle w:val="ListBullet"/>
        <w:spacing w:after="80" w:line="288" w:lineRule="auto"/>
        <w:ind w:left="547" w:hanging="274"/>
      </w:pPr>
      <w:r>
        <w:rPr>
          <w:rFonts w:ascii="Calibri" w:hAnsi="Calibri"/>
          <w:b w:val="0"/>
          <w:i w:val="0"/>
          <w:color w:val="0B2545"/>
          <w:sz w:val="21"/>
        </w:rPr>
        <w:t>Prepping supplies used on every job of a certain type.</w:t>
      </w:r>
    </w:p>
    <w:p>
      <w:pPr>
        <w:pStyle w:val="ListBullet"/>
        <w:spacing w:after="80" w:line="288" w:lineRule="auto"/>
        <w:ind w:left="547" w:hanging="274"/>
      </w:pPr>
      <w:r>
        <w:rPr>
          <w:rFonts w:ascii="Calibri" w:hAnsi="Calibri"/>
          <w:b w:val="0"/>
          <w:i w:val="0"/>
          <w:color w:val="0B2545"/>
          <w:sz w:val="21"/>
        </w:rPr>
        <w:t>Cleanup materials, fasteners, blades, tape, plastic, or protective equipment.</w:t>
      </w:r>
    </w:p>
    <w:p>
      <w:pPr>
        <w:pStyle w:val="ListBullet"/>
        <w:spacing w:after="80" w:line="288" w:lineRule="auto"/>
        <w:ind w:left="547" w:hanging="274"/>
      </w:pPr>
      <w:r>
        <w:rPr>
          <w:rFonts w:ascii="Calibri" w:hAnsi="Calibri"/>
          <w:b w:val="0"/>
          <w:i w:val="0"/>
          <w:color w:val="0B2545"/>
          <w:sz w:val="21"/>
        </w:rPr>
        <w:t>A standard group of items required by a manufacturer’s installation method.</w:t>
      </w:r>
    </w:p>
    <w:p>
      <w:pPr>
        <w:pStyle w:val="Heading2"/>
        <w:keepNext/>
      </w:pPr>
      <w:r>
        <w:t>How to create one</w:t>
      </w:r>
    </w:p>
    <w:p>
      <w:pPr>
        <w:pStyle w:val="ListNumber"/>
        <w:spacing w:after="100"/>
        <w:ind w:left="547" w:hanging="274"/>
      </w:pPr>
      <w:r>
        <w:rPr>
          <w:rFonts w:ascii="Calibri" w:hAnsi="Calibri"/>
          <w:b w:val="0"/>
          <w:i w:val="0"/>
          <w:color w:val="0B2545"/>
          <w:sz w:val="21"/>
        </w:rPr>
        <w:t>Select the active policy revision.</w:t>
      </w:r>
    </w:p>
    <w:p>
      <w:pPr>
        <w:pStyle w:val="ListNumber"/>
        <w:spacing w:after="100"/>
        <w:ind w:left="547" w:hanging="274"/>
      </w:pPr>
      <w:r>
        <w:rPr>
          <w:rFonts w:ascii="Calibri" w:hAnsi="Calibri"/>
          <w:b w:val="0"/>
          <w:i w:val="0"/>
          <w:color w:val="0B2545"/>
          <w:sz w:val="21"/>
        </w:rPr>
        <w:t>Name the kit clearly, such as Deck Build - Standard Consumables.</w:t>
      </w:r>
    </w:p>
    <w:p>
      <w:pPr>
        <w:pStyle w:val="ListNumber"/>
        <w:spacing w:after="100"/>
        <w:ind w:left="547" w:hanging="274"/>
      </w:pPr>
      <w:r>
        <w:rPr>
          <w:rFonts w:ascii="Calibri" w:hAnsi="Calibri"/>
          <w:b w:val="0"/>
          <w:i w:val="0"/>
          <w:color w:val="0B2545"/>
          <w:sz w:val="21"/>
        </w:rPr>
        <w:t>Choose the task type and, when useful, the work type.</w:t>
      </w:r>
    </w:p>
    <w:p>
      <w:pPr>
        <w:pStyle w:val="ListNumber"/>
        <w:spacing w:after="100"/>
        <w:ind w:left="547" w:hanging="274"/>
      </w:pPr>
      <w:r>
        <w:rPr>
          <w:rFonts w:ascii="Calibri" w:hAnsi="Calibri"/>
          <w:b w:val="0"/>
          <w:i w:val="0"/>
          <w:color w:val="0B2545"/>
          <w:sz w:val="21"/>
        </w:rPr>
        <w:t>Add each catalog item, its standard quantity, and an optional waste percentage.</w:t>
      </w:r>
    </w:p>
    <w:p>
      <w:pPr>
        <w:pStyle w:val="ListNumber"/>
        <w:spacing w:after="100"/>
        <w:ind w:left="547" w:hanging="274"/>
      </w:pPr>
      <w:r>
        <w:rPr>
          <w:rFonts w:ascii="Calibri" w:hAnsi="Calibri"/>
          <w:b w:val="0"/>
          <w:i w:val="0"/>
          <w:color w:val="0B2545"/>
          <w:sz w:val="21"/>
        </w:rPr>
        <w:t>Activate the kit after the contents are reviewed.</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pPr>
              <w:spacing w:after="40"/>
            </w:pPr>
            <w:r>
              <w:rPr>
                <w:rFonts w:ascii="Calibri" w:hAnsi="Calibri"/>
                <w:b/>
                <w:i w:val="0"/>
                <w:color w:val="2E67D1"/>
                <w:sz w:val="21"/>
              </w:rPr>
              <w:t xml:space="preserve">Example: </w:t>
            </w:r>
            <w:r>
              <w:rPr>
                <w:rFonts w:ascii="Calibri" w:hAnsi="Calibri"/>
                <w:b w:val="0"/>
                <w:i w:val="0"/>
                <w:color w:val="0B2545"/>
                <w:sz w:val="21"/>
              </w:rPr>
              <w:t>A New Deck Build kit might add construction adhesive, structural screws, layout string, blades, and cleanup bags to every matching task.</w:t>
            </w:r>
          </w:p>
        </w:tc>
      </w:tr>
    </w:tbl>
    <w:p>
      <w:pPr>
        <w:keepNext w:val="0"/>
        <w:spacing w:before="0" w:after="40" w:line="288" w:lineRule="auto"/>
      </w:pPr>
      <w:r>
        <w:rPr>
          <w:rFonts w:ascii="Calibri" w:hAnsi="Calibri"/>
          <w:b w:val="0"/>
          <w:i w:val="0"/>
          <w:color w:val="0B2545"/>
          <w:sz w:val="22"/>
        </w:rPr>
      </w:r>
    </w:p>
    <w:p>
      <w:pPr>
        <w:pStyle w:val="Heading1"/>
        <w:keepNext/>
      </w:pPr>
      <w:r>
        <w:t>4. Crew rate cards</w:t>
      </w:r>
    </w:p>
    <w:p>
      <w:pPr>
        <w:keepNext w:val="0"/>
        <w:spacing w:before="0" w:after="120" w:line="288" w:lineRule="auto"/>
      </w:pPr>
      <w:r>
        <w:rPr>
          <w:rFonts w:ascii="Calibri" w:hAnsi="Calibri"/>
          <w:b w:val="0"/>
          <w:i w:val="0"/>
          <w:color w:val="0B2545"/>
          <w:sz w:val="22"/>
        </w:rPr>
        <w:t>Crew rate cards assign the normal daily labor cost and crew size for a task type and optional work type.</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376"/>
            <w:tcMar>
              <w:top w:w="100" w:type="dxa"/>
              <w:start w:w="140" w:type="dxa"/>
              <w:bottom w:w="100" w:type="dxa"/>
              <w:end w:w="140" w:type="dxa"/>
            </w:tcMar>
            <w:vAlign w:val="center"/>
            <w:shd w:fill="0B2545"/>
          </w:tcPr>
          <w:p>
            <w:r>
              <w:rPr>
                <w:rFonts w:ascii="Calibri" w:hAnsi="Calibri"/>
                <w:b/>
                <w:i w:val="0"/>
                <w:color w:val="FFFFFF"/>
                <w:sz w:val="20"/>
              </w:rPr>
              <w:t>Field</w:t>
            </w:r>
          </w:p>
        </w:tc>
        <w:tc>
          <w:tcPr>
            <w:tcW w:type="dxa" w:w="3240"/>
            <w:tcMar>
              <w:top w:w="100" w:type="dxa"/>
              <w:start w:w="140" w:type="dxa"/>
              <w:bottom w:w="100" w:type="dxa"/>
              <w:end w:w="140" w:type="dxa"/>
            </w:tcMar>
            <w:vAlign w:val="center"/>
            <w:shd w:fill="0B2545"/>
          </w:tcPr>
          <w:p>
            <w:r>
              <w:rPr>
                <w:rFonts w:ascii="Calibri" w:hAnsi="Calibri"/>
                <w:b/>
                <w:i w:val="0"/>
                <w:color w:val="FFFFFF"/>
                <w:sz w:val="20"/>
              </w:rPr>
              <w:t>Plain meaning</w:t>
            </w:r>
          </w:p>
        </w:tc>
        <w:tc>
          <w:tcPr>
            <w:tcW w:type="dxa" w:w="3744"/>
            <w:tcMar>
              <w:top w:w="100" w:type="dxa"/>
              <w:start w:w="140" w:type="dxa"/>
              <w:bottom w:w="100" w:type="dxa"/>
              <w:end w:w="140" w:type="dxa"/>
            </w:tcMar>
            <w:vAlign w:val="center"/>
            <w:shd w:fill="0B2545"/>
          </w:tcPr>
          <w:p>
            <w:r>
              <w:rPr>
                <w:rFonts w:ascii="Calibri" w:hAnsi="Calibri"/>
                <w:b/>
                <w:i w:val="0"/>
                <w:color w:val="FFFFFF"/>
                <w:sz w:val="20"/>
              </w:rPr>
              <w:t>Simple guidance</w:t>
            </w:r>
          </w:p>
        </w:tc>
      </w:tr>
      <w:tr>
        <w:tc>
          <w:tcPr>
            <w:tcW w:type="dxa" w:w="2376"/>
            <w:tcMar>
              <w:top w:w="100" w:type="dxa"/>
              <w:start w:w="140" w:type="dxa"/>
              <w:bottom w:w="100" w:type="dxa"/>
              <w:end w:w="140" w:type="dxa"/>
            </w:tcMar>
            <w:vAlign w:val="center"/>
          </w:tcPr>
          <w:p>
            <w:r>
              <w:rPr>
                <w:rFonts w:ascii="Calibri" w:hAnsi="Calibri"/>
                <w:b/>
                <w:i w:val="0"/>
                <w:color w:val="0B2545"/>
                <w:sz w:val="19"/>
              </w:rPr>
              <w:t>Task type</w:t>
            </w:r>
          </w:p>
        </w:tc>
        <w:tc>
          <w:tcPr>
            <w:tcW w:type="dxa" w:w="3240"/>
            <w:tcMar>
              <w:top w:w="100" w:type="dxa"/>
              <w:start w:w="140" w:type="dxa"/>
              <w:bottom w:w="100" w:type="dxa"/>
              <w:end w:w="140" w:type="dxa"/>
            </w:tcMar>
            <w:vAlign w:val="center"/>
          </w:tcPr>
          <w:p>
            <w:r>
              <w:rPr>
                <w:rFonts w:ascii="Calibri" w:hAnsi="Calibri"/>
                <w:b w:val="0"/>
                <w:i w:val="0"/>
                <w:color w:val="0B2545"/>
                <w:sz w:val="19"/>
              </w:rPr>
              <w:t>Broad kind of work.</w:t>
            </w:r>
          </w:p>
        </w:tc>
        <w:tc>
          <w:tcPr>
            <w:tcW w:type="dxa" w:w="3744"/>
            <w:tcMar>
              <w:top w:w="100" w:type="dxa"/>
              <w:start w:w="140" w:type="dxa"/>
              <w:bottom w:w="100" w:type="dxa"/>
              <w:end w:w="140" w:type="dxa"/>
            </w:tcMar>
            <w:vAlign w:val="center"/>
          </w:tcPr>
          <w:p>
            <w:r>
              <w:rPr>
                <w:rFonts w:ascii="Calibri" w:hAnsi="Calibri"/>
                <w:b w:val="0"/>
                <w:i w:val="0"/>
                <w:color w:val="0B2545"/>
                <w:sz w:val="19"/>
              </w:rPr>
              <w:t>Deck, roofing, repair/restoration, screen room, and so on.</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Work type</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More specific work variation.</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Use when new construction and restoration need different crews.</w:t>
            </w:r>
          </w:p>
        </w:tc>
      </w:tr>
      <w:tr>
        <w:tc>
          <w:tcPr>
            <w:tcW w:type="dxa" w:w="2376"/>
            <w:tcMar>
              <w:top w:w="100" w:type="dxa"/>
              <w:start w:w="140" w:type="dxa"/>
              <w:bottom w:w="100" w:type="dxa"/>
              <w:end w:w="140" w:type="dxa"/>
            </w:tcMar>
            <w:vAlign w:val="center"/>
          </w:tcPr>
          <w:p>
            <w:r>
              <w:rPr>
                <w:rFonts w:ascii="Calibri" w:hAnsi="Calibri"/>
                <w:b/>
                <w:i w:val="0"/>
                <w:color w:val="0B2545"/>
                <w:sz w:val="19"/>
              </w:rPr>
              <w:t>Crew size</w:t>
            </w:r>
          </w:p>
        </w:tc>
        <w:tc>
          <w:tcPr>
            <w:tcW w:type="dxa" w:w="3240"/>
            <w:tcMar>
              <w:top w:w="100" w:type="dxa"/>
              <w:start w:w="140" w:type="dxa"/>
              <w:bottom w:w="100" w:type="dxa"/>
              <w:end w:w="140" w:type="dxa"/>
            </w:tcMar>
            <w:vAlign w:val="center"/>
          </w:tcPr>
          <w:p>
            <w:r>
              <w:rPr>
                <w:rFonts w:ascii="Calibri" w:hAnsi="Calibri"/>
                <w:b w:val="0"/>
                <w:i w:val="0"/>
                <w:color w:val="0B2545"/>
                <w:sz w:val="19"/>
              </w:rPr>
              <w:t>Expected number of workers.</w:t>
            </w:r>
          </w:p>
        </w:tc>
        <w:tc>
          <w:tcPr>
            <w:tcW w:type="dxa" w:w="3744"/>
            <w:tcMar>
              <w:top w:w="100" w:type="dxa"/>
              <w:start w:w="140" w:type="dxa"/>
              <w:bottom w:w="100" w:type="dxa"/>
              <w:end w:w="140" w:type="dxa"/>
            </w:tcMar>
            <w:vAlign w:val="center"/>
          </w:tcPr>
          <w:p>
            <w:r>
              <w:rPr>
                <w:rFonts w:ascii="Calibri" w:hAnsi="Calibri"/>
                <w:b w:val="0"/>
                <w:i w:val="0"/>
                <w:color w:val="0B2545"/>
                <w:sz w:val="19"/>
              </w:rPr>
              <w:t>Used for planning and reporting.</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Daily cost</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Cost of the entire crew for one day.</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$800 for a 3-person deck crew means $800 total per day.</w:t>
            </w:r>
          </w:p>
        </w:tc>
      </w:tr>
    </w:tbl>
    <w:p>
      <w:pPr>
        <w:keepNext w:val="0"/>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pPr>
              <w:spacing w:after="40"/>
            </w:pPr>
            <w:r>
              <w:rPr>
                <w:rFonts w:ascii="Calibri" w:hAnsi="Calibri"/>
                <w:b/>
                <w:i w:val="0"/>
                <w:color w:val="217A49"/>
                <w:sz w:val="21"/>
              </w:rPr>
              <w:t xml:space="preserve">Specific beats general: </w:t>
            </w:r>
            <w:r>
              <w:rPr>
                <w:rFonts w:ascii="Calibri" w:hAnsi="Calibri"/>
                <w:b w:val="0"/>
                <w:i w:val="0"/>
                <w:color w:val="0B2545"/>
                <w:sz w:val="21"/>
              </w:rPr>
              <w:t>A matching task-and-work-type rate should win over a general task rate, and a local rate should win over the company-wide rate.</w:t>
            </w:r>
          </w:p>
        </w:tc>
      </w:tr>
    </w:tbl>
    <w:p>
      <w:pPr>
        <w:keepNext w:val="0"/>
        <w:spacing w:before="0" w:after="40" w:line="288" w:lineRule="auto"/>
      </w:pPr>
      <w:r>
        <w:rPr>
          <w:rFonts w:ascii="Calibri" w:hAnsi="Calibri"/>
          <w:b w:val="0"/>
          <w:i w:val="0"/>
          <w:color w:val="0B2545"/>
          <w:sz w:val="22"/>
        </w:rPr>
      </w:r>
    </w:p>
    <w:p>
      <w:pPr>
        <w:pStyle w:val="Heading1"/>
        <w:keepNext/>
      </w:pPr>
      <w:r>
        <w:t>5. Task margin rules</w:t>
      </w:r>
    </w:p>
    <w:p>
      <w:pPr>
        <w:keepNext w:val="0"/>
        <w:spacing w:before="0" w:after="120" w:line="288" w:lineRule="auto"/>
      </w:pPr>
      <w:r>
        <w:rPr>
          <w:rFonts w:ascii="Calibri" w:hAnsi="Calibri"/>
          <w:b w:val="0"/>
          <w:i w:val="0"/>
          <w:color w:val="0B2545"/>
          <w:sz w:val="22"/>
        </w:rPr>
        <w:t>Task margin rules allow different work to target different profit levels. A new deck may support a higher margin than maintenance or restoration.</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376"/>
            <w:tcMar>
              <w:top w:w="100" w:type="dxa"/>
              <w:start w:w="140" w:type="dxa"/>
              <w:bottom w:w="100" w:type="dxa"/>
              <w:end w:w="140" w:type="dxa"/>
            </w:tcMar>
            <w:vAlign w:val="center"/>
            <w:shd w:fill="0B2545"/>
          </w:tcPr>
          <w:p>
            <w:r>
              <w:rPr>
                <w:rFonts w:ascii="Calibri" w:hAnsi="Calibri"/>
                <w:b/>
                <w:i w:val="0"/>
                <w:color w:val="FFFFFF"/>
                <w:sz w:val="20"/>
              </w:rPr>
              <w:t>Field</w:t>
            </w:r>
          </w:p>
        </w:tc>
        <w:tc>
          <w:tcPr>
            <w:tcW w:type="dxa" w:w="3240"/>
            <w:tcMar>
              <w:top w:w="100" w:type="dxa"/>
              <w:start w:w="140" w:type="dxa"/>
              <w:bottom w:w="100" w:type="dxa"/>
              <w:end w:w="140" w:type="dxa"/>
            </w:tcMar>
            <w:vAlign w:val="center"/>
            <w:shd w:fill="0B2545"/>
          </w:tcPr>
          <w:p>
            <w:r>
              <w:rPr>
                <w:rFonts w:ascii="Calibri" w:hAnsi="Calibri"/>
                <w:b/>
                <w:i w:val="0"/>
                <w:color w:val="FFFFFF"/>
                <w:sz w:val="20"/>
              </w:rPr>
              <w:t>Plain meaning</w:t>
            </w:r>
          </w:p>
        </w:tc>
        <w:tc>
          <w:tcPr>
            <w:tcW w:type="dxa" w:w="3744"/>
            <w:tcMar>
              <w:top w:w="100" w:type="dxa"/>
              <w:start w:w="140" w:type="dxa"/>
              <w:bottom w:w="100" w:type="dxa"/>
              <w:end w:w="140" w:type="dxa"/>
            </w:tcMar>
            <w:vAlign w:val="center"/>
            <w:shd w:fill="0B2545"/>
          </w:tcPr>
          <w:p>
            <w:r>
              <w:rPr>
                <w:rFonts w:ascii="Calibri" w:hAnsi="Calibri"/>
                <w:b/>
                <w:i w:val="0"/>
                <w:color w:val="FFFFFF"/>
                <w:sz w:val="20"/>
              </w:rPr>
              <w:t>Simple guidance</w:t>
            </w:r>
          </w:p>
        </w:tc>
      </w:tr>
      <w:tr>
        <w:tc>
          <w:tcPr>
            <w:tcW w:type="dxa" w:w="2376"/>
            <w:tcMar>
              <w:top w:w="100" w:type="dxa"/>
              <w:start w:w="140" w:type="dxa"/>
              <w:bottom w:w="100" w:type="dxa"/>
              <w:end w:w="140" w:type="dxa"/>
            </w:tcMar>
            <w:vAlign w:val="center"/>
          </w:tcPr>
          <w:p>
            <w:r>
              <w:rPr>
                <w:rFonts w:ascii="Calibri" w:hAnsi="Calibri"/>
                <w:b/>
                <w:i w:val="0"/>
                <w:color w:val="0B2545"/>
                <w:sz w:val="19"/>
              </w:rPr>
              <w:t>Task type</w:t>
            </w:r>
          </w:p>
        </w:tc>
        <w:tc>
          <w:tcPr>
            <w:tcW w:type="dxa" w:w="3240"/>
            <w:tcMar>
              <w:top w:w="100" w:type="dxa"/>
              <w:start w:w="140" w:type="dxa"/>
              <w:bottom w:w="100" w:type="dxa"/>
              <w:end w:w="140" w:type="dxa"/>
            </w:tcMar>
            <w:vAlign w:val="center"/>
          </w:tcPr>
          <w:p>
            <w:r>
              <w:rPr>
                <w:rFonts w:ascii="Calibri" w:hAnsi="Calibri"/>
                <w:b w:val="0"/>
                <w:i w:val="0"/>
                <w:color w:val="0B2545"/>
                <w:sz w:val="19"/>
              </w:rPr>
              <w:t>Work category that receives the margin.</w:t>
            </w:r>
          </w:p>
        </w:tc>
        <w:tc>
          <w:tcPr>
            <w:tcW w:type="dxa" w:w="3744"/>
            <w:tcMar>
              <w:top w:w="100" w:type="dxa"/>
              <w:start w:w="140" w:type="dxa"/>
              <w:bottom w:w="100" w:type="dxa"/>
              <w:end w:w="140" w:type="dxa"/>
            </w:tcMar>
            <w:vAlign w:val="center"/>
          </w:tcPr>
          <w:p>
            <w:r>
              <w:rPr>
                <w:rFonts w:ascii="Calibri" w:hAnsi="Calibri"/>
                <w:b w:val="0"/>
                <w:i w:val="0"/>
                <w:color w:val="0B2545"/>
                <w:sz w:val="19"/>
              </w:rPr>
              <w:t>Create one rule per major task type when economics differ.</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Work type</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Optional narrower match.</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Use for New Build, Restoration, Maintenance, or another variation.</w:t>
            </w:r>
          </w:p>
        </w:tc>
      </w:tr>
      <w:tr>
        <w:tc>
          <w:tcPr>
            <w:tcW w:type="dxa" w:w="2376"/>
            <w:tcMar>
              <w:top w:w="100" w:type="dxa"/>
              <w:start w:w="140" w:type="dxa"/>
              <w:bottom w:w="100" w:type="dxa"/>
              <w:end w:w="140" w:type="dxa"/>
            </w:tcMar>
            <w:vAlign w:val="center"/>
          </w:tcPr>
          <w:p>
            <w:r>
              <w:rPr>
                <w:rFonts w:ascii="Calibri" w:hAnsi="Calibri"/>
                <w:b/>
                <w:i w:val="0"/>
                <w:color w:val="0B2545"/>
                <w:sz w:val="19"/>
              </w:rPr>
              <w:t>Target margin</w:t>
            </w:r>
          </w:p>
        </w:tc>
        <w:tc>
          <w:tcPr>
            <w:tcW w:type="dxa" w:w="3240"/>
            <w:tcMar>
              <w:top w:w="100" w:type="dxa"/>
              <w:start w:w="140" w:type="dxa"/>
              <w:bottom w:w="100" w:type="dxa"/>
              <w:end w:w="140" w:type="dxa"/>
            </w:tcMar>
            <w:vAlign w:val="center"/>
          </w:tcPr>
          <w:p>
            <w:r>
              <w:rPr>
                <w:rFonts w:ascii="Calibri" w:hAnsi="Calibri"/>
                <w:b w:val="0"/>
                <w:i w:val="0"/>
                <w:color w:val="0B2545"/>
                <w:sz w:val="19"/>
              </w:rPr>
              <w:t>Percent of selling price left after cost.</w:t>
            </w:r>
          </w:p>
        </w:tc>
        <w:tc>
          <w:tcPr>
            <w:tcW w:type="dxa" w:w="3744"/>
            <w:tcMar>
              <w:top w:w="100" w:type="dxa"/>
              <w:start w:w="140" w:type="dxa"/>
              <w:bottom w:w="100" w:type="dxa"/>
              <w:end w:w="140" w:type="dxa"/>
            </w:tcMar>
            <w:vAlign w:val="center"/>
          </w:tcPr>
          <w:p>
            <w:r>
              <w:rPr>
                <w:rFonts w:ascii="Calibri" w:hAnsi="Calibri"/>
                <w:b w:val="0"/>
                <w:i w:val="0"/>
                <w:color w:val="0B2545"/>
                <w:sz w:val="19"/>
              </w:rPr>
              <w:t>This is margin, not markup.</w:t>
            </w:r>
          </w:p>
        </w:tc>
      </w:tr>
    </w:tbl>
    <w:p>
      <w:pPr>
        <w:keepNext w:val="0"/>
        <w:spacing w:before="0" w:after="40" w:line="288" w:lineRule="auto"/>
      </w:pPr>
      <w:r>
        <w:rPr>
          <w:rFonts w:ascii="Calibri" w:hAnsi="Calibri"/>
          <w:b w:val="0"/>
          <w:i w:val="0"/>
          <w:color w:val="0B2545"/>
          <w:sz w:val="22"/>
        </w:rPr>
      </w:r>
    </w:p>
    <w:p>
      <w:pPr>
        <w:pStyle w:val="Heading2"/>
        <w:keepNext/>
      </w:pPr>
      <w:r>
        <w:t>Margin example</w:t>
      </w:r>
    </w:p>
    <w:p>
      <w:pPr>
        <w:keepNext w:val="0"/>
        <w:spacing w:before="0" w:after="120" w:line="288" w:lineRule="auto"/>
      </w:pPr>
      <w:r>
        <w:rPr>
          <w:rFonts w:ascii="Calibri" w:hAnsi="Calibri"/>
          <w:b w:val="0"/>
          <w:i w:val="0"/>
          <w:color w:val="0B2545"/>
          <w:sz w:val="22"/>
        </w:rPr>
        <w:t>If total estimated cost is $10,000 and the target margin is 40%, the suggested price is $16,666.67. A 40% margin is not the same as adding 40% to cost.</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pPr>
              <w:spacing w:after="40"/>
            </w:pPr>
            <w:r>
              <w:rPr>
                <w:rFonts w:ascii="Calibri" w:hAnsi="Calibri"/>
                <w:b/>
                <w:i w:val="0"/>
                <w:color w:val="2E67D1"/>
                <w:sz w:val="21"/>
              </w:rPr>
              <w:t xml:space="preserve">Formula: </w:t>
            </w:r>
            <w:r>
              <w:rPr>
                <w:rFonts w:ascii="Calibri" w:hAnsi="Calibri"/>
                <w:b w:val="0"/>
                <w:i w:val="0"/>
                <w:color w:val="0B2545"/>
                <w:sz w:val="21"/>
              </w:rPr>
              <w:t>Suggested price = total cost ÷ (1 - margin rate). For 40%: $10,000 ÷ 0.60 = $16,666.67.</w:t>
            </w:r>
          </w:p>
        </w:tc>
      </w:tr>
    </w:tbl>
    <w:p>
      <w:pPr>
        <w:keepNext w:val="0"/>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pPr>
              <w:spacing w:after="40"/>
            </w:pPr>
            <w:r>
              <w:rPr>
                <w:rFonts w:ascii="Calibri" w:hAnsi="Calibri"/>
                <w:b/>
                <w:i w:val="0"/>
                <w:color w:val="A36B00"/>
                <w:sz w:val="21"/>
              </w:rPr>
              <w:t xml:space="preserve">Use the fallback carefully: </w:t>
            </w:r>
            <w:r>
              <w:rPr>
                <w:rFonts w:ascii="Calibri" w:hAnsi="Calibri"/>
                <w:b w:val="0"/>
                <w:i w:val="0"/>
                <w:color w:val="0B2545"/>
                <w:sz w:val="21"/>
              </w:rPr>
              <w:t>The policy-level fallback margin applies only when no more specific task margin matches. Create task rules for work with meaningfully different market conditions.</w:t>
            </w:r>
          </w:p>
        </w:tc>
      </w:tr>
    </w:tbl>
    <w:p>
      <w:pPr>
        <w:keepNext w:val="0"/>
        <w:spacing w:before="0" w:after="40" w:line="288" w:lineRule="auto"/>
      </w:pPr>
      <w:r>
        <w:rPr>
          <w:rFonts w:ascii="Calibri" w:hAnsi="Calibri"/>
          <w:b w:val="0"/>
          <w:i w:val="0"/>
          <w:color w:val="0B2545"/>
          <w:sz w:val="22"/>
        </w:rPr>
      </w:r>
    </w:p>
    <w:p>
      <w:pPr>
        <w:pStyle w:val="Heading1"/>
        <w:keepNext/>
      </w:pPr>
      <w:r>
        <w:t>6. Additional task and project costs</w:t>
      </w:r>
    </w:p>
    <w:p>
      <w:pPr>
        <w:keepNext/>
        <w:jc w:val="center"/>
      </w:pPr>
      <w:r>
        <w:drawing>
          <wp:inline xmlns:a="http://schemas.openxmlformats.org/drawingml/2006/main" xmlns:pic="http://schemas.openxmlformats.org/drawingml/2006/picture">
            <wp:extent cx="5897880" cy="3543391"/>
            <wp:docPr id="4" name="Picture 4" descr="Screen example: additional costs and material exclusions." title="Costing Policies screen example"/>
            <wp:cNvGraphicFramePr>
              <a:graphicFrameLocks noChangeAspect="1"/>
            </wp:cNvGraphicFramePr>
            <a:graphic>
              <a:graphicData uri="http://schemas.openxmlformats.org/drawingml/2006/picture">
                <pic:pic>
                  <pic:nvPicPr>
                    <pic:cNvPr id="0" name="costs-exclusions.png"/>
                    <pic:cNvPicPr/>
                  </pic:nvPicPr>
                  <pic:blipFill>
                    <a:blip r:embed="rId13"/>
                    <a:stretch>
                      <a:fillRect/>
                    </a:stretch>
                  </pic:blipFill>
                  <pic:spPr>
                    <a:xfrm>
                      <a:off x="0" y="0"/>
                      <a:ext cx="5897880" cy="3543391"/>
                    </a:xfrm>
                    <a:prstGeom prst="rect"/>
                  </pic:spPr>
                </pic:pic>
              </a:graphicData>
            </a:graphic>
          </wp:inline>
        </w:drawing>
      </w:r>
    </w:p>
    <w:p>
      <w:pPr>
        <w:spacing w:after="200"/>
        <w:jc w:val="center"/>
      </w:pPr>
      <w:r>
        <w:rPr>
          <w:rFonts w:ascii="Calibri" w:hAnsi="Calibri"/>
          <w:b w:val="0"/>
          <w:i/>
          <w:color w:val="5E6F87"/>
          <w:sz w:val="18"/>
        </w:rPr>
        <w:t>Screen example: additional costs and material exclusions.</w:t>
      </w:r>
    </w:p>
    <w:p>
      <w:pPr>
        <w:keepNext w:val="0"/>
        <w:spacing w:before="0" w:after="120" w:line="288" w:lineRule="auto"/>
      </w:pPr>
      <w:r>
        <w:rPr>
          <w:rFonts w:ascii="Calibri" w:hAnsi="Calibri"/>
          <w:b w:val="0"/>
          <w:i w:val="0"/>
          <w:color w:val="0B2545"/>
          <w:sz w:val="22"/>
        </w:rPr>
        <w:t>These rules add costs that do not belong in a vendor catalog. Examples include permits, disposal, haul-away, equipment rental, delivery, mobilization, and project management.</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376"/>
            <w:tcMar>
              <w:top w:w="100" w:type="dxa"/>
              <w:start w:w="140" w:type="dxa"/>
              <w:bottom w:w="100" w:type="dxa"/>
              <w:end w:w="140" w:type="dxa"/>
            </w:tcMar>
            <w:vAlign w:val="center"/>
            <w:shd w:fill="0B2545"/>
          </w:tcPr>
          <w:p>
            <w:r>
              <w:rPr>
                <w:rFonts w:ascii="Calibri" w:hAnsi="Calibri"/>
                <w:b/>
                <w:i w:val="0"/>
                <w:color w:val="FFFFFF"/>
                <w:sz w:val="20"/>
              </w:rPr>
              <w:t>Field</w:t>
            </w:r>
          </w:p>
        </w:tc>
        <w:tc>
          <w:tcPr>
            <w:tcW w:type="dxa" w:w="3240"/>
            <w:tcMar>
              <w:top w:w="100" w:type="dxa"/>
              <w:start w:w="140" w:type="dxa"/>
              <w:bottom w:w="100" w:type="dxa"/>
              <w:end w:w="140" w:type="dxa"/>
            </w:tcMar>
            <w:vAlign w:val="center"/>
            <w:shd w:fill="0B2545"/>
          </w:tcPr>
          <w:p>
            <w:r>
              <w:rPr>
                <w:rFonts w:ascii="Calibri" w:hAnsi="Calibri"/>
                <w:b/>
                <w:i w:val="0"/>
                <w:color w:val="FFFFFF"/>
                <w:sz w:val="20"/>
              </w:rPr>
              <w:t>Plain meaning</w:t>
            </w:r>
          </w:p>
        </w:tc>
        <w:tc>
          <w:tcPr>
            <w:tcW w:type="dxa" w:w="3744"/>
            <w:tcMar>
              <w:top w:w="100" w:type="dxa"/>
              <w:start w:w="140" w:type="dxa"/>
              <w:bottom w:w="100" w:type="dxa"/>
              <w:end w:w="140" w:type="dxa"/>
            </w:tcMar>
            <w:vAlign w:val="center"/>
            <w:shd w:fill="0B2545"/>
          </w:tcPr>
          <w:p>
            <w:r>
              <w:rPr>
                <w:rFonts w:ascii="Calibri" w:hAnsi="Calibri"/>
                <w:b/>
                <w:i w:val="0"/>
                <w:color w:val="FFFFFF"/>
                <w:sz w:val="20"/>
              </w:rPr>
              <w:t>Simple guidance</w:t>
            </w:r>
          </w:p>
        </w:tc>
      </w:tr>
      <w:tr>
        <w:tc>
          <w:tcPr>
            <w:tcW w:type="dxa" w:w="2376"/>
            <w:tcMar>
              <w:top w:w="100" w:type="dxa"/>
              <w:start w:w="140" w:type="dxa"/>
              <w:bottom w:w="100" w:type="dxa"/>
              <w:end w:w="140" w:type="dxa"/>
            </w:tcMar>
            <w:vAlign w:val="center"/>
          </w:tcPr>
          <w:p>
            <w:r>
              <w:rPr>
                <w:rFonts w:ascii="Calibri" w:hAnsi="Calibri"/>
                <w:b/>
                <w:i w:val="0"/>
                <w:color w:val="0B2545"/>
                <w:sz w:val="19"/>
              </w:rPr>
              <w:t>Scope: Task</w:t>
            </w:r>
          </w:p>
        </w:tc>
        <w:tc>
          <w:tcPr>
            <w:tcW w:type="dxa" w:w="3240"/>
            <w:tcMar>
              <w:top w:w="100" w:type="dxa"/>
              <w:start w:w="140" w:type="dxa"/>
              <w:bottom w:w="100" w:type="dxa"/>
              <w:end w:w="140" w:type="dxa"/>
            </w:tcMar>
            <w:vAlign w:val="center"/>
          </w:tcPr>
          <w:p>
            <w:r>
              <w:rPr>
                <w:rFonts w:ascii="Calibri" w:hAnsi="Calibri"/>
                <w:b w:val="0"/>
                <w:i w:val="0"/>
                <w:color w:val="0B2545"/>
                <w:sz w:val="19"/>
              </w:rPr>
              <w:t>Applied to each matching task.</w:t>
            </w:r>
          </w:p>
        </w:tc>
        <w:tc>
          <w:tcPr>
            <w:tcW w:type="dxa" w:w="3744"/>
            <w:tcMar>
              <w:top w:w="100" w:type="dxa"/>
              <w:start w:w="140" w:type="dxa"/>
              <w:bottom w:w="100" w:type="dxa"/>
              <w:end w:w="140" w:type="dxa"/>
            </w:tcMar>
            <w:vAlign w:val="center"/>
          </w:tcPr>
          <w:p>
            <w:r>
              <w:rPr>
                <w:rFonts w:ascii="Calibri" w:hAnsi="Calibri"/>
                <w:b w:val="0"/>
                <w:i w:val="0"/>
                <w:color w:val="0B2545"/>
                <w:sz w:val="19"/>
              </w:rPr>
              <w:t>A $500 deck disposal rule applies to every matching deck task.</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Scope: Project</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Applied once to the estimate.</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A $750 permit rule applies once even when the estimate has several tasks.</w:t>
            </w:r>
          </w:p>
        </w:tc>
      </w:tr>
      <w:tr>
        <w:tc>
          <w:tcPr>
            <w:tcW w:type="dxa" w:w="2376"/>
            <w:tcMar>
              <w:top w:w="100" w:type="dxa"/>
              <w:start w:w="140" w:type="dxa"/>
              <w:bottom w:w="100" w:type="dxa"/>
              <w:end w:w="140" w:type="dxa"/>
            </w:tcMar>
            <w:vAlign w:val="center"/>
          </w:tcPr>
          <w:p>
            <w:r>
              <w:rPr>
                <w:rFonts w:ascii="Calibri" w:hAnsi="Calibri"/>
                <w:b/>
                <w:i w:val="0"/>
                <w:color w:val="0B2545"/>
                <w:sz w:val="19"/>
              </w:rPr>
              <w:t>Fixed</w:t>
            </w:r>
          </w:p>
        </w:tc>
        <w:tc>
          <w:tcPr>
            <w:tcW w:type="dxa" w:w="3240"/>
            <w:tcMar>
              <w:top w:w="100" w:type="dxa"/>
              <w:start w:w="140" w:type="dxa"/>
              <w:bottom w:w="100" w:type="dxa"/>
              <w:end w:w="140" w:type="dxa"/>
            </w:tcMar>
            <w:vAlign w:val="center"/>
          </w:tcPr>
          <w:p>
            <w:r>
              <w:rPr>
                <w:rFonts w:ascii="Calibri" w:hAnsi="Calibri"/>
                <w:b w:val="0"/>
                <w:i w:val="0"/>
                <w:color w:val="0B2545"/>
                <w:sz w:val="19"/>
              </w:rPr>
              <w:t>One set amount.</w:t>
            </w:r>
          </w:p>
        </w:tc>
        <w:tc>
          <w:tcPr>
            <w:tcW w:type="dxa" w:w="3744"/>
            <w:tcMar>
              <w:top w:w="100" w:type="dxa"/>
              <w:start w:w="140" w:type="dxa"/>
              <w:bottom w:w="100" w:type="dxa"/>
              <w:end w:w="140" w:type="dxa"/>
            </w:tcMar>
            <w:vAlign w:val="center"/>
          </w:tcPr>
          <w:p>
            <w:r>
              <w:rPr>
                <w:rFonts w:ascii="Calibri" w:hAnsi="Calibri"/>
                <w:b w:val="0"/>
                <w:i w:val="0"/>
                <w:color w:val="0B2545"/>
                <w:sz w:val="19"/>
              </w:rPr>
              <w:t>Use for a known permit, delivery, or dumpster charge.</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Per project day</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Rate multiplied by estimated days.</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Use for supervision, equipment, or recurring site costs.</w:t>
            </w:r>
          </w:p>
        </w:tc>
      </w:tr>
      <w:tr>
        <w:tc>
          <w:tcPr>
            <w:tcW w:type="dxa" w:w="2376"/>
            <w:tcMar>
              <w:top w:w="100" w:type="dxa"/>
              <w:start w:w="140" w:type="dxa"/>
              <w:bottom w:w="100" w:type="dxa"/>
              <w:end w:w="140" w:type="dxa"/>
            </w:tcMar>
            <w:vAlign w:val="center"/>
          </w:tcPr>
          <w:p>
            <w:r>
              <w:rPr>
                <w:rFonts w:ascii="Calibri" w:hAnsi="Calibri"/>
                <w:b/>
                <w:i w:val="0"/>
                <w:color w:val="0B2545"/>
                <w:sz w:val="19"/>
              </w:rPr>
              <w:t>% direct cost</w:t>
            </w:r>
          </w:p>
        </w:tc>
        <w:tc>
          <w:tcPr>
            <w:tcW w:type="dxa" w:w="3240"/>
            <w:tcMar>
              <w:top w:w="100" w:type="dxa"/>
              <w:start w:w="140" w:type="dxa"/>
              <w:bottom w:w="100" w:type="dxa"/>
              <w:end w:w="140" w:type="dxa"/>
            </w:tcMar>
            <w:vAlign w:val="center"/>
          </w:tcPr>
          <w:p>
            <w:r>
              <w:rPr>
                <w:rFonts w:ascii="Calibri" w:hAnsi="Calibri"/>
                <w:b w:val="0"/>
                <w:i w:val="0"/>
                <w:color w:val="0B2545"/>
                <w:sz w:val="19"/>
              </w:rPr>
              <w:t>Percentage of direct cost.</w:t>
            </w:r>
          </w:p>
        </w:tc>
        <w:tc>
          <w:tcPr>
            <w:tcW w:type="dxa" w:w="3744"/>
            <w:tcMar>
              <w:top w:w="100" w:type="dxa"/>
              <w:start w:w="140" w:type="dxa"/>
              <w:bottom w:w="100" w:type="dxa"/>
              <w:end w:w="140" w:type="dxa"/>
            </w:tcMar>
            <w:vAlign w:val="center"/>
          </w:tcPr>
          <w:p>
            <w:r>
              <w:rPr>
                <w:rFonts w:ascii="Calibri" w:hAnsi="Calibri"/>
                <w:b w:val="0"/>
                <w:i w:val="0"/>
                <w:color w:val="0B2545"/>
                <w:sz w:val="19"/>
              </w:rPr>
              <w:t>Use only when the cost reliably scales with the project.</w:t>
            </w:r>
          </w:p>
        </w:tc>
      </w:tr>
    </w:tbl>
    <w:p>
      <w:pPr>
        <w:keepNext w:val="0"/>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pPr>
              <w:spacing w:after="40"/>
            </w:pPr>
            <w:r>
              <w:rPr>
                <w:rFonts w:ascii="Calibri" w:hAnsi="Calibri"/>
                <w:b/>
                <w:i w:val="0"/>
                <w:color w:val="2E67D1"/>
                <w:sz w:val="21"/>
              </w:rPr>
              <w:t xml:space="preserve">Example: </w:t>
            </w:r>
            <w:r>
              <w:rPr>
                <w:rFonts w:ascii="Calibri" w:hAnsi="Calibri"/>
                <w:b w:val="0"/>
                <w:i w:val="0"/>
                <w:color w:val="0B2545"/>
                <w:sz w:val="21"/>
              </w:rPr>
              <w:t>A two-task estimate with a $500 task-level disposal rule could add $1,000. The same $500 rule scoped to Project adds only $500.</w:t>
            </w:r>
          </w:p>
        </w:tc>
      </w:tr>
    </w:tbl>
    <w:p>
      <w:pPr>
        <w:keepNext w:val="0"/>
        <w:spacing w:before="0" w:after="40" w:line="288" w:lineRule="auto"/>
      </w:pPr>
      <w:r>
        <w:rPr>
          <w:rFonts w:ascii="Calibri" w:hAnsi="Calibri"/>
          <w:b w:val="0"/>
          <w:i w:val="0"/>
          <w:color w:val="0B2545"/>
          <w:sz w:val="22"/>
        </w:rPr>
      </w:r>
    </w:p>
    <w:p>
      <w:pPr>
        <w:pStyle w:val="Heading1"/>
        <w:keepNext/>
      </w:pPr>
      <w:r>
        <w:t>7. Material exclusions and recovery mapping</w:t>
      </w:r>
    </w:p>
    <w:p>
      <w:pPr>
        <w:keepNext w:val="0"/>
        <w:spacing w:before="0" w:after="120" w:line="288" w:lineRule="auto"/>
      </w:pPr>
      <w:r>
        <w:rPr>
          <w:rFonts w:ascii="Calibri" w:hAnsi="Calibri"/>
          <w:b w:val="0"/>
          <w:i w:val="0"/>
          <w:color w:val="0B2545"/>
          <w:sz w:val="22"/>
        </w:rPr>
        <w:t>An exclusion tells CentCom and CCV not to treat a matching suggestion as a catalog material. The excluded suggestion stays visible in the audit trail, but it does not enter the material subtotal.</w:t>
      </w:r>
    </w:p>
    <w:p>
      <w:pPr>
        <w:pStyle w:val="Heading2"/>
        <w:keepNext/>
      </w:pPr>
      <w:r>
        <w:t>Why a recovery mapping matters</w:t>
      </w:r>
    </w:p>
    <w:p>
      <w:pPr>
        <w:keepNext w:val="0"/>
        <w:spacing w:before="0" w:after="120" w:line="288" w:lineRule="auto"/>
      </w:pPr>
      <w:r>
        <w:rPr>
          <w:rFonts w:ascii="Calibri" w:hAnsi="Calibri"/>
          <w:b w:val="0"/>
          <w:i w:val="0"/>
          <w:color w:val="0B2545"/>
          <w:sz w:val="22"/>
        </w:rPr>
        <w:t>An exclusion by itself removes cost. Therefore, if the cost is still real, the exclusion should point to the policy feature that recovers it: a standard supply kit, an additional cost rule, labor, or overhead.</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376"/>
            <w:tcMar>
              <w:top w:w="100" w:type="dxa"/>
              <w:start w:w="140" w:type="dxa"/>
              <w:bottom w:w="100" w:type="dxa"/>
              <w:end w:w="140" w:type="dxa"/>
            </w:tcMar>
            <w:vAlign w:val="center"/>
            <w:shd w:fill="0B2545"/>
          </w:tcPr>
          <w:p>
            <w:r>
              <w:rPr>
                <w:rFonts w:ascii="Calibri" w:hAnsi="Calibri"/>
                <w:b/>
                <w:i w:val="0"/>
                <w:color w:val="FFFFFF"/>
                <w:sz w:val="20"/>
              </w:rPr>
              <w:t>Field</w:t>
            </w:r>
          </w:p>
        </w:tc>
        <w:tc>
          <w:tcPr>
            <w:tcW w:type="dxa" w:w="3240"/>
            <w:tcMar>
              <w:top w:w="100" w:type="dxa"/>
              <w:start w:w="140" w:type="dxa"/>
              <w:bottom w:w="100" w:type="dxa"/>
              <w:end w:w="140" w:type="dxa"/>
            </w:tcMar>
            <w:vAlign w:val="center"/>
            <w:shd w:fill="0B2545"/>
          </w:tcPr>
          <w:p>
            <w:r>
              <w:rPr>
                <w:rFonts w:ascii="Calibri" w:hAnsi="Calibri"/>
                <w:b/>
                <w:i w:val="0"/>
                <w:color w:val="FFFFFF"/>
                <w:sz w:val="20"/>
              </w:rPr>
              <w:t>Plain meaning</w:t>
            </w:r>
          </w:p>
        </w:tc>
        <w:tc>
          <w:tcPr>
            <w:tcW w:type="dxa" w:w="3744"/>
            <w:tcMar>
              <w:top w:w="100" w:type="dxa"/>
              <w:start w:w="140" w:type="dxa"/>
              <w:bottom w:w="100" w:type="dxa"/>
              <w:end w:w="140" w:type="dxa"/>
            </w:tcMar>
            <w:vAlign w:val="center"/>
            <w:shd w:fill="0B2545"/>
          </w:tcPr>
          <w:p>
            <w:r>
              <w:rPr>
                <w:rFonts w:ascii="Calibri" w:hAnsi="Calibri"/>
                <w:b/>
                <w:i w:val="0"/>
                <w:color w:val="FFFFFF"/>
                <w:sz w:val="20"/>
              </w:rPr>
              <w:t>Simple guidance</w:t>
            </w:r>
          </w:p>
        </w:tc>
      </w:tr>
      <w:tr>
        <w:tc>
          <w:tcPr>
            <w:tcW w:type="dxa" w:w="2376"/>
            <w:tcMar>
              <w:top w:w="100" w:type="dxa"/>
              <w:start w:w="140" w:type="dxa"/>
              <w:bottom w:w="100" w:type="dxa"/>
              <w:end w:w="140" w:type="dxa"/>
            </w:tcMar>
            <w:vAlign w:val="center"/>
          </w:tcPr>
          <w:p>
            <w:r>
              <w:rPr>
                <w:rFonts w:ascii="Calibri" w:hAnsi="Calibri"/>
                <w:b/>
                <w:i w:val="0"/>
                <w:color w:val="0B2545"/>
                <w:sz w:val="19"/>
              </w:rPr>
              <w:t>Match phrase</w:t>
            </w:r>
          </w:p>
        </w:tc>
        <w:tc>
          <w:tcPr>
            <w:tcW w:type="dxa" w:w="3240"/>
            <w:tcMar>
              <w:top w:w="100" w:type="dxa"/>
              <w:start w:w="140" w:type="dxa"/>
              <w:bottom w:w="100" w:type="dxa"/>
              <w:end w:w="140" w:type="dxa"/>
            </w:tcMar>
            <w:vAlign w:val="center"/>
          </w:tcPr>
          <w:p>
            <w:r>
              <w:rPr>
                <w:rFonts w:ascii="Calibri" w:hAnsi="Calibri"/>
                <w:b w:val="0"/>
                <w:i w:val="0"/>
                <w:color w:val="0B2545"/>
                <w:sz w:val="19"/>
              </w:rPr>
              <w:t>Text to recognize in a suggestion.</w:t>
            </w:r>
          </w:p>
        </w:tc>
        <w:tc>
          <w:tcPr>
            <w:tcW w:type="dxa" w:w="3744"/>
            <w:tcMar>
              <w:top w:w="100" w:type="dxa"/>
              <w:start w:w="140" w:type="dxa"/>
              <w:bottom w:w="100" w:type="dxa"/>
              <w:end w:w="140" w:type="dxa"/>
            </w:tcMar>
            <w:vAlign w:val="center"/>
          </w:tcPr>
          <w:p>
            <w:r>
              <w:rPr>
                <w:rFonts w:ascii="Calibri" w:hAnsi="Calibri"/>
                <w:b w:val="0"/>
                <w:i w:val="0"/>
                <w:color w:val="0B2545"/>
                <w:sz w:val="19"/>
              </w:rPr>
              <w:t>Use a stable phrase such as Deck Demolition Consumables.</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Task type</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Limits where the exclusion applies.</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Choose Deck when it should not affect roofing or other tasks.</w:t>
            </w:r>
          </w:p>
        </w:tc>
      </w:tr>
      <w:tr>
        <w:tc>
          <w:tcPr>
            <w:tcW w:type="dxa" w:w="2376"/>
            <w:tcMar>
              <w:top w:w="100" w:type="dxa"/>
              <w:start w:w="140" w:type="dxa"/>
              <w:bottom w:w="100" w:type="dxa"/>
              <w:end w:w="140" w:type="dxa"/>
            </w:tcMar>
            <w:vAlign w:val="center"/>
          </w:tcPr>
          <w:p>
            <w:r>
              <w:rPr>
                <w:rFonts w:ascii="Calibri" w:hAnsi="Calibri"/>
                <w:b/>
                <w:i w:val="0"/>
                <w:color w:val="0B2545"/>
                <w:sz w:val="19"/>
              </w:rPr>
              <w:t>Recovery method</w:t>
            </w:r>
          </w:p>
        </w:tc>
        <w:tc>
          <w:tcPr>
            <w:tcW w:type="dxa" w:w="3240"/>
            <w:tcMar>
              <w:top w:w="100" w:type="dxa"/>
              <w:start w:w="140" w:type="dxa"/>
              <w:bottom w:w="100" w:type="dxa"/>
              <w:end w:w="140" w:type="dxa"/>
            </w:tcMar>
            <w:vAlign w:val="center"/>
          </w:tcPr>
          <w:p>
            <w:r>
              <w:rPr>
                <w:rFonts w:ascii="Calibri" w:hAnsi="Calibri"/>
                <w:b w:val="0"/>
                <w:i w:val="0"/>
                <w:color w:val="0B2545"/>
                <w:sz w:val="19"/>
              </w:rPr>
              <w:t>Where the cost is recovered instead.</w:t>
            </w:r>
          </w:p>
        </w:tc>
        <w:tc>
          <w:tcPr>
            <w:tcW w:type="dxa" w:w="3744"/>
            <w:tcMar>
              <w:top w:w="100" w:type="dxa"/>
              <w:start w:w="140" w:type="dxa"/>
              <w:bottom w:w="100" w:type="dxa"/>
              <w:end w:w="140" w:type="dxa"/>
            </w:tcMar>
            <w:vAlign w:val="center"/>
          </w:tcPr>
          <w:p>
            <w:r>
              <w:rPr>
                <w:rFonts w:ascii="Calibri" w:hAnsi="Calibri"/>
                <w:b w:val="0"/>
                <w:i w:val="0"/>
                <w:color w:val="0B2545"/>
                <w:sz w:val="19"/>
              </w:rPr>
              <w:t>Map to a kit, cost rule, labor, or overhead.</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Recovery reference</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The specific rule or kit.</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Select the exact active feature that carries the cost.</w:t>
            </w:r>
          </w:p>
        </w:tc>
      </w:tr>
      <w:tr>
        <w:tc>
          <w:tcPr>
            <w:tcW w:type="dxa" w:w="2376"/>
            <w:tcMar>
              <w:top w:w="100" w:type="dxa"/>
              <w:start w:w="140" w:type="dxa"/>
              <w:bottom w:w="100" w:type="dxa"/>
              <w:end w:w="140" w:type="dxa"/>
            </w:tcMar>
            <w:vAlign w:val="center"/>
          </w:tcPr>
          <w:p>
            <w:r>
              <w:rPr>
                <w:rFonts w:ascii="Calibri" w:hAnsi="Calibri"/>
                <w:b/>
                <w:i w:val="0"/>
                <w:color w:val="0B2545"/>
                <w:sz w:val="19"/>
              </w:rPr>
              <w:t>Reason</w:t>
            </w:r>
          </w:p>
        </w:tc>
        <w:tc>
          <w:tcPr>
            <w:tcW w:type="dxa" w:w="3240"/>
            <w:tcMar>
              <w:top w:w="100" w:type="dxa"/>
              <w:start w:w="140" w:type="dxa"/>
              <w:bottom w:w="100" w:type="dxa"/>
              <w:end w:w="140" w:type="dxa"/>
            </w:tcMar>
            <w:vAlign w:val="center"/>
          </w:tcPr>
          <w:p>
            <w:r>
              <w:rPr>
                <w:rFonts w:ascii="Calibri" w:hAnsi="Calibri"/>
                <w:b w:val="0"/>
                <w:i w:val="0"/>
                <w:color w:val="0B2545"/>
                <w:sz w:val="19"/>
              </w:rPr>
              <w:t>Explanation for administrators.</w:t>
            </w:r>
          </w:p>
        </w:tc>
        <w:tc>
          <w:tcPr>
            <w:tcW w:type="dxa" w:w="3744"/>
            <w:tcMar>
              <w:top w:w="100" w:type="dxa"/>
              <w:start w:w="140" w:type="dxa"/>
              <w:bottom w:w="100" w:type="dxa"/>
              <w:end w:w="140" w:type="dxa"/>
            </w:tcMar>
            <w:vAlign w:val="center"/>
          </w:tcPr>
          <w:p>
            <w:r>
              <w:rPr>
                <w:rFonts w:ascii="Calibri" w:hAnsi="Calibri"/>
                <w:b w:val="0"/>
                <w:i w:val="0"/>
                <w:color w:val="0B2545"/>
                <w:sz w:val="19"/>
              </w:rPr>
              <w:t>State why the item is excluded and where its cost is handled.</w:t>
            </w:r>
          </w:p>
        </w:tc>
      </w:tr>
    </w:tbl>
    <w:p>
      <w:pPr>
        <w:keepNext w:val="0"/>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DECEC"/>
          </w:tcPr>
          <w:p>
            <w:pPr>
              <w:spacing w:after="40"/>
            </w:pPr>
            <w:r>
              <w:rPr>
                <w:rFonts w:ascii="Calibri" w:hAnsi="Calibri"/>
                <w:b/>
                <w:i w:val="0"/>
                <w:color w:val="9B1C1C"/>
                <w:sz w:val="21"/>
              </w:rPr>
              <w:t xml:space="preserve">Critical warning: </w:t>
            </w:r>
            <w:r>
              <w:rPr>
                <w:rFonts w:ascii="Calibri" w:hAnsi="Calibri"/>
                <w:b w:val="0"/>
                <w:i w:val="0"/>
                <w:color w:val="0B2545"/>
                <w:sz w:val="21"/>
              </w:rPr>
              <w:t>Never leave a real cost excluded and unmapped. That can make the estimate too low.</w:t>
            </w:r>
          </w:p>
        </w:tc>
      </w:tr>
    </w:tbl>
    <w:p>
      <w:pPr>
        <w:keepNext w:val="0"/>
        <w:spacing w:before="0" w:after="40" w:line="288" w:lineRule="auto"/>
      </w:pPr>
      <w:r>
        <w:rPr>
          <w:rFonts w:ascii="Calibri" w:hAnsi="Calibri"/>
          <w:b w:val="0"/>
          <w:i w:val="0"/>
          <w:color w:val="0B2545"/>
          <w:sz w:val="22"/>
        </w:rPr>
      </w:r>
    </w:p>
    <w:p>
      <w:pPr>
        <w:pStyle w:val="Heading2"/>
        <w:keepNext/>
      </w:pPr>
      <w:r>
        <w:t>Example: demolition consumables</w:t>
      </w:r>
    </w:p>
    <w:p>
      <w:pPr>
        <w:keepNext w:val="0"/>
        <w:spacing w:before="0" w:after="120" w:line="288" w:lineRule="auto"/>
      </w:pPr>
      <w:r>
        <w:rPr>
          <w:rFonts w:ascii="Calibri" w:hAnsi="Calibri"/>
          <w:b w:val="0"/>
          <w:i w:val="0"/>
          <w:color w:val="0B2545"/>
          <w:sz w:val="22"/>
        </w:rPr>
        <w:t>CentCom suggests “Deck Demolition Consumables: Demolition Tools, Safety Gear, and Disposal Bags.” If these are already included in a standard Deck Demolition kit or disposal cost rule, exclude the suggestion and map it to that feature. CCV then avoids charging twice while preserving the audit record.</w:t>
      </w:r>
    </w:p>
    <w:p>
      <w:pPr>
        <w:pStyle w:val="Heading1"/>
        <w:keepNext/>
      </w:pPr>
      <w:r>
        <w:t>8. Policy history</w:t>
      </w:r>
    </w:p>
    <w:p>
      <w:pPr>
        <w:keepNext/>
        <w:jc w:val="center"/>
      </w:pPr>
      <w:r>
        <w:drawing>
          <wp:inline xmlns:a="http://schemas.openxmlformats.org/drawingml/2006/main" xmlns:pic="http://schemas.openxmlformats.org/drawingml/2006/picture">
            <wp:extent cx="5897880" cy="1249511"/>
            <wp:docPr id="5" name="Picture 5" descr="Screen example: the active revision is visible in Policy history." title="Costing Policies screen example"/>
            <wp:cNvGraphicFramePr>
              <a:graphicFrameLocks noChangeAspect="1"/>
            </wp:cNvGraphicFramePr>
            <a:graphic>
              <a:graphicData uri="http://schemas.openxmlformats.org/drawingml/2006/picture">
                <pic:pic>
                  <pic:nvPicPr>
                    <pic:cNvPr id="0" name="policy-history.png"/>
                    <pic:cNvPicPr/>
                  </pic:nvPicPr>
                  <pic:blipFill>
                    <a:blip r:embed="rId14"/>
                    <a:stretch>
                      <a:fillRect/>
                    </a:stretch>
                  </pic:blipFill>
                  <pic:spPr>
                    <a:xfrm>
                      <a:off x="0" y="0"/>
                      <a:ext cx="5897880" cy="1249511"/>
                    </a:xfrm>
                    <a:prstGeom prst="rect"/>
                  </pic:spPr>
                </pic:pic>
              </a:graphicData>
            </a:graphic>
          </wp:inline>
        </w:drawing>
      </w:r>
    </w:p>
    <w:p>
      <w:pPr>
        <w:spacing w:after="200"/>
        <w:jc w:val="center"/>
      </w:pPr>
      <w:r>
        <w:rPr>
          <w:rFonts w:ascii="Calibri" w:hAnsi="Calibri"/>
          <w:b w:val="0"/>
          <w:i/>
          <w:color w:val="5E6F87"/>
          <w:sz w:val="18"/>
        </w:rPr>
        <w:t>Screen example: the active revision is visible in Policy history.</w:t>
      </w:r>
    </w:p>
    <w:p>
      <w:pPr>
        <w:keepNext w:val="0"/>
        <w:spacing w:before="0" w:after="120" w:line="288" w:lineRule="auto"/>
      </w:pPr>
      <w:r>
        <w:rPr>
          <w:rFonts w:ascii="Calibri" w:hAnsi="Calibri"/>
          <w:b w:val="0"/>
          <w:i w:val="0"/>
          <w:color w:val="0B2545"/>
          <w:sz w:val="22"/>
        </w:rPr>
        <w:t>Policy history shows which revision is active and the key assumptions stored in each version. Use it when reviewing an older estimate or confirming that a new revision became active.</w:t>
      </w:r>
    </w:p>
    <w:p>
      <w:pPr>
        <w:pStyle w:val="ListBullet"/>
        <w:spacing w:after="80" w:line="288" w:lineRule="auto"/>
        <w:ind w:left="547" w:hanging="274"/>
      </w:pPr>
      <w:r>
        <w:rPr>
          <w:rFonts w:ascii="Calibri" w:hAnsi="Calibri"/>
          <w:b w:val="0"/>
          <w:i w:val="0"/>
          <w:color w:val="0B2545"/>
          <w:sz w:val="21"/>
        </w:rPr>
        <w:t>Active means the revision is currently selected for new estimates in that scope.</w:t>
      </w:r>
    </w:p>
    <w:p>
      <w:pPr>
        <w:pStyle w:val="ListBullet"/>
        <w:spacing w:after="80" w:line="288" w:lineRule="auto"/>
        <w:ind w:left="547" w:hanging="274"/>
      </w:pPr>
      <w:r>
        <w:rPr>
          <w:rFonts w:ascii="Calibri" w:hAnsi="Calibri"/>
          <w:b w:val="0"/>
          <w:i w:val="0"/>
          <w:color w:val="0B2545"/>
          <w:sz w:val="21"/>
        </w:rPr>
        <w:t>Superseded revisions remain available for audit and explanation.</w:t>
      </w:r>
    </w:p>
    <w:p>
      <w:pPr>
        <w:pStyle w:val="ListBullet"/>
        <w:spacing w:after="80" w:line="288" w:lineRule="auto"/>
        <w:ind w:left="547" w:hanging="274"/>
      </w:pPr>
      <w:r>
        <w:rPr>
          <w:rFonts w:ascii="Calibri" w:hAnsi="Calibri"/>
          <w:b w:val="0"/>
          <w:i w:val="0"/>
          <w:color w:val="0B2545"/>
          <w:sz w:val="21"/>
        </w:rPr>
        <w:t>Existing estimate snapshots continue to use the assumptions captured when they were calculated.</w:t>
      </w:r>
    </w:p>
    <w:p>
      <w:pPr>
        <w:pStyle w:val="Heading1"/>
        <w:keepNext/>
      </w:pPr>
      <w:r>
        <w:t>9. Recommended setup sequence</w:t>
      </w:r>
    </w:p>
    <w:p>
      <w:pPr>
        <w:pStyle w:val="ListNumber"/>
        <w:spacing w:after="100"/>
        <w:ind w:left="547" w:hanging="274"/>
      </w:pPr>
      <w:r>
        <w:rPr>
          <w:rFonts w:ascii="Calibri" w:hAnsi="Calibri"/>
          <w:b w:val="0"/>
          <w:i w:val="0"/>
          <w:color w:val="0B2545"/>
          <w:sz w:val="21"/>
        </w:rPr>
        <w:t>Create or revise the company-wide policy and enter realistic overhead assumptions.</w:t>
      </w:r>
    </w:p>
    <w:p>
      <w:pPr>
        <w:pStyle w:val="ListNumber"/>
        <w:spacing w:after="100"/>
        <w:ind w:left="547" w:hanging="274"/>
      </w:pPr>
      <w:r>
        <w:rPr>
          <w:rFonts w:ascii="Calibri" w:hAnsi="Calibri"/>
          <w:b w:val="0"/>
          <w:i w:val="0"/>
          <w:color w:val="0B2545"/>
          <w:sz w:val="21"/>
        </w:rPr>
        <w:t>Build standard supply kits for supplies that must appear on every matching task.</w:t>
      </w:r>
    </w:p>
    <w:p>
      <w:pPr>
        <w:pStyle w:val="ListNumber"/>
        <w:spacing w:after="100"/>
        <w:ind w:left="547" w:hanging="274"/>
      </w:pPr>
      <w:r>
        <w:rPr>
          <w:rFonts w:ascii="Calibri" w:hAnsi="Calibri"/>
          <w:b w:val="0"/>
          <w:i w:val="0"/>
          <w:color w:val="0B2545"/>
          <w:sz w:val="21"/>
        </w:rPr>
        <w:t>Create crew rate cards by task type and work type.</w:t>
      </w:r>
    </w:p>
    <w:p>
      <w:pPr>
        <w:pStyle w:val="ListNumber"/>
        <w:spacing w:after="100"/>
        <w:ind w:left="547" w:hanging="274"/>
      </w:pPr>
      <w:r>
        <w:rPr>
          <w:rFonts w:ascii="Calibri" w:hAnsi="Calibri"/>
          <w:b w:val="0"/>
          <w:i w:val="0"/>
          <w:color w:val="0B2545"/>
          <w:sz w:val="21"/>
        </w:rPr>
        <w:t>Create task margin rules for work that supports different margins.</w:t>
      </w:r>
    </w:p>
    <w:p>
      <w:pPr>
        <w:pStyle w:val="ListNumber"/>
        <w:spacing w:after="100"/>
        <w:ind w:left="547" w:hanging="274"/>
      </w:pPr>
      <w:r>
        <w:rPr>
          <w:rFonts w:ascii="Calibri" w:hAnsi="Calibri"/>
          <w:b w:val="0"/>
          <w:i w:val="0"/>
          <w:color w:val="0B2545"/>
          <w:sz w:val="21"/>
        </w:rPr>
        <w:t>Add permits, disposal, mobilization, delivery, and other non-catalog cost rules.</w:t>
      </w:r>
    </w:p>
    <w:p>
      <w:pPr>
        <w:pStyle w:val="ListNumber"/>
        <w:spacing w:after="100"/>
        <w:ind w:left="547" w:hanging="274"/>
      </w:pPr>
      <w:r>
        <w:rPr>
          <w:rFonts w:ascii="Calibri" w:hAnsi="Calibri"/>
          <w:b w:val="0"/>
          <w:i w:val="0"/>
          <w:color w:val="0B2545"/>
          <w:sz w:val="21"/>
        </w:rPr>
        <w:t>Create exclusions only after the replacement kit or cost rule exists.</w:t>
      </w:r>
    </w:p>
    <w:p>
      <w:pPr>
        <w:pStyle w:val="ListNumber"/>
        <w:spacing w:after="100"/>
        <w:ind w:left="547" w:hanging="274"/>
      </w:pPr>
      <w:r>
        <w:rPr>
          <w:rFonts w:ascii="Calibri" w:hAnsi="Calibri"/>
          <w:b w:val="0"/>
          <w:i w:val="0"/>
          <w:color w:val="0B2545"/>
          <w:sz w:val="21"/>
        </w:rPr>
        <w:t>Test one sample estimate for each major task type.</w:t>
      </w:r>
    </w:p>
    <w:p>
      <w:pPr>
        <w:pStyle w:val="ListNumber"/>
        <w:spacing w:after="100"/>
        <w:ind w:left="547" w:hanging="274"/>
      </w:pPr>
      <w:r>
        <w:rPr>
          <w:rFonts w:ascii="Calibri" w:hAnsi="Calibri"/>
          <w:b w:val="0"/>
          <w:i w:val="0"/>
          <w:color w:val="0B2545"/>
          <w:sz w:val="21"/>
        </w:rPr>
        <w:t>Review the full cost audit before using the results for a customer estimate.</w:t>
      </w:r>
    </w:p>
    <w:p>
      <w:pPr>
        <w:pStyle w:val="Heading2"/>
        <w:keepNext/>
      </w:pPr>
      <w:r>
        <w:t>Administrator review checklist</w:t>
      </w:r>
    </w:p>
    <w:p>
      <w:pPr>
        <w:pStyle w:val="ListBullet"/>
        <w:spacing w:after="80" w:line="288" w:lineRule="auto"/>
        <w:ind w:left="547" w:hanging="274"/>
      </w:pPr>
      <w:r>
        <w:rPr>
          <w:rFonts w:ascii="Calibri" w:hAnsi="Calibri"/>
          <w:b w:val="0"/>
          <w:i w:val="0"/>
          <w:color w:val="0B2545"/>
          <w:sz w:val="21"/>
        </w:rPr>
        <w:t>☐ The correct company or local policy is active.</w:t>
      </w:r>
    </w:p>
    <w:p>
      <w:pPr>
        <w:pStyle w:val="ListBullet"/>
        <w:spacing w:after="80" w:line="288" w:lineRule="auto"/>
        <w:ind w:left="547" w:hanging="274"/>
      </w:pPr>
      <w:r>
        <w:rPr>
          <w:rFonts w:ascii="Calibri" w:hAnsi="Calibri"/>
          <w:b w:val="0"/>
          <w:i w:val="0"/>
          <w:color w:val="0B2545"/>
          <w:sz w:val="21"/>
        </w:rPr>
        <w:t>☐ The effective date is correct.</w:t>
      </w:r>
    </w:p>
    <w:p>
      <w:pPr>
        <w:pStyle w:val="ListBullet"/>
        <w:spacing w:after="80" w:line="288" w:lineRule="auto"/>
        <w:ind w:left="547" w:hanging="274"/>
      </w:pPr>
      <w:r>
        <w:rPr>
          <w:rFonts w:ascii="Calibri" w:hAnsi="Calibri"/>
          <w:b w:val="0"/>
          <w:i w:val="0"/>
          <w:color w:val="0B2545"/>
          <w:sz w:val="21"/>
        </w:rPr>
        <w:t>☐ Monthly overhead and productive crew-days are based on realistic operating data.</w:t>
      </w:r>
    </w:p>
    <w:p>
      <w:pPr>
        <w:pStyle w:val="ListBullet"/>
        <w:spacing w:after="80" w:line="288" w:lineRule="auto"/>
        <w:ind w:left="547" w:hanging="274"/>
      </w:pPr>
      <w:r>
        <w:rPr>
          <w:rFonts w:ascii="Calibri" w:hAnsi="Calibri"/>
          <w:b w:val="0"/>
          <w:i w:val="0"/>
          <w:color w:val="0B2545"/>
          <w:sz w:val="21"/>
        </w:rPr>
        <w:t>☐ Crew costs are whole-crew daily costs.</w:t>
      </w:r>
    </w:p>
    <w:p>
      <w:pPr>
        <w:pStyle w:val="ListBullet"/>
        <w:spacing w:after="80" w:line="288" w:lineRule="auto"/>
        <w:ind w:left="547" w:hanging="274"/>
      </w:pPr>
      <w:r>
        <w:rPr>
          <w:rFonts w:ascii="Calibri" w:hAnsi="Calibri"/>
          <w:b w:val="0"/>
          <w:i w:val="0"/>
          <w:color w:val="0B2545"/>
          <w:sz w:val="21"/>
        </w:rPr>
        <w:t>☐ Task margins reflect the market and risk of each work type.</w:t>
      </w:r>
    </w:p>
    <w:p>
      <w:pPr>
        <w:pStyle w:val="ListBullet"/>
        <w:spacing w:after="80" w:line="288" w:lineRule="auto"/>
        <w:ind w:left="547" w:hanging="274"/>
      </w:pPr>
      <w:r>
        <w:rPr>
          <w:rFonts w:ascii="Calibri" w:hAnsi="Calibri"/>
          <w:b w:val="0"/>
          <w:i w:val="0"/>
          <w:color w:val="0B2545"/>
          <w:sz w:val="21"/>
        </w:rPr>
        <w:t>☐ Standard kits contain active catalog items and reasonable quantities.</w:t>
      </w:r>
    </w:p>
    <w:p>
      <w:pPr>
        <w:pStyle w:val="ListBullet"/>
        <w:spacing w:after="80" w:line="288" w:lineRule="auto"/>
        <w:ind w:left="547" w:hanging="274"/>
      </w:pPr>
      <w:r>
        <w:rPr>
          <w:rFonts w:ascii="Calibri" w:hAnsi="Calibri"/>
          <w:b w:val="0"/>
          <w:i w:val="0"/>
          <w:color w:val="0B2545"/>
          <w:sz w:val="21"/>
        </w:rPr>
        <w:t>☐ Task costs and project costs use the correct scope.</w:t>
      </w:r>
    </w:p>
    <w:p>
      <w:pPr>
        <w:pStyle w:val="ListBullet"/>
        <w:spacing w:after="80" w:line="288" w:lineRule="auto"/>
        <w:ind w:left="547" w:hanging="274"/>
      </w:pPr>
      <w:r>
        <w:rPr>
          <w:rFonts w:ascii="Calibri" w:hAnsi="Calibri"/>
          <w:b w:val="0"/>
          <w:i w:val="0"/>
          <w:color w:val="0B2545"/>
          <w:sz w:val="21"/>
        </w:rPr>
        <w:t>☐ Every exclusion has a valid recovery method.</w:t>
      </w:r>
    </w:p>
    <w:p>
      <w:pPr>
        <w:pStyle w:val="ListBullet"/>
        <w:spacing w:after="80" w:line="288" w:lineRule="auto"/>
        <w:ind w:left="547" w:hanging="274"/>
      </w:pPr>
      <w:r>
        <w:rPr>
          <w:rFonts w:ascii="Calibri" w:hAnsi="Calibri"/>
          <w:b w:val="0"/>
          <w:i w:val="0"/>
          <w:color w:val="0B2545"/>
          <w:sz w:val="21"/>
        </w:rPr>
        <w:t>☐ A sample estimate has been recalculated and reviewed.</w:t>
      </w:r>
    </w:p>
    <w:p>
      <w:pPr>
        <w:pStyle w:val="Heading2"/>
        <w:keepNext/>
      </w:pPr>
      <w:r>
        <w:t>Quick glossary</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376"/>
            <w:tcMar>
              <w:top w:w="100" w:type="dxa"/>
              <w:start w:w="140" w:type="dxa"/>
              <w:bottom w:w="100" w:type="dxa"/>
              <w:end w:w="140" w:type="dxa"/>
            </w:tcMar>
            <w:vAlign w:val="center"/>
            <w:shd w:fill="0B2545"/>
          </w:tcPr>
          <w:p>
            <w:r>
              <w:rPr>
                <w:rFonts w:ascii="Calibri" w:hAnsi="Calibri"/>
                <w:b/>
                <w:i w:val="0"/>
                <w:color w:val="FFFFFF"/>
                <w:sz w:val="20"/>
              </w:rPr>
              <w:t>Field</w:t>
            </w:r>
          </w:p>
        </w:tc>
        <w:tc>
          <w:tcPr>
            <w:tcW w:type="dxa" w:w="3240"/>
            <w:tcMar>
              <w:top w:w="100" w:type="dxa"/>
              <w:start w:w="140" w:type="dxa"/>
              <w:bottom w:w="100" w:type="dxa"/>
              <w:end w:w="140" w:type="dxa"/>
            </w:tcMar>
            <w:vAlign w:val="center"/>
            <w:shd w:fill="0B2545"/>
          </w:tcPr>
          <w:p>
            <w:r>
              <w:rPr>
                <w:rFonts w:ascii="Calibri" w:hAnsi="Calibri"/>
                <w:b/>
                <w:i w:val="0"/>
                <w:color w:val="FFFFFF"/>
                <w:sz w:val="20"/>
              </w:rPr>
              <w:t>Plain meaning</w:t>
            </w:r>
          </w:p>
        </w:tc>
        <w:tc>
          <w:tcPr>
            <w:tcW w:type="dxa" w:w="3744"/>
            <w:tcMar>
              <w:top w:w="100" w:type="dxa"/>
              <w:start w:w="140" w:type="dxa"/>
              <w:bottom w:w="100" w:type="dxa"/>
              <w:end w:w="140" w:type="dxa"/>
            </w:tcMar>
            <w:vAlign w:val="center"/>
            <w:shd w:fill="0B2545"/>
          </w:tcPr>
          <w:p>
            <w:r>
              <w:rPr>
                <w:rFonts w:ascii="Calibri" w:hAnsi="Calibri"/>
                <w:b/>
                <w:i w:val="0"/>
                <w:color w:val="FFFFFF"/>
                <w:sz w:val="20"/>
              </w:rPr>
              <w:t>Simple guidance</w:t>
            </w:r>
          </w:p>
        </w:tc>
      </w:tr>
      <w:tr>
        <w:tc>
          <w:tcPr>
            <w:tcW w:type="dxa" w:w="2376"/>
            <w:tcMar>
              <w:top w:w="100" w:type="dxa"/>
              <w:start w:w="140" w:type="dxa"/>
              <w:bottom w:w="100" w:type="dxa"/>
              <w:end w:w="140" w:type="dxa"/>
            </w:tcMar>
            <w:vAlign w:val="center"/>
          </w:tcPr>
          <w:p>
            <w:r>
              <w:rPr>
                <w:rFonts w:ascii="Calibri" w:hAnsi="Calibri"/>
                <w:b/>
                <w:i w:val="0"/>
                <w:color w:val="0B2545"/>
                <w:sz w:val="19"/>
              </w:rPr>
              <w:t>Direct cost</w:t>
            </w:r>
          </w:p>
        </w:tc>
        <w:tc>
          <w:tcPr>
            <w:tcW w:type="dxa" w:w="3240"/>
            <w:tcMar>
              <w:top w:w="100" w:type="dxa"/>
              <w:start w:w="140" w:type="dxa"/>
              <w:bottom w:w="100" w:type="dxa"/>
              <w:end w:w="140" w:type="dxa"/>
            </w:tcMar>
            <w:vAlign w:val="center"/>
          </w:tcPr>
          <w:p>
            <w:r>
              <w:rPr>
                <w:rFonts w:ascii="Calibri" w:hAnsi="Calibri"/>
                <w:b w:val="0"/>
                <w:i w:val="0"/>
                <w:color w:val="0B2545"/>
                <w:sz w:val="19"/>
              </w:rPr>
              <w:t>Cost directly tied to the work.</w:t>
            </w:r>
          </w:p>
        </w:tc>
        <w:tc>
          <w:tcPr>
            <w:tcW w:type="dxa" w:w="3744"/>
            <w:tcMar>
              <w:top w:w="100" w:type="dxa"/>
              <w:start w:w="140" w:type="dxa"/>
              <w:bottom w:w="100" w:type="dxa"/>
              <w:end w:w="140" w:type="dxa"/>
            </w:tcMar>
            <w:vAlign w:val="center"/>
          </w:tcPr>
          <w:p>
            <w:r>
              <w:rPr>
                <w:rFonts w:ascii="Calibri" w:hAnsi="Calibri"/>
                <w:b w:val="0"/>
                <w:i w:val="0"/>
                <w:color w:val="0B2545"/>
                <w:sz w:val="19"/>
              </w:rPr>
              <w:t>Materials, labor, equipment, disposal, and permits.</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Overhead</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Cost of operating the company.</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Insurance, office payroll, rent, vehicles, and software.</w:t>
            </w:r>
          </w:p>
        </w:tc>
      </w:tr>
      <w:tr>
        <w:tc>
          <w:tcPr>
            <w:tcW w:type="dxa" w:w="2376"/>
            <w:tcMar>
              <w:top w:w="100" w:type="dxa"/>
              <w:start w:w="140" w:type="dxa"/>
              <w:bottom w:w="100" w:type="dxa"/>
              <w:end w:w="140" w:type="dxa"/>
            </w:tcMar>
            <w:vAlign w:val="center"/>
          </w:tcPr>
          <w:p>
            <w:r>
              <w:rPr>
                <w:rFonts w:ascii="Calibri" w:hAnsi="Calibri"/>
                <w:b/>
                <w:i w:val="0"/>
                <w:color w:val="0B2545"/>
                <w:sz w:val="19"/>
              </w:rPr>
              <w:t>Contingency</w:t>
            </w:r>
          </w:p>
        </w:tc>
        <w:tc>
          <w:tcPr>
            <w:tcW w:type="dxa" w:w="3240"/>
            <w:tcMar>
              <w:top w:w="100" w:type="dxa"/>
              <w:start w:w="140" w:type="dxa"/>
              <w:bottom w:w="100" w:type="dxa"/>
              <w:end w:w="140" w:type="dxa"/>
            </w:tcMar>
            <w:vAlign w:val="center"/>
          </w:tcPr>
          <w:p>
            <w:r>
              <w:rPr>
                <w:rFonts w:ascii="Calibri" w:hAnsi="Calibri"/>
                <w:b w:val="0"/>
                <w:i w:val="0"/>
                <w:color w:val="0B2545"/>
                <w:sz w:val="19"/>
              </w:rPr>
              <w:t>Allowance for uncertainty.</w:t>
            </w:r>
          </w:p>
        </w:tc>
        <w:tc>
          <w:tcPr>
            <w:tcW w:type="dxa" w:w="3744"/>
            <w:tcMar>
              <w:top w:w="100" w:type="dxa"/>
              <w:start w:w="140" w:type="dxa"/>
              <w:bottom w:w="100" w:type="dxa"/>
              <w:end w:w="140" w:type="dxa"/>
            </w:tcMar>
            <w:vAlign w:val="center"/>
          </w:tcPr>
          <w:p>
            <w:r>
              <w:rPr>
                <w:rFonts w:ascii="Calibri" w:hAnsi="Calibri"/>
                <w:b w:val="0"/>
                <w:i w:val="0"/>
                <w:color w:val="0B2545"/>
                <w:sz w:val="19"/>
              </w:rPr>
              <w:t>A cushion for normal estimating unknowns.</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Margin</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Profit as a percent of selling price.</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40% margin on $10,000 cost produces $16,666.67 price.</w:t>
            </w:r>
          </w:p>
        </w:tc>
      </w:tr>
      <w:tr>
        <w:tc>
          <w:tcPr>
            <w:tcW w:type="dxa" w:w="2376"/>
            <w:tcMar>
              <w:top w:w="100" w:type="dxa"/>
              <w:start w:w="140" w:type="dxa"/>
              <w:bottom w:w="100" w:type="dxa"/>
              <w:end w:w="140" w:type="dxa"/>
            </w:tcMar>
            <w:vAlign w:val="center"/>
          </w:tcPr>
          <w:p>
            <w:r>
              <w:rPr>
                <w:rFonts w:ascii="Calibri" w:hAnsi="Calibri"/>
                <w:b/>
                <w:i w:val="0"/>
                <w:color w:val="0B2545"/>
                <w:sz w:val="19"/>
              </w:rPr>
              <w:t>Markup</w:t>
            </w:r>
          </w:p>
        </w:tc>
        <w:tc>
          <w:tcPr>
            <w:tcW w:type="dxa" w:w="3240"/>
            <w:tcMar>
              <w:top w:w="100" w:type="dxa"/>
              <w:start w:w="140" w:type="dxa"/>
              <w:bottom w:w="100" w:type="dxa"/>
              <w:end w:w="140" w:type="dxa"/>
            </w:tcMar>
            <w:vAlign w:val="center"/>
          </w:tcPr>
          <w:p>
            <w:r>
              <w:rPr>
                <w:rFonts w:ascii="Calibri" w:hAnsi="Calibri"/>
                <w:b w:val="0"/>
                <w:i w:val="0"/>
                <w:color w:val="0B2545"/>
                <w:sz w:val="19"/>
              </w:rPr>
              <w:t>Increase as a percent of cost.</w:t>
            </w:r>
          </w:p>
        </w:tc>
        <w:tc>
          <w:tcPr>
            <w:tcW w:type="dxa" w:w="3744"/>
            <w:tcMar>
              <w:top w:w="100" w:type="dxa"/>
              <w:start w:w="140" w:type="dxa"/>
              <w:bottom w:w="100" w:type="dxa"/>
              <w:end w:w="140" w:type="dxa"/>
            </w:tcMar>
            <w:vAlign w:val="center"/>
          </w:tcPr>
          <w:p>
            <w:r>
              <w:rPr>
                <w:rFonts w:ascii="Calibri" w:hAnsi="Calibri"/>
                <w:b w:val="0"/>
                <w:i w:val="0"/>
                <w:color w:val="0B2545"/>
                <w:sz w:val="19"/>
              </w:rPr>
              <w:t>Different from margin; do not enter markup in a margin field.</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Revision</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A dated version of a policy.</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New estimates use the active applicable revision.</w:t>
            </w:r>
          </w:p>
        </w:tc>
      </w:tr>
      <w:tr>
        <w:tc>
          <w:tcPr>
            <w:tcW w:type="dxa" w:w="2376"/>
            <w:tcMar>
              <w:top w:w="100" w:type="dxa"/>
              <w:start w:w="140" w:type="dxa"/>
              <w:bottom w:w="100" w:type="dxa"/>
              <w:end w:w="140" w:type="dxa"/>
            </w:tcMar>
            <w:vAlign w:val="center"/>
          </w:tcPr>
          <w:p>
            <w:r>
              <w:rPr>
                <w:rFonts w:ascii="Calibri" w:hAnsi="Calibri"/>
                <w:b/>
                <w:i w:val="0"/>
                <w:color w:val="0B2545"/>
                <w:sz w:val="19"/>
              </w:rPr>
              <w:t>Local override</w:t>
            </w:r>
          </w:p>
        </w:tc>
        <w:tc>
          <w:tcPr>
            <w:tcW w:type="dxa" w:w="3240"/>
            <w:tcMar>
              <w:top w:w="100" w:type="dxa"/>
              <w:start w:w="140" w:type="dxa"/>
              <w:bottom w:w="100" w:type="dxa"/>
              <w:end w:w="140" w:type="dxa"/>
            </w:tcMar>
            <w:vAlign w:val="center"/>
          </w:tcPr>
          <w:p>
            <w:r>
              <w:rPr>
                <w:rFonts w:ascii="Calibri" w:hAnsi="Calibri"/>
                <w:b w:val="0"/>
                <w:i w:val="0"/>
                <w:color w:val="0B2545"/>
                <w:sz w:val="19"/>
              </w:rPr>
              <w:t>A location-specific rule.</w:t>
            </w:r>
          </w:p>
        </w:tc>
        <w:tc>
          <w:tcPr>
            <w:tcW w:type="dxa" w:w="3744"/>
            <w:tcMar>
              <w:top w:w="100" w:type="dxa"/>
              <w:start w:w="140" w:type="dxa"/>
              <w:bottom w:w="100" w:type="dxa"/>
              <w:end w:w="140" w:type="dxa"/>
            </w:tcMar>
            <w:vAlign w:val="center"/>
          </w:tcPr>
          <w:p>
            <w:r>
              <w:rPr>
                <w:rFonts w:ascii="Calibri" w:hAnsi="Calibri"/>
                <w:b w:val="0"/>
                <w:i w:val="0"/>
                <w:color w:val="0B2545"/>
                <w:sz w:val="19"/>
              </w:rPr>
              <w:t>Used only when local economics differ.</w:t>
            </w:r>
          </w:p>
        </w:tc>
      </w:tr>
      <w:tr>
        <w:tc>
          <w:tcPr>
            <w:tcW w:type="dxa" w:w="2376"/>
            <w:shd w:fill="F3F5F8"/>
            <w:tcMar>
              <w:top w:w="100" w:type="dxa"/>
              <w:start w:w="140" w:type="dxa"/>
              <w:bottom w:w="100" w:type="dxa"/>
              <w:end w:w="140" w:type="dxa"/>
            </w:tcMar>
            <w:vAlign w:val="center"/>
          </w:tcPr>
          <w:p>
            <w:r>
              <w:rPr>
                <w:rFonts w:ascii="Calibri" w:hAnsi="Calibri"/>
                <w:b/>
                <w:i w:val="0"/>
                <w:color w:val="0B2545"/>
                <w:sz w:val="19"/>
              </w:rPr>
              <w:t>Recovery mapping</w:t>
            </w:r>
          </w:p>
        </w:tc>
        <w:tc>
          <w:tcPr>
            <w:tcW w:type="dxa" w:w="3240"/>
            <w:shd w:fill="F3F5F8"/>
            <w:tcMar>
              <w:top w:w="100" w:type="dxa"/>
              <w:start w:w="140" w:type="dxa"/>
              <w:bottom w:w="100" w:type="dxa"/>
              <w:end w:w="140" w:type="dxa"/>
            </w:tcMar>
            <w:vAlign w:val="center"/>
          </w:tcPr>
          <w:p>
            <w:r>
              <w:rPr>
                <w:rFonts w:ascii="Calibri" w:hAnsi="Calibri"/>
                <w:b w:val="0"/>
                <w:i w:val="0"/>
                <w:color w:val="0B2545"/>
                <w:sz w:val="19"/>
              </w:rPr>
              <w:t>Where an excluded cost is handled.</w:t>
            </w:r>
          </w:p>
        </w:tc>
        <w:tc>
          <w:tcPr>
            <w:tcW w:type="dxa" w:w="3744"/>
            <w:shd w:fill="F3F5F8"/>
            <w:tcMar>
              <w:top w:w="100" w:type="dxa"/>
              <w:start w:w="140" w:type="dxa"/>
              <w:bottom w:w="100" w:type="dxa"/>
              <w:end w:w="140" w:type="dxa"/>
            </w:tcMar>
            <w:vAlign w:val="center"/>
          </w:tcPr>
          <w:p>
            <w:r>
              <w:rPr>
                <w:rFonts w:ascii="Calibri" w:hAnsi="Calibri"/>
                <w:b w:val="0"/>
                <w:i w:val="0"/>
                <w:color w:val="0B2545"/>
                <w:sz w:val="19"/>
              </w:rPr>
              <w:t>Prevents both duplicate cost and missing cost.</w:t>
            </w:r>
          </w:p>
        </w:tc>
      </w:tr>
    </w:tbl>
    <w:p>
      <w:pPr>
        <w:keepNext w:val="0"/>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pPr>
              <w:spacing w:after="40"/>
            </w:pPr>
            <w:r>
              <w:rPr>
                <w:rFonts w:ascii="Calibri" w:hAnsi="Calibri"/>
                <w:b/>
                <w:i w:val="0"/>
                <w:color w:val="217A49"/>
                <w:sz w:val="21"/>
              </w:rPr>
              <w:t xml:space="preserve">Final principle: </w:t>
            </w:r>
            <w:r>
              <w:rPr>
                <w:rFonts w:ascii="Calibri" w:hAnsi="Calibri"/>
                <w:b w:val="0"/>
                <w:i w:val="0"/>
                <w:color w:val="0B2545"/>
                <w:sz w:val="21"/>
              </w:rPr>
              <w:t>Every real cost should be counted once, every standard requirement should be automatic, and every pricing decision should be explainable later.</w:t>
            </w:r>
          </w:p>
        </w:tc>
      </w:tr>
    </w:tbl>
    <w:p>
      <w:pPr>
        <w:keepNext w:val="0"/>
        <w:spacing w:before="0" w:after="40" w:line="288" w:lineRule="auto"/>
      </w:pPr>
      <w:r>
        <w:rPr>
          <w:rFonts w:ascii="Calibri" w:hAnsi="Calibri"/>
          <w:b w:val="0"/>
          <w:i w:val="0"/>
          <w:color w:val="0B2545"/>
          <w:sz w:val="22"/>
        </w:rPr>
      </w:r>
    </w:p>
    <w:sectPr w:rsidR="00FC693F" w:rsidRPr="0006063C" w:rsidSect="00034616">
      <w:headerReference w:type="default" r:id="rId9"/>
      <w:footerReference w:type="default" r:id="rId10"/>
      <w:pgSz w:w="12240" w:h="15840"/>
      <w:pgMar w:top="1152"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E6F87"/>
        <w:sz w:val="17"/>
      </w:rPr>
      <w:t>Costing Policies Administrator Guide  •  July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E6F87"/>
        <w:sz w:val="17"/>
      </w:rPr>
      <w:t>CHARLIE COMPANY VENTURES  |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67D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67D1"/>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