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88" w:lineRule="auto"/>
        <w:jc w:val="center"/>
      </w:pPr>
      <w:r>
        <w:rPr>
          <w:rFonts w:ascii="Calibri" w:hAnsi="Calibri"/>
          <w:b/>
          <w:i w:val="0"/>
          <w:color w:val="2E67D1"/>
          <w:sz w:val="20"/>
        </w:rPr>
        <w:t>ADMINISTRATOR TRAINING GUIDE</w:t>
      </w:r>
    </w:p>
    <w:p>
      <w:pPr>
        <w:spacing w:before="0" w:after="160" w:line="288" w:lineRule="auto"/>
        <w:jc w:val="center"/>
      </w:pPr>
      <w:r>
        <w:rPr>
          <w:rFonts w:ascii="Calibri" w:hAnsi="Calibri"/>
          <w:b/>
          <w:i w:val="0"/>
          <w:color w:val="0B2545"/>
          <w:sz w:val="56"/>
        </w:rPr>
        <w:t>Estimate Cases and AI Analysis</w:t>
      </w:r>
    </w:p>
    <w:p>
      <w:pPr>
        <w:spacing w:before="0" w:after="320" w:line="288" w:lineRule="auto"/>
        <w:jc w:val="center"/>
      </w:pPr>
      <w:r>
        <w:rPr>
          <w:rFonts w:ascii="Calibri" w:hAnsi="Calibri"/>
          <w:b w:val="0"/>
          <w:i w:val="0"/>
          <w:color w:val="5E6F87"/>
          <w:sz w:val="28"/>
        </w:rPr>
        <w:t>How an estimate workspace is created, analyzed, costed, reviewed, and prepared for production output</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AF1FF"/>
          </w:tcPr>
          <w:p>
            <w:r>
              <w:rPr>
                <w:rFonts w:ascii="Calibri" w:hAnsi="Calibri"/>
                <w:b/>
                <w:i w:val="0"/>
                <w:color w:val="2E67D1"/>
                <w:sz w:val="21"/>
              </w:rPr>
              <w:t xml:space="preserve">Purpose: </w:t>
            </w:r>
            <w:r>
              <w:rPr>
                <w:rFonts w:ascii="Calibri" w:hAnsi="Calibri"/>
                <w:b w:val="0"/>
                <w:i w:val="0"/>
                <w:color w:val="0B2545"/>
                <w:sz w:val="21"/>
              </w:rPr>
              <w:t>Explain the Estimate Cases pages and the background AI process in simple terms, while clearly identifying production outputs that are still being designed.</w:t>
            </w:r>
          </w:p>
        </w:tc>
      </w:tr>
    </w:tbl>
    <w:p>
      <w:pPr>
        <w:spacing w:before="0" w:after="40" w:line="288" w:lineRule="auto"/>
      </w:pPr>
      <w:r>
        <w:rPr>
          <w:rFonts w:ascii="Calibri" w:hAnsi="Calibri"/>
          <w:b w:val="0"/>
          <w:i w:val="0"/>
          <w:color w:val="0B2545"/>
          <w:sz w:val="22"/>
        </w:rPr>
      </w:r>
    </w:p>
    <w:p>
      <w:pPr>
        <w:keepNext/>
        <w:jc w:val="center"/>
      </w:pPr>
      <w:r>
        <w:drawing>
          <wp:inline xmlns:a="http://schemas.openxmlformats.org/drawingml/2006/main" xmlns:pic="http://schemas.openxmlformats.org/drawingml/2006/picture">
            <wp:extent cx="5897880" cy="3317558"/>
            <wp:docPr id="1" name="Picture 1" descr="Screen example: start an estimate by retrieving its Housecall Pro estimate, or reopen an existing CCV workspace." title="Estimate Cases screen example"/>
            <wp:cNvGraphicFramePr>
              <a:graphicFrameLocks noChangeAspect="1"/>
            </wp:cNvGraphicFramePr>
            <a:graphic>
              <a:graphicData uri="http://schemas.openxmlformats.org/drawingml/2006/picture">
                <pic:pic>
                  <pic:nvPicPr>
                    <pic:cNvPr id="0" name="estimate-cases-list.png"/>
                    <pic:cNvPicPr/>
                  </pic:nvPicPr>
                  <pic:blipFill>
                    <a:blip r:embed="rId11"/>
                    <a:stretch>
                      <a:fillRect/>
                    </a:stretch>
                  </pic:blipFill>
                  <pic:spPr>
                    <a:xfrm>
                      <a:off x="0" y="0"/>
                      <a:ext cx="5897880" cy="3317558"/>
                    </a:xfrm>
                    <a:prstGeom prst="rect"/>
                  </pic:spPr>
                </pic:pic>
              </a:graphicData>
            </a:graphic>
          </wp:inline>
        </w:drawing>
      </w:r>
    </w:p>
    <w:p>
      <w:pPr>
        <w:spacing w:after="200"/>
        <w:jc w:val="center"/>
      </w:pPr>
      <w:r>
        <w:rPr>
          <w:rFonts w:ascii="Calibri" w:hAnsi="Calibri"/>
          <w:b w:val="0"/>
          <w:i/>
          <w:color w:val="5E6F87"/>
          <w:sz w:val="18"/>
        </w:rPr>
        <w:t>Screen example: start an estimate by retrieving its Housecall Pro estimate, or reopen an existing CCV workspace.</w:t>
      </w:r>
    </w:p>
    <w:p>
      <w:pPr>
        <w:pStyle w:val="Heading1"/>
      </w:pPr>
      <w:r>
        <w:t>1. What an Estimate Case is</w:t>
      </w:r>
    </w:p>
    <w:p>
      <w:pPr>
        <w:spacing w:before="0" w:after="120" w:line="288" w:lineRule="auto"/>
      </w:pPr>
      <w:r>
        <w:rPr>
          <w:rFonts w:ascii="Calibri" w:hAnsi="Calibri"/>
          <w:b w:val="0"/>
          <w:i w:val="0"/>
          <w:color w:val="0B2545"/>
          <w:sz w:val="22"/>
        </w:rPr>
        <w:t>An Estimate Case is CCV’s working copy of an on-site estimate. Housecall Pro remains the source for the starting customer and estimate information. CCV adds project notes, task sections, photographs, AI analysis, costing rules, and an audit history.</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9F6EE"/>
          </w:tcPr>
          <w:p>
            <w:r>
              <w:rPr>
                <w:rFonts w:ascii="Calibri" w:hAnsi="Calibri"/>
                <w:b/>
                <w:i w:val="0"/>
                <w:color w:val="217A49"/>
                <w:sz w:val="21"/>
              </w:rPr>
              <w:t xml:space="preserve">Current behavior: </w:t>
            </w:r>
            <w:r>
              <w:rPr>
                <w:rFonts w:ascii="Calibri" w:hAnsi="Calibri"/>
                <w:b w:val="0"/>
                <w:i w:val="0"/>
                <w:color w:val="0B2545"/>
                <w:sz w:val="21"/>
              </w:rPr>
              <w:t>The current application can start from a Housecall Pro estimate, maintain project tasks, submit a task for CentCom analysis, match materials to vendor pricing, and calculate a provisional job cost.</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DECEC"/>
          </w:tcPr>
          <w:p>
            <w:r>
              <w:rPr>
                <w:rFonts w:ascii="Calibri" w:hAnsi="Calibri"/>
                <w:b/>
                <w:i w:val="0"/>
                <w:color w:val="9B1C1C"/>
                <w:sz w:val="21"/>
              </w:rPr>
              <w:t xml:space="preserve">Important boundary: </w:t>
            </w:r>
            <w:r>
              <w:rPr>
                <w:rFonts w:ascii="Calibri" w:hAnsi="Calibri"/>
                <w:b w:val="0"/>
                <w:i w:val="0"/>
                <w:color w:val="0B2545"/>
                <w:sz w:val="21"/>
              </w:rPr>
              <w:t>The AI result is a recommendation for review. It should not automatically become a supplier order or customer contract.</w:t>
            </w:r>
          </w:p>
        </w:tc>
      </w:tr>
    </w:tbl>
    <w:p>
      <w:pPr>
        <w:spacing w:before="0" w:after="40" w:line="288" w:lineRule="auto"/>
      </w:pPr>
      <w:r>
        <w:rPr>
          <w:rFonts w:ascii="Calibri" w:hAnsi="Calibri"/>
          <w:b w:val="0"/>
          <w:i w:val="0"/>
          <w:color w:val="0B2545"/>
          <w:sz w:val="22"/>
        </w:rPr>
      </w:r>
    </w:p>
    <w:p>
      <w:pPr>
        <w:pStyle w:val="Heading1"/>
      </w:pPr>
      <w:r>
        <w:t>2. Starting or reopening an Estimate Case</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088"/>
            <w:shd w:fill="0B2545"/>
            <w:tcMar>
              <w:top w:w="100" w:type="dxa"/>
              <w:start w:w="140" w:type="dxa"/>
              <w:bottom w:w="100" w:type="dxa"/>
              <w:end w:w="140" w:type="dxa"/>
            </w:tcMar>
            <w:vAlign w:val="center"/>
          </w:tcPr>
          <w:p>
            <w:r>
              <w:rPr>
                <w:rFonts w:ascii="Calibri" w:hAnsi="Calibri"/>
                <w:b/>
                <w:i w:val="0"/>
                <w:color w:val="FFFFFF"/>
                <w:sz w:val="19"/>
              </w:rPr>
              <w:t>Page area</w:t>
            </w:r>
          </w:p>
        </w:tc>
        <w:tc>
          <w:tcPr>
            <w:tcW w:type="dxa" w:w="3528"/>
            <w:shd w:fill="0B2545"/>
            <w:tcMar>
              <w:top w:w="100" w:type="dxa"/>
              <w:start w:w="140" w:type="dxa"/>
              <w:bottom w:w="100" w:type="dxa"/>
              <w:end w:w="140" w:type="dxa"/>
            </w:tcMar>
            <w:vAlign w:val="center"/>
          </w:tcPr>
          <w:p>
            <w:r>
              <w:rPr>
                <w:rFonts w:ascii="Calibri" w:hAnsi="Calibri"/>
                <w:b/>
                <w:i w:val="0"/>
                <w:color w:val="FFFFFF"/>
                <w:sz w:val="19"/>
              </w:rPr>
              <w:t>What the administrator does</w:t>
            </w:r>
          </w:p>
        </w:tc>
        <w:tc>
          <w:tcPr>
            <w:tcW w:type="dxa" w:w="3744"/>
            <w:shd w:fill="0B2545"/>
            <w:tcMar>
              <w:top w:w="100" w:type="dxa"/>
              <w:start w:w="140" w:type="dxa"/>
              <w:bottom w:w="100" w:type="dxa"/>
              <w:end w:w="140" w:type="dxa"/>
            </w:tcMar>
            <w:vAlign w:val="center"/>
          </w:tcPr>
          <w:p>
            <w:r>
              <w:rPr>
                <w:rFonts w:ascii="Calibri" w:hAnsi="Calibri"/>
                <w:b/>
                <w:i w:val="0"/>
                <w:color w:val="FFFFFF"/>
                <w:sz w:val="19"/>
              </w:rPr>
              <w:t>What CCV does</w:t>
            </w:r>
          </w:p>
        </w:tc>
      </w:tr>
      <w:tr>
        <w:tc>
          <w:tcPr>
            <w:tcW w:type="dxa" w:w="2088"/>
            <w:tcMar>
              <w:top w:w="100" w:type="dxa"/>
              <w:start w:w="140" w:type="dxa"/>
              <w:bottom w:w="100" w:type="dxa"/>
              <w:end w:w="140" w:type="dxa"/>
            </w:tcMar>
            <w:vAlign w:val="center"/>
          </w:tcPr>
          <w:p>
            <w:r>
              <w:rPr>
                <w:rFonts w:ascii="Calibri" w:hAnsi="Calibri"/>
                <w:b/>
                <w:i w:val="0"/>
                <w:color w:val="0B2545"/>
                <w:sz w:val="18"/>
              </w:rPr>
              <w:t>Housecall Pro estimate number</w:t>
            </w:r>
          </w:p>
        </w:tc>
        <w:tc>
          <w:tcPr>
            <w:tcW w:type="dxa" w:w="3528"/>
            <w:tcMar>
              <w:top w:w="100" w:type="dxa"/>
              <w:start w:w="140" w:type="dxa"/>
              <w:bottom w:w="100" w:type="dxa"/>
              <w:end w:w="140" w:type="dxa"/>
            </w:tcMar>
            <w:vAlign w:val="center"/>
          </w:tcPr>
          <w:p>
            <w:r>
              <w:rPr>
                <w:rFonts w:ascii="Calibri" w:hAnsi="Calibri"/>
                <w:b w:val="0"/>
                <w:i w:val="0"/>
                <w:color w:val="0B2545"/>
                <w:sz w:val="18"/>
              </w:rPr>
              <w:t>Enter the HCP estimate number and retrieve it.</w:t>
            </w:r>
          </w:p>
        </w:tc>
        <w:tc>
          <w:tcPr>
            <w:tcW w:type="dxa" w:w="3744"/>
            <w:tcMar>
              <w:top w:w="100" w:type="dxa"/>
              <w:start w:w="140" w:type="dxa"/>
              <w:bottom w:w="100" w:type="dxa"/>
              <w:end w:w="140" w:type="dxa"/>
            </w:tcMar>
            <w:vAlign w:val="center"/>
          </w:tcPr>
          <w:p>
            <w:r>
              <w:rPr>
                <w:rFonts w:ascii="Calibri" w:hAnsi="Calibri"/>
                <w:b w:val="0"/>
                <w:i w:val="0"/>
                <w:color w:val="0B2545"/>
                <w:sz w:val="18"/>
              </w:rPr>
              <w:t>Finds the starting estimate and customer/project information.</w:t>
            </w:r>
          </w:p>
        </w:tc>
      </w:tr>
      <w:tr>
        <w:tc>
          <w:tcPr>
            <w:tcW w:type="dxa" w:w="2088"/>
            <w:shd w:fill="F3F5F8"/>
            <w:tcMar>
              <w:top w:w="100" w:type="dxa"/>
              <w:start w:w="140" w:type="dxa"/>
              <w:bottom w:w="100" w:type="dxa"/>
              <w:end w:w="140" w:type="dxa"/>
            </w:tcMar>
            <w:vAlign w:val="center"/>
          </w:tcPr>
          <w:p>
            <w:r>
              <w:rPr>
                <w:rFonts w:ascii="Calibri" w:hAnsi="Calibri"/>
                <w:b/>
                <w:i w:val="0"/>
                <w:color w:val="0B2545"/>
                <w:sz w:val="18"/>
              </w:rPr>
              <w:t>Create workspace</w:t>
            </w:r>
          </w:p>
        </w:tc>
        <w:tc>
          <w:tcPr>
            <w:tcW w:type="dxa" w:w="3528"/>
            <w:shd w:fill="F3F5F8"/>
            <w:tcMar>
              <w:top w:w="100" w:type="dxa"/>
              <w:start w:w="140" w:type="dxa"/>
              <w:bottom w:w="100" w:type="dxa"/>
              <w:end w:w="140" w:type="dxa"/>
            </w:tcMar>
            <w:vAlign w:val="center"/>
          </w:tcPr>
          <w:p>
            <w:r>
              <w:rPr>
                <w:rFonts w:ascii="Calibri" w:hAnsi="Calibri"/>
                <w:b w:val="0"/>
                <w:i w:val="0"/>
                <w:color w:val="0B2545"/>
                <w:sz w:val="18"/>
              </w:rPr>
              <w:t>Confirm the correct estimate and create the workspace.</w:t>
            </w:r>
          </w:p>
        </w:tc>
        <w:tc>
          <w:tcPr>
            <w:tcW w:type="dxa" w:w="3744"/>
            <w:shd w:fill="F3F5F8"/>
            <w:tcMar>
              <w:top w:w="100" w:type="dxa"/>
              <w:start w:w="140" w:type="dxa"/>
              <w:bottom w:w="100" w:type="dxa"/>
              <w:end w:w="140" w:type="dxa"/>
            </w:tcMar>
            <w:vAlign w:val="center"/>
          </w:tcPr>
          <w:p>
            <w:r>
              <w:rPr>
                <w:rFonts w:ascii="Calibri" w:hAnsi="Calibri"/>
                <w:b w:val="0"/>
                <w:i w:val="0"/>
                <w:color w:val="0B2545"/>
                <w:sz w:val="18"/>
              </w:rPr>
              <w:t>Stores a CCV case linked to the HCP estimate.</w:t>
            </w:r>
          </w:p>
        </w:tc>
      </w:tr>
      <w:tr>
        <w:tc>
          <w:tcPr>
            <w:tcW w:type="dxa" w:w="2088"/>
            <w:tcMar>
              <w:top w:w="100" w:type="dxa"/>
              <w:start w:w="140" w:type="dxa"/>
              <w:bottom w:w="100" w:type="dxa"/>
              <w:end w:w="140" w:type="dxa"/>
            </w:tcMar>
            <w:vAlign w:val="center"/>
          </w:tcPr>
          <w:p>
            <w:r>
              <w:rPr>
                <w:rFonts w:ascii="Calibri" w:hAnsi="Calibri"/>
                <w:b/>
                <w:i w:val="0"/>
                <w:color w:val="0B2545"/>
                <w:sz w:val="18"/>
              </w:rPr>
              <w:t>Existing workspaces</w:t>
            </w:r>
          </w:p>
        </w:tc>
        <w:tc>
          <w:tcPr>
            <w:tcW w:type="dxa" w:w="3528"/>
            <w:tcMar>
              <w:top w:w="100" w:type="dxa"/>
              <w:start w:w="140" w:type="dxa"/>
              <w:bottom w:w="100" w:type="dxa"/>
              <w:end w:w="140" w:type="dxa"/>
            </w:tcMar>
            <w:vAlign w:val="center"/>
          </w:tcPr>
          <w:p>
            <w:r>
              <w:rPr>
                <w:rFonts w:ascii="Calibri" w:hAnsi="Calibri"/>
                <w:b w:val="0"/>
                <w:i w:val="0"/>
                <w:color w:val="0B2545"/>
                <w:sz w:val="18"/>
              </w:rPr>
              <w:t>Select a workspace already in progress.</w:t>
            </w:r>
          </w:p>
        </w:tc>
        <w:tc>
          <w:tcPr>
            <w:tcW w:type="dxa" w:w="3744"/>
            <w:tcMar>
              <w:top w:w="100" w:type="dxa"/>
              <w:start w:w="140" w:type="dxa"/>
              <w:bottom w:w="100" w:type="dxa"/>
              <w:end w:w="140" w:type="dxa"/>
            </w:tcMar>
            <w:vAlign w:val="center"/>
          </w:tcPr>
          <w:p>
            <w:r>
              <w:rPr>
                <w:rFonts w:ascii="Calibri" w:hAnsi="Calibri"/>
                <w:b w:val="0"/>
                <w:i w:val="0"/>
                <w:color w:val="0B2545"/>
                <w:sz w:val="18"/>
              </w:rPr>
              <w:t>Reopens saved notes, tasks, photographs, analysis revisions, and pricing.</w:t>
            </w:r>
          </w:p>
        </w:tc>
      </w:tr>
      <w:tr>
        <w:tc>
          <w:tcPr>
            <w:tcW w:type="dxa" w:w="2088"/>
            <w:shd w:fill="F3F5F8"/>
            <w:tcMar>
              <w:top w:w="100" w:type="dxa"/>
              <w:start w:w="140" w:type="dxa"/>
              <w:bottom w:w="100" w:type="dxa"/>
              <w:end w:w="140" w:type="dxa"/>
            </w:tcMar>
            <w:vAlign w:val="center"/>
          </w:tcPr>
          <w:p>
            <w:r>
              <w:rPr>
                <w:rFonts w:ascii="Calibri" w:hAnsi="Calibri"/>
                <w:b/>
                <w:i w:val="0"/>
                <w:color w:val="0B2545"/>
                <w:sz w:val="18"/>
              </w:rPr>
              <w:t>Delete workspace</w:t>
            </w:r>
          </w:p>
        </w:tc>
        <w:tc>
          <w:tcPr>
            <w:tcW w:type="dxa" w:w="3528"/>
            <w:shd w:fill="F3F5F8"/>
            <w:tcMar>
              <w:top w:w="100" w:type="dxa"/>
              <w:start w:w="140" w:type="dxa"/>
              <w:bottom w:w="100" w:type="dxa"/>
              <w:end w:w="140" w:type="dxa"/>
            </w:tcMar>
            <w:vAlign w:val="center"/>
          </w:tcPr>
          <w:p>
            <w:r>
              <w:rPr>
                <w:rFonts w:ascii="Calibri" w:hAnsi="Calibri"/>
                <w:b w:val="0"/>
                <w:i w:val="0"/>
                <w:color w:val="0B2545"/>
                <w:sz w:val="18"/>
              </w:rPr>
              <w:t>Use only when the workspace should be permanently removed.</w:t>
            </w:r>
          </w:p>
        </w:tc>
        <w:tc>
          <w:tcPr>
            <w:tcW w:type="dxa" w:w="3744"/>
            <w:shd w:fill="F3F5F8"/>
            <w:tcMar>
              <w:top w:w="100" w:type="dxa"/>
              <w:start w:w="140" w:type="dxa"/>
              <w:bottom w:w="100" w:type="dxa"/>
              <w:end w:w="140" w:type="dxa"/>
            </w:tcMar>
            <w:vAlign w:val="center"/>
          </w:tcPr>
          <w:p>
            <w:r>
              <w:rPr>
                <w:rFonts w:ascii="Calibri" w:hAnsi="Calibri"/>
                <w:b w:val="0"/>
                <w:i w:val="0"/>
                <w:color w:val="0B2545"/>
                <w:sz w:val="18"/>
              </w:rPr>
              <w:t>Deletes the CCV workspace after a confirmation prompt; it does not delete HCP’s estimate.</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Before creating: </w:t>
            </w:r>
            <w:r>
              <w:rPr>
                <w:rFonts w:ascii="Calibri" w:hAnsi="Calibri"/>
                <w:b w:val="0"/>
                <w:i w:val="0"/>
                <w:color w:val="0B2545"/>
                <w:sz w:val="21"/>
              </w:rPr>
              <w:t>Verify the customer and property address. Do not create a second workspace for the same HCP estimate unless there is a deliberate business reason.</w:t>
            </w:r>
          </w:p>
        </w:tc>
      </w:tr>
    </w:tbl>
    <w:p>
      <w:pPr>
        <w:spacing w:before="0" w:after="40" w:line="288" w:lineRule="auto"/>
      </w:pPr>
      <w:r>
        <w:rPr>
          <w:rFonts w:ascii="Calibri" w:hAnsi="Calibri"/>
          <w:b w:val="0"/>
          <w:i w:val="0"/>
          <w:color w:val="0B2545"/>
          <w:sz w:val="22"/>
        </w:rPr>
      </w:r>
    </w:p>
    <w:p>
      <w:r>
        <w:br w:type="page"/>
      </w:r>
    </w:p>
    <w:p>
      <w:pPr>
        <w:pStyle w:val="Heading1"/>
      </w:pPr>
      <w:r>
        <w:t>3. The Estimate Workspace</w:t>
      </w:r>
    </w:p>
    <w:p>
      <w:pPr>
        <w:keepNext/>
        <w:jc w:val="center"/>
      </w:pPr>
      <w:r>
        <w:drawing>
          <wp:inline xmlns:a="http://schemas.openxmlformats.org/drawingml/2006/main" xmlns:pic="http://schemas.openxmlformats.org/drawingml/2006/picture">
            <wp:extent cx="5897880" cy="4199440"/>
            <wp:docPr id="2" name="Picture 2" descr="Screen example: the estimate header, customer information, and Project Overview Notes." title="Estimate Cases screen example"/>
            <wp:cNvGraphicFramePr>
              <a:graphicFrameLocks noChangeAspect="1"/>
            </wp:cNvGraphicFramePr>
            <a:graphic>
              <a:graphicData uri="http://schemas.openxmlformats.org/drawingml/2006/picture">
                <pic:pic>
                  <pic:nvPicPr>
                    <pic:cNvPr id="0" name="estimate-workspace-top.png"/>
                    <pic:cNvPicPr/>
                  </pic:nvPicPr>
                  <pic:blipFill>
                    <a:blip r:embed="rId12"/>
                    <a:stretch>
                      <a:fillRect/>
                    </a:stretch>
                  </pic:blipFill>
                  <pic:spPr>
                    <a:xfrm>
                      <a:off x="0" y="0"/>
                      <a:ext cx="5897880" cy="4199440"/>
                    </a:xfrm>
                    <a:prstGeom prst="rect"/>
                  </pic:spPr>
                </pic:pic>
              </a:graphicData>
            </a:graphic>
          </wp:inline>
        </w:drawing>
      </w:r>
    </w:p>
    <w:p>
      <w:pPr>
        <w:spacing w:after="200"/>
        <w:jc w:val="center"/>
      </w:pPr>
      <w:r>
        <w:rPr>
          <w:rFonts w:ascii="Calibri" w:hAnsi="Calibri"/>
          <w:b w:val="0"/>
          <w:i/>
          <w:color w:val="5E6F87"/>
          <w:sz w:val="18"/>
        </w:rPr>
        <w:t>Screen example: the estimate header, customer information, and Project Overview Notes.</w:t>
      </w:r>
    </w:p>
    <w:p>
      <w:pPr>
        <w:pStyle w:val="Heading2"/>
      </w:pPr>
      <w:r>
        <w:t>Customer and project information</w:t>
      </w:r>
    </w:p>
    <w:p>
      <w:pPr>
        <w:pStyle w:val="ListBullet"/>
        <w:spacing w:after="80"/>
        <w:ind w:left="547" w:hanging="274"/>
      </w:pPr>
      <w:r>
        <w:rPr>
          <w:rFonts w:ascii="Calibri" w:hAnsi="Calibri"/>
          <w:b w:val="0"/>
          <w:i w:val="0"/>
          <w:color w:val="0B2545"/>
          <w:sz w:val="21"/>
        </w:rPr>
        <w:t>Customer name, address, contact information, estimate number, and estimate date originate from Housecall Pro.</w:t>
      </w:r>
    </w:p>
    <w:p>
      <w:pPr>
        <w:pStyle w:val="ListBullet"/>
        <w:spacing w:after="80"/>
        <w:ind w:left="547" w:hanging="274"/>
      </w:pPr>
      <w:r>
        <w:rPr>
          <w:rFonts w:ascii="Calibri" w:hAnsi="Calibri"/>
          <w:b w:val="0"/>
          <w:i w:val="0"/>
          <w:color w:val="0B2545"/>
          <w:sz w:val="21"/>
        </w:rPr>
        <w:t>The Project Overview Notes describe the entire project, site conditions, goals, and constraints.</w:t>
      </w:r>
    </w:p>
    <w:p>
      <w:pPr>
        <w:pStyle w:val="ListBullet"/>
        <w:spacing w:after="80"/>
        <w:ind w:left="547" w:hanging="274"/>
      </w:pPr>
      <w:r>
        <w:rPr>
          <w:rFonts w:ascii="Calibri" w:hAnsi="Calibri"/>
          <w:b w:val="0"/>
          <w:i w:val="0"/>
          <w:color w:val="0B2545"/>
          <w:sz w:val="21"/>
        </w:rPr>
        <w:t>The microphone button can dictate notes when the browser and device permit microphone access.</w:t>
      </w:r>
    </w:p>
    <w:p>
      <w:pPr>
        <w:pStyle w:val="Heading2"/>
      </w:pPr>
      <w:r>
        <w:t>Project tasks</w:t>
      </w:r>
    </w:p>
    <w:p>
      <w:pPr>
        <w:spacing w:before="0" w:after="120" w:line="288" w:lineRule="auto"/>
      </w:pPr>
      <w:r>
        <w:rPr>
          <w:rFonts w:ascii="Calibri" w:hAnsi="Calibri"/>
          <w:b w:val="0"/>
          <w:i w:val="0"/>
          <w:color w:val="0B2545"/>
          <w:sz w:val="22"/>
        </w:rPr>
        <w:t>A case can contain any number of project tasks. Each task represents a distinct piece of work that CentCom can analyze separately.</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2160"/>
            <w:shd w:fill="0B2545"/>
            <w:tcMar>
              <w:top w:w="100" w:type="dxa"/>
              <w:start w:w="140" w:type="dxa"/>
              <w:bottom w:w="100" w:type="dxa"/>
              <w:end w:w="140" w:type="dxa"/>
            </w:tcMar>
            <w:vAlign w:val="center"/>
          </w:tcPr>
          <w:p>
            <w:r>
              <w:rPr>
                <w:rFonts w:ascii="Calibri" w:hAnsi="Calibri"/>
                <w:b/>
                <w:i w:val="0"/>
                <w:color w:val="FFFFFF"/>
                <w:sz w:val="19"/>
              </w:rPr>
              <w:t>Task feature</w:t>
            </w:r>
          </w:p>
        </w:tc>
        <w:tc>
          <w:tcPr>
            <w:tcW w:type="dxa" w:w="3888"/>
            <w:shd w:fill="0B2545"/>
            <w:tcMar>
              <w:top w:w="100" w:type="dxa"/>
              <w:start w:w="140" w:type="dxa"/>
              <w:bottom w:w="100" w:type="dxa"/>
              <w:end w:w="140" w:type="dxa"/>
            </w:tcMar>
            <w:vAlign w:val="center"/>
          </w:tcPr>
          <w:p>
            <w:r>
              <w:rPr>
                <w:rFonts w:ascii="Calibri" w:hAnsi="Calibri"/>
                <w:b/>
                <w:i w:val="0"/>
                <w:color w:val="FFFFFF"/>
                <w:sz w:val="19"/>
              </w:rPr>
              <w:t>Plain-language purpose</w:t>
            </w:r>
          </w:p>
        </w:tc>
        <w:tc>
          <w:tcPr>
            <w:tcW w:type="dxa" w:w="3311"/>
            <w:shd w:fill="0B2545"/>
            <w:tcMar>
              <w:top w:w="100" w:type="dxa"/>
              <w:start w:w="140" w:type="dxa"/>
              <w:bottom w:w="100" w:type="dxa"/>
              <w:end w:w="140" w:type="dxa"/>
            </w:tcMar>
            <w:vAlign w:val="center"/>
          </w:tcPr>
          <w:p>
            <w:r>
              <w:rPr>
                <w:rFonts w:ascii="Calibri" w:hAnsi="Calibri"/>
                <w:b/>
                <w:i w:val="0"/>
                <w:color w:val="FFFFFF"/>
                <w:sz w:val="19"/>
              </w:rPr>
              <w:t>Example</w:t>
            </w:r>
          </w:p>
        </w:tc>
      </w:tr>
      <w:tr>
        <w:tc>
          <w:tcPr>
            <w:tcW w:type="dxa" w:w="2160"/>
            <w:tcMar>
              <w:top w:w="100" w:type="dxa"/>
              <w:start w:w="140" w:type="dxa"/>
              <w:bottom w:w="100" w:type="dxa"/>
              <w:end w:w="140" w:type="dxa"/>
            </w:tcMar>
            <w:vAlign w:val="center"/>
          </w:tcPr>
          <w:p>
            <w:r>
              <w:rPr>
                <w:rFonts w:ascii="Calibri" w:hAnsi="Calibri"/>
                <w:b/>
                <w:i w:val="0"/>
                <w:color w:val="0B2545"/>
                <w:sz w:val="18"/>
              </w:rPr>
              <w:t>Task number and type</w:t>
            </w:r>
          </w:p>
        </w:tc>
        <w:tc>
          <w:tcPr>
            <w:tcW w:type="dxa" w:w="3888"/>
            <w:tcMar>
              <w:top w:w="100" w:type="dxa"/>
              <w:start w:w="140" w:type="dxa"/>
              <w:bottom w:w="100" w:type="dxa"/>
              <w:end w:w="140" w:type="dxa"/>
            </w:tcMar>
            <w:vAlign w:val="center"/>
          </w:tcPr>
          <w:p>
            <w:r>
              <w:rPr>
                <w:rFonts w:ascii="Calibri" w:hAnsi="Calibri"/>
                <w:b w:val="0"/>
                <w:i w:val="0"/>
                <w:color w:val="0B2545"/>
                <w:sz w:val="18"/>
              </w:rPr>
              <w:t>Identifies the work and its order.</w:t>
            </w:r>
          </w:p>
        </w:tc>
        <w:tc>
          <w:tcPr>
            <w:tcW w:type="dxa" w:w="3311"/>
            <w:tcMar>
              <w:top w:w="100" w:type="dxa"/>
              <w:start w:w="140" w:type="dxa"/>
              <w:bottom w:w="100" w:type="dxa"/>
              <w:end w:w="140" w:type="dxa"/>
            </w:tcMar>
            <w:vAlign w:val="center"/>
          </w:tcPr>
          <w:p>
            <w:r>
              <w:rPr>
                <w:rFonts w:ascii="Calibri" w:hAnsi="Calibri"/>
                <w:b w:val="0"/>
                <w:i w:val="0"/>
                <w:color w:val="0B2545"/>
                <w:sz w:val="18"/>
              </w:rPr>
              <w:t>Project Task 1 - Deck; Project Task 2 - Roof Structure.</w:t>
            </w:r>
          </w:p>
        </w:tc>
      </w:tr>
      <w:tr>
        <w:tc>
          <w:tcPr>
            <w:tcW w:type="dxa" w:w="2160"/>
            <w:shd w:fill="F3F5F8"/>
            <w:tcMar>
              <w:top w:w="100" w:type="dxa"/>
              <w:start w:w="140" w:type="dxa"/>
              <w:bottom w:w="100" w:type="dxa"/>
              <w:end w:w="140" w:type="dxa"/>
            </w:tcMar>
            <w:vAlign w:val="center"/>
          </w:tcPr>
          <w:p>
            <w:r>
              <w:rPr>
                <w:rFonts w:ascii="Calibri" w:hAnsi="Calibri"/>
                <w:b/>
                <w:i w:val="0"/>
                <w:color w:val="0B2545"/>
                <w:sz w:val="18"/>
              </w:rPr>
              <w:t>Scope of Work</w:t>
            </w:r>
          </w:p>
        </w:tc>
        <w:tc>
          <w:tcPr>
            <w:tcW w:type="dxa" w:w="3888"/>
            <w:shd w:fill="F3F5F8"/>
            <w:tcMar>
              <w:top w:w="100" w:type="dxa"/>
              <w:start w:w="140" w:type="dxa"/>
              <w:bottom w:w="100" w:type="dxa"/>
              <w:end w:w="140" w:type="dxa"/>
            </w:tcMar>
            <w:vAlign w:val="center"/>
          </w:tcPr>
          <w:p>
            <w:r>
              <w:rPr>
                <w:rFonts w:ascii="Calibri" w:hAnsi="Calibri"/>
                <w:b w:val="0"/>
                <w:i w:val="0"/>
                <w:color w:val="0B2545"/>
                <w:sz w:val="18"/>
              </w:rPr>
              <w:t>Estimator’s description of what must be done.</w:t>
            </w:r>
          </w:p>
        </w:tc>
        <w:tc>
          <w:tcPr>
            <w:tcW w:type="dxa" w:w="3311"/>
            <w:shd w:fill="F3F5F8"/>
            <w:tcMar>
              <w:top w:w="100" w:type="dxa"/>
              <w:start w:w="140" w:type="dxa"/>
              <w:bottom w:w="100" w:type="dxa"/>
              <w:end w:w="140" w:type="dxa"/>
            </w:tcMar>
            <w:vAlign w:val="center"/>
          </w:tcPr>
          <w:p>
            <w:r>
              <w:rPr>
                <w:rFonts w:ascii="Calibri" w:hAnsi="Calibri"/>
                <w:b w:val="0"/>
                <w:i w:val="0"/>
                <w:color w:val="0B2545"/>
                <w:sz w:val="18"/>
              </w:rPr>
              <w:t>Remove two decks and rebuild with pressure-treated lumber.</w:t>
            </w:r>
          </w:p>
        </w:tc>
      </w:tr>
      <w:tr>
        <w:tc>
          <w:tcPr>
            <w:tcW w:type="dxa" w:w="2160"/>
            <w:tcMar>
              <w:top w:w="100" w:type="dxa"/>
              <w:start w:w="140" w:type="dxa"/>
              <w:bottom w:w="100" w:type="dxa"/>
              <w:end w:w="140" w:type="dxa"/>
            </w:tcMar>
            <w:vAlign w:val="center"/>
          </w:tcPr>
          <w:p>
            <w:r>
              <w:rPr>
                <w:rFonts w:ascii="Calibri" w:hAnsi="Calibri"/>
                <w:b/>
                <w:i w:val="0"/>
                <w:color w:val="0B2545"/>
                <w:sz w:val="18"/>
              </w:rPr>
              <w:t>Photo template</w:t>
            </w:r>
          </w:p>
        </w:tc>
        <w:tc>
          <w:tcPr>
            <w:tcW w:type="dxa" w:w="3888"/>
            <w:tcMar>
              <w:top w:w="100" w:type="dxa"/>
              <w:start w:w="140" w:type="dxa"/>
              <w:bottom w:w="100" w:type="dxa"/>
              <w:end w:w="140" w:type="dxa"/>
            </w:tcMar>
            <w:vAlign w:val="center"/>
          </w:tcPr>
          <w:p>
            <w:r>
              <w:rPr>
                <w:rFonts w:ascii="Calibri" w:hAnsi="Calibri"/>
                <w:b w:val="0"/>
                <w:i w:val="0"/>
                <w:color w:val="0B2545"/>
                <w:sz w:val="18"/>
              </w:rPr>
              <w:t>Requests the views and measurements needed for that task type.</w:t>
            </w:r>
          </w:p>
        </w:tc>
        <w:tc>
          <w:tcPr>
            <w:tcW w:type="dxa" w:w="3311"/>
            <w:tcMar>
              <w:top w:w="100" w:type="dxa"/>
              <w:start w:w="140" w:type="dxa"/>
              <w:bottom w:w="100" w:type="dxa"/>
              <w:end w:w="140" w:type="dxa"/>
            </w:tcMar>
            <w:vAlign w:val="center"/>
          </w:tcPr>
          <w:p>
            <w:r>
              <w:rPr>
                <w:rFonts w:ascii="Calibri" w:hAnsi="Calibri"/>
                <w:b w:val="0"/>
                <w:i w:val="0"/>
                <w:color w:val="0B2545"/>
                <w:sz w:val="18"/>
              </w:rPr>
              <w:t>Overall view, length, width, endpoints, stairs, and structural conditions.</w:t>
            </w:r>
          </w:p>
        </w:tc>
      </w:tr>
      <w:tr>
        <w:tc>
          <w:tcPr>
            <w:tcW w:type="dxa" w:w="2160"/>
            <w:shd w:fill="F3F5F8"/>
            <w:tcMar>
              <w:top w:w="100" w:type="dxa"/>
              <w:start w:w="140" w:type="dxa"/>
              <w:bottom w:w="100" w:type="dxa"/>
              <w:end w:w="140" w:type="dxa"/>
            </w:tcMar>
            <w:vAlign w:val="center"/>
          </w:tcPr>
          <w:p>
            <w:r>
              <w:rPr>
                <w:rFonts w:ascii="Calibri" w:hAnsi="Calibri"/>
                <w:b/>
                <w:i w:val="0"/>
                <w:color w:val="0B2545"/>
                <w:sz w:val="18"/>
              </w:rPr>
              <w:t>Additional photos</w:t>
            </w:r>
          </w:p>
        </w:tc>
        <w:tc>
          <w:tcPr>
            <w:tcW w:type="dxa" w:w="3888"/>
            <w:shd w:fill="F3F5F8"/>
            <w:tcMar>
              <w:top w:w="100" w:type="dxa"/>
              <w:start w:w="140" w:type="dxa"/>
              <w:bottom w:w="100" w:type="dxa"/>
              <w:end w:w="140" w:type="dxa"/>
            </w:tcMar>
            <w:vAlign w:val="center"/>
          </w:tcPr>
          <w:p>
            <w:r>
              <w:rPr>
                <w:rFonts w:ascii="Calibri" w:hAnsi="Calibri"/>
                <w:b w:val="0"/>
                <w:i w:val="0"/>
                <w:color w:val="0B2545"/>
                <w:sz w:val="18"/>
              </w:rPr>
              <w:t>Allows useful images beyond the required template.</w:t>
            </w:r>
          </w:p>
        </w:tc>
        <w:tc>
          <w:tcPr>
            <w:tcW w:type="dxa" w:w="3311"/>
            <w:shd w:fill="F3F5F8"/>
            <w:tcMar>
              <w:top w:w="100" w:type="dxa"/>
              <w:start w:w="140" w:type="dxa"/>
              <w:bottom w:w="100" w:type="dxa"/>
              <w:end w:w="140" w:type="dxa"/>
            </w:tcMar>
            <w:vAlign w:val="center"/>
          </w:tcPr>
          <w:p>
            <w:r>
              <w:rPr>
                <w:rFonts w:ascii="Calibri" w:hAnsi="Calibri"/>
                <w:b w:val="0"/>
                <w:i w:val="0"/>
                <w:color w:val="0B2545"/>
                <w:sz w:val="18"/>
              </w:rPr>
              <w:t>Access constraints, damage, or unusual framing.</w:t>
            </w:r>
          </w:p>
        </w:tc>
      </w:tr>
      <w:tr>
        <w:tc>
          <w:tcPr>
            <w:tcW w:type="dxa" w:w="2160"/>
            <w:tcMar>
              <w:top w:w="100" w:type="dxa"/>
              <w:start w:w="140" w:type="dxa"/>
              <w:bottom w:w="100" w:type="dxa"/>
              <w:end w:w="140" w:type="dxa"/>
            </w:tcMar>
            <w:vAlign w:val="center"/>
          </w:tcPr>
          <w:p>
            <w:r>
              <w:rPr>
                <w:rFonts w:ascii="Calibri" w:hAnsi="Calibri"/>
                <w:b/>
                <w:i w:val="0"/>
                <w:color w:val="0B2545"/>
                <w:sz w:val="18"/>
              </w:rPr>
              <w:t>Save Project Task</w:t>
            </w:r>
          </w:p>
        </w:tc>
        <w:tc>
          <w:tcPr>
            <w:tcW w:type="dxa" w:w="3888"/>
            <w:tcMar>
              <w:top w:w="100" w:type="dxa"/>
              <w:start w:w="140" w:type="dxa"/>
              <w:bottom w:w="100" w:type="dxa"/>
              <w:end w:w="140" w:type="dxa"/>
            </w:tcMar>
            <w:vAlign w:val="center"/>
          </w:tcPr>
          <w:p>
            <w:r>
              <w:rPr>
                <w:rFonts w:ascii="Calibri" w:hAnsi="Calibri"/>
                <w:b w:val="0"/>
                <w:i w:val="0"/>
                <w:color w:val="0B2545"/>
                <w:sz w:val="18"/>
              </w:rPr>
              <w:t>Stores the current notes and photographs.</w:t>
            </w:r>
          </w:p>
        </w:tc>
        <w:tc>
          <w:tcPr>
            <w:tcW w:type="dxa" w:w="3311"/>
            <w:tcMar>
              <w:top w:w="100" w:type="dxa"/>
              <w:start w:w="140" w:type="dxa"/>
              <w:bottom w:w="100" w:type="dxa"/>
              <w:end w:w="140" w:type="dxa"/>
            </w:tcMar>
            <w:vAlign w:val="center"/>
          </w:tcPr>
          <w:p>
            <w:r>
              <w:rPr>
                <w:rFonts w:ascii="Calibri" w:hAnsi="Calibri"/>
                <w:b w:val="0"/>
                <w:i w:val="0"/>
                <w:color w:val="0B2545"/>
                <w:sz w:val="18"/>
              </w:rPr>
              <w:t>Save before leaving the page or starting analysis.</w:t>
            </w:r>
          </w:p>
        </w:tc>
      </w:tr>
      <w:tr>
        <w:tc>
          <w:tcPr>
            <w:tcW w:type="dxa" w:w="2160"/>
            <w:shd w:fill="F3F5F8"/>
            <w:tcMar>
              <w:top w:w="100" w:type="dxa"/>
              <w:start w:w="140" w:type="dxa"/>
              <w:bottom w:w="100" w:type="dxa"/>
              <w:end w:w="140" w:type="dxa"/>
            </w:tcMar>
            <w:vAlign w:val="center"/>
          </w:tcPr>
          <w:p>
            <w:r>
              <w:rPr>
                <w:rFonts w:ascii="Calibri" w:hAnsi="Calibri"/>
                <w:b/>
                <w:i w:val="0"/>
                <w:color w:val="0B2545"/>
                <w:sz w:val="18"/>
              </w:rPr>
              <w:t>Delete Task</w:t>
            </w:r>
          </w:p>
        </w:tc>
        <w:tc>
          <w:tcPr>
            <w:tcW w:type="dxa" w:w="3888"/>
            <w:shd w:fill="F3F5F8"/>
            <w:tcMar>
              <w:top w:w="100" w:type="dxa"/>
              <w:start w:w="140" w:type="dxa"/>
              <w:bottom w:w="100" w:type="dxa"/>
              <w:end w:w="140" w:type="dxa"/>
            </w:tcMar>
            <w:vAlign w:val="center"/>
          </w:tcPr>
          <w:p>
            <w:r>
              <w:rPr>
                <w:rFonts w:ascii="Calibri" w:hAnsi="Calibri"/>
                <w:b w:val="0"/>
                <w:i w:val="0"/>
                <w:color w:val="0B2545"/>
                <w:sz w:val="18"/>
              </w:rPr>
              <w:t>Removes a task after confirmation.</w:t>
            </w:r>
          </w:p>
        </w:tc>
        <w:tc>
          <w:tcPr>
            <w:tcW w:type="dxa" w:w="3311"/>
            <w:shd w:fill="F3F5F8"/>
            <w:tcMar>
              <w:top w:w="100" w:type="dxa"/>
              <w:start w:w="140" w:type="dxa"/>
              <w:bottom w:w="100" w:type="dxa"/>
              <w:end w:w="140" w:type="dxa"/>
            </w:tcMar>
            <w:vAlign w:val="center"/>
          </w:tcPr>
          <w:p>
            <w:r>
              <w:rPr>
                <w:rFonts w:ascii="Calibri" w:hAnsi="Calibri"/>
                <w:b w:val="0"/>
                <w:i w:val="0"/>
                <w:color w:val="0B2545"/>
                <w:sz w:val="18"/>
              </w:rPr>
              <w:t>Use when the task was added by mistake.</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9F6EE"/>
          </w:tcPr>
          <w:p>
            <w:r>
              <w:rPr>
                <w:rFonts w:ascii="Calibri" w:hAnsi="Calibri"/>
                <w:b/>
                <w:i w:val="0"/>
                <w:color w:val="217A49"/>
                <w:sz w:val="21"/>
              </w:rPr>
              <w:t xml:space="preserve">Good practice: </w:t>
            </w:r>
            <w:r>
              <w:rPr>
                <w:rFonts w:ascii="Calibri" w:hAnsi="Calibri"/>
                <w:b w:val="0"/>
                <w:i w:val="0"/>
                <w:color w:val="0B2545"/>
                <w:sz w:val="21"/>
              </w:rPr>
              <w:t>Use one task for each separately costed scope. Clear task boundaries produce clearer material lists, crew assumptions, and margins.</w:t>
            </w:r>
          </w:p>
        </w:tc>
      </w:tr>
    </w:tbl>
    <w:p>
      <w:pPr>
        <w:spacing w:before="0" w:after="40" w:line="288" w:lineRule="auto"/>
      </w:pPr>
      <w:r>
        <w:rPr>
          <w:rFonts w:ascii="Calibri" w:hAnsi="Calibri"/>
          <w:b w:val="0"/>
          <w:i w:val="0"/>
          <w:color w:val="0B2545"/>
          <w:sz w:val="22"/>
        </w:rPr>
      </w:r>
    </w:p>
    <w:p>
      <w:pPr>
        <w:pStyle w:val="Heading1"/>
      </w:pPr>
      <w:r>
        <w:t>4. CentCom Analysis on the workspace</w:t>
      </w:r>
    </w:p>
    <w:p>
      <w:pPr>
        <w:keepNext/>
        <w:jc w:val="center"/>
      </w:pPr>
      <w:r>
        <w:drawing>
          <wp:inline xmlns:a="http://schemas.openxmlformats.org/drawingml/2006/main" xmlns:pic="http://schemas.openxmlformats.org/drawingml/2006/picture">
            <wp:extent cx="5897880" cy="3266231"/>
            <wp:docPr id="3" name="Picture 3" descr="Screen example: the project task and its CentCom analysis area." title="Estimate Cases screen example"/>
            <wp:cNvGraphicFramePr>
              <a:graphicFrameLocks noChangeAspect="1"/>
            </wp:cNvGraphicFramePr>
            <a:graphic>
              <a:graphicData uri="http://schemas.openxmlformats.org/drawingml/2006/picture">
                <pic:pic>
                  <pic:nvPicPr>
                    <pic:cNvPr id="0" name="estimate-task-analysis.png"/>
                    <pic:cNvPicPr/>
                  </pic:nvPicPr>
                  <pic:blipFill>
                    <a:blip r:embed="rId13"/>
                    <a:stretch>
                      <a:fillRect/>
                    </a:stretch>
                  </pic:blipFill>
                  <pic:spPr>
                    <a:xfrm>
                      <a:off x="0" y="0"/>
                      <a:ext cx="5897880" cy="3266231"/>
                    </a:xfrm>
                    <a:prstGeom prst="rect"/>
                  </pic:spPr>
                </pic:pic>
              </a:graphicData>
            </a:graphic>
          </wp:inline>
        </w:drawing>
      </w:r>
    </w:p>
    <w:p>
      <w:pPr>
        <w:spacing w:after="200"/>
        <w:jc w:val="center"/>
      </w:pPr>
      <w:r>
        <w:rPr>
          <w:rFonts w:ascii="Calibri" w:hAnsi="Calibri"/>
          <w:b w:val="0"/>
          <w:i/>
          <w:color w:val="5E6F87"/>
          <w:sz w:val="18"/>
        </w:rPr>
        <w:t>Screen example: the project task and its CentCom analysis area.</w:t>
      </w:r>
    </w:p>
    <w:p>
      <w:pPr>
        <w:pStyle w:val="ListBullet"/>
        <w:spacing w:after="80"/>
        <w:ind w:left="547" w:hanging="274"/>
      </w:pPr>
      <w:r>
        <w:rPr>
          <w:rFonts w:ascii="Calibri" w:hAnsi="Calibri"/>
          <w:b w:val="0"/>
          <w:i w:val="0"/>
          <w:color w:val="0B2545"/>
          <w:sz w:val="21"/>
        </w:rPr>
        <w:t>Analyze submits the task’s current saved notes and photographs.</w:t>
      </w:r>
    </w:p>
    <w:p>
      <w:pPr>
        <w:pStyle w:val="ListBullet"/>
        <w:spacing w:after="80"/>
        <w:ind w:left="547" w:hanging="274"/>
      </w:pPr>
      <w:r>
        <w:rPr>
          <w:rFonts w:ascii="Calibri" w:hAnsi="Calibri"/>
          <w:b w:val="0"/>
          <w:i w:val="0"/>
          <w:color w:val="0B2545"/>
          <w:sz w:val="21"/>
        </w:rPr>
        <w:t>Queued means the request is waiting for background processing.</w:t>
      </w:r>
    </w:p>
    <w:p>
      <w:pPr>
        <w:pStyle w:val="ListBullet"/>
        <w:spacing w:after="80"/>
        <w:ind w:left="547" w:hanging="274"/>
      </w:pPr>
      <w:r>
        <w:rPr>
          <w:rFonts w:ascii="Calibri" w:hAnsi="Calibri"/>
          <w:b w:val="0"/>
          <w:i w:val="0"/>
          <w:color w:val="0B2545"/>
          <w:sz w:val="21"/>
        </w:rPr>
        <w:t>Reanalyze creates a new analysis revision; it does not erase the earlier audit trail.</w:t>
      </w:r>
    </w:p>
    <w:p>
      <w:pPr>
        <w:pStyle w:val="ListBullet"/>
        <w:spacing w:after="80"/>
        <w:ind w:left="547" w:hanging="274"/>
      </w:pPr>
      <w:r>
        <w:rPr>
          <w:rFonts w:ascii="Calibri" w:hAnsi="Calibri"/>
          <w:b w:val="0"/>
          <w:i w:val="0"/>
          <w:color w:val="0B2545"/>
          <w:sz w:val="21"/>
        </w:rPr>
        <w:t>Unmatched means CentCom recommended an item that CCV could not safely match to an active vendor catalog item.</w:t>
      </w:r>
    </w:p>
    <w:p>
      <w:pPr>
        <w:pStyle w:val="ListBullet"/>
        <w:spacing w:after="80"/>
        <w:ind w:left="547" w:hanging="274"/>
      </w:pPr>
      <w:r>
        <w:rPr>
          <w:rFonts w:ascii="Calibri" w:hAnsi="Calibri"/>
          <w:b w:val="0"/>
          <w:i w:val="0"/>
          <w:color w:val="0B2545"/>
          <w:sz w:val="21"/>
        </w:rPr>
        <w:t>Excluded means a policy intentionally prevented an AI suggestion from entering material cost.</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DECEC"/>
          </w:tcPr>
          <w:p>
            <w:r>
              <w:rPr>
                <w:rFonts w:ascii="Calibri" w:hAnsi="Calibri"/>
                <w:b/>
                <w:i w:val="0"/>
                <w:color w:val="9B1C1C"/>
                <w:sz w:val="21"/>
              </w:rPr>
              <w:t xml:space="preserve">Review required: </w:t>
            </w:r>
            <w:r>
              <w:rPr>
                <w:rFonts w:ascii="Calibri" w:hAnsi="Calibri"/>
                <w:b w:val="0"/>
                <w:i w:val="0"/>
                <w:color w:val="0B2545"/>
                <w:sz w:val="21"/>
              </w:rPr>
              <w:t>Unmatched items, missing prices, uncertain quantities, exclusions without recovery, and unexpected task durations must be resolved before approval.</w:t>
            </w:r>
          </w:p>
        </w:tc>
      </w:tr>
    </w:tbl>
    <w:p>
      <w:pPr>
        <w:spacing w:before="0" w:after="40" w:line="288" w:lineRule="auto"/>
      </w:pPr>
      <w:r>
        <w:rPr>
          <w:rFonts w:ascii="Calibri" w:hAnsi="Calibri"/>
          <w:b w:val="0"/>
          <w:i w:val="0"/>
          <w:color w:val="0B2545"/>
          <w:sz w:val="22"/>
        </w:rPr>
      </w:r>
    </w:p>
    <w:p>
      <w:pPr>
        <w:pStyle w:val="Heading1"/>
      </w:pPr>
      <w:r>
        <w:t>5. Pricing and audit information</w:t>
      </w:r>
    </w:p>
    <w:p>
      <w:pPr>
        <w:keepNext/>
        <w:jc w:val="center"/>
      </w:pPr>
      <w:r>
        <w:drawing>
          <wp:inline xmlns:a="http://schemas.openxmlformats.org/drawingml/2006/main" xmlns:pic="http://schemas.openxmlformats.org/drawingml/2006/picture">
            <wp:extent cx="5897880" cy="2832289"/>
            <wp:docPr id="4" name="Picture 4" descr="Screen example: job cost summary and provisional pricing information." title="Estimate Cases screen example"/>
            <wp:cNvGraphicFramePr>
              <a:graphicFrameLocks noChangeAspect="1"/>
            </wp:cNvGraphicFramePr>
            <a:graphic>
              <a:graphicData uri="http://schemas.openxmlformats.org/drawingml/2006/picture">
                <pic:pic>
                  <pic:nvPicPr>
                    <pic:cNvPr id="0" name="estimate-pricing-audit.png"/>
                    <pic:cNvPicPr/>
                  </pic:nvPicPr>
                  <pic:blipFill>
                    <a:blip r:embed="rId14"/>
                    <a:stretch>
                      <a:fillRect/>
                    </a:stretch>
                  </pic:blipFill>
                  <pic:spPr>
                    <a:xfrm>
                      <a:off x="0" y="0"/>
                      <a:ext cx="5897880" cy="2832289"/>
                    </a:xfrm>
                    <a:prstGeom prst="rect"/>
                  </pic:spPr>
                </pic:pic>
              </a:graphicData>
            </a:graphic>
          </wp:inline>
        </w:drawing>
      </w:r>
    </w:p>
    <w:p>
      <w:pPr>
        <w:spacing w:after="200"/>
        <w:jc w:val="center"/>
      </w:pPr>
      <w:r>
        <w:rPr>
          <w:rFonts w:ascii="Calibri" w:hAnsi="Calibri"/>
          <w:b w:val="0"/>
          <w:i/>
          <w:color w:val="5E6F87"/>
          <w:sz w:val="18"/>
        </w:rPr>
        <w:t>Screen example: job cost summary and provisional pricing information.</w:t>
      </w:r>
    </w:p>
    <w:p>
      <w:pPr>
        <w:spacing w:before="0" w:after="120" w:line="288" w:lineRule="auto"/>
      </w:pPr>
      <w:r>
        <w:rPr>
          <w:rFonts w:ascii="Calibri" w:hAnsi="Calibri"/>
          <w:b w:val="0"/>
          <w:i w:val="0"/>
          <w:color w:val="0B2545"/>
          <w:sz w:val="22"/>
        </w:rPr>
        <w:t>The pricing area combines accepted materials with the active costing-policy snapshot. It should explain what was included, which policy revision was used, and how the suggested selling price was calculated.</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1944"/>
            <w:shd w:fill="0B2545"/>
            <w:tcMar>
              <w:top w:w="100" w:type="dxa"/>
              <w:start w:w="140" w:type="dxa"/>
              <w:bottom w:w="100" w:type="dxa"/>
              <w:end w:w="140" w:type="dxa"/>
            </w:tcMar>
            <w:vAlign w:val="center"/>
          </w:tcPr>
          <w:p>
            <w:r>
              <w:rPr>
                <w:rFonts w:ascii="Calibri" w:hAnsi="Calibri"/>
                <w:b/>
                <w:i w:val="0"/>
                <w:color w:val="FFFFFF"/>
                <w:sz w:val="19"/>
              </w:rPr>
              <w:t>Cost layer</w:t>
            </w:r>
          </w:p>
        </w:tc>
        <w:tc>
          <w:tcPr>
            <w:tcW w:type="dxa" w:w="4031"/>
            <w:shd w:fill="0B2545"/>
            <w:tcMar>
              <w:top w:w="100" w:type="dxa"/>
              <w:start w:w="140" w:type="dxa"/>
              <w:bottom w:w="100" w:type="dxa"/>
              <w:end w:w="140" w:type="dxa"/>
            </w:tcMar>
            <w:vAlign w:val="center"/>
          </w:tcPr>
          <w:p>
            <w:r>
              <w:rPr>
                <w:rFonts w:ascii="Calibri" w:hAnsi="Calibri"/>
                <w:b/>
                <w:i w:val="0"/>
                <w:color w:val="FFFFFF"/>
                <w:sz w:val="19"/>
              </w:rPr>
              <w:t>Typical contents</w:t>
            </w:r>
          </w:p>
        </w:tc>
        <w:tc>
          <w:tcPr>
            <w:tcW w:type="dxa" w:w="3384"/>
            <w:shd w:fill="0B2545"/>
            <w:tcMar>
              <w:top w:w="100" w:type="dxa"/>
              <w:start w:w="140" w:type="dxa"/>
              <w:bottom w:w="100" w:type="dxa"/>
              <w:end w:w="140" w:type="dxa"/>
            </w:tcMar>
            <w:vAlign w:val="center"/>
          </w:tcPr>
          <w:p>
            <w:r>
              <w:rPr>
                <w:rFonts w:ascii="Calibri" w:hAnsi="Calibri"/>
                <w:b/>
                <w:i w:val="0"/>
                <w:color w:val="FFFFFF"/>
                <w:sz w:val="19"/>
              </w:rPr>
              <w:t>Source</w:t>
            </w:r>
          </w:p>
        </w:tc>
      </w:tr>
      <w:tr>
        <w:tc>
          <w:tcPr>
            <w:tcW w:type="dxa" w:w="1944"/>
            <w:tcMar>
              <w:top w:w="100" w:type="dxa"/>
              <w:start w:w="140" w:type="dxa"/>
              <w:bottom w:w="100" w:type="dxa"/>
              <w:end w:w="140" w:type="dxa"/>
            </w:tcMar>
            <w:vAlign w:val="center"/>
          </w:tcPr>
          <w:p>
            <w:r>
              <w:rPr>
                <w:rFonts w:ascii="Calibri" w:hAnsi="Calibri"/>
                <w:b/>
                <w:i w:val="0"/>
                <w:color w:val="0B2545"/>
                <w:sz w:val="18"/>
              </w:rPr>
              <w:t>Materials</w:t>
            </w:r>
          </w:p>
        </w:tc>
        <w:tc>
          <w:tcPr>
            <w:tcW w:type="dxa" w:w="4031"/>
            <w:tcMar>
              <w:top w:w="100" w:type="dxa"/>
              <w:start w:w="140" w:type="dxa"/>
              <w:bottom w:w="100" w:type="dxa"/>
              <w:end w:w="140" w:type="dxa"/>
            </w:tcMar>
            <w:vAlign w:val="center"/>
          </w:tcPr>
          <w:p>
            <w:r>
              <w:rPr>
                <w:rFonts w:ascii="Calibri" w:hAnsi="Calibri"/>
                <w:b w:val="0"/>
                <w:i w:val="0"/>
                <w:color w:val="0B2545"/>
                <w:sz w:val="18"/>
              </w:rPr>
              <w:t>Catalog-matched lumber, fasteners, hardware, finishes, and supplies.</w:t>
            </w:r>
          </w:p>
        </w:tc>
        <w:tc>
          <w:tcPr>
            <w:tcW w:type="dxa" w:w="3384"/>
            <w:tcMar>
              <w:top w:w="100" w:type="dxa"/>
              <w:start w:w="140" w:type="dxa"/>
              <w:bottom w:w="100" w:type="dxa"/>
              <w:end w:w="140" w:type="dxa"/>
            </w:tcMar>
            <w:vAlign w:val="center"/>
          </w:tcPr>
          <w:p>
            <w:r>
              <w:rPr>
                <w:rFonts w:ascii="Calibri" w:hAnsi="Calibri"/>
                <w:b w:val="0"/>
                <w:i w:val="0"/>
                <w:color w:val="0B2545"/>
                <w:sz w:val="18"/>
              </w:rPr>
              <w:t>CentCom recommendation + vendor catalog + standard supply kits.</w:t>
            </w:r>
          </w:p>
        </w:tc>
      </w:tr>
      <w:tr>
        <w:tc>
          <w:tcPr>
            <w:tcW w:type="dxa" w:w="1944"/>
            <w:shd w:fill="F3F5F8"/>
            <w:tcMar>
              <w:top w:w="100" w:type="dxa"/>
              <w:start w:w="140" w:type="dxa"/>
              <w:bottom w:w="100" w:type="dxa"/>
              <w:end w:w="140" w:type="dxa"/>
            </w:tcMar>
            <w:vAlign w:val="center"/>
          </w:tcPr>
          <w:p>
            <w:r>
              <w:rPr>
                <w:rFonts w:ascii="Calibri" w:hAnsi="Calibri"/>
                <w:b/>
                <w:i w:val="0"/>
                <w:color w:val="0B2545"/>
                <w:sz w:val="18"/>
              </w:rPr>
              <w:t>Labor</w:t>
            </w:r>
          </w:p>
        </w:tc>
        <w:tc>
          <w:tcPr>
            <w:tcW w:type="dxa" w:w="4031"/>
            <w:shd w:fill="F3F5F8"/>
            <w:tcMar>
              <w:top w:w="100" w:type="dxa"/>
              <w:start w:w="140" w:type="dxa"/>
              <w:bottom w:w="100" w:type="dxa"/>
              <w:end w:w="140" w:type="dxa"/>
            </w:tcMar>
            <w:vAlign w:val="center"/>
          </w:tcPr>
          <w:p>
            <w:r>
              <w:rPr>
                <w:rFonts w:ascii="Calibri" w:hAnsi="Calibri"/>
                <w:b w:val="0"/>
                <w:i w:val="0"/>
                <w:color w:val="0B2545"/>
                <w:sz w:val="18"/>
              </w:rPr>
              <w:t>Crew days multiplied by the matching daily crew rate.</w:t>
            </w:r>
          </w:p>
        </w:tc>
        <w:tc>
          <w:tcPr>
            <w:tcW w:type="dxa" w:w="3384"/>
            <w:shd w:fill="F3F5F8"/>
            <w:tcMar>
              <w:top w:w="100" w:type="dxa"/>
              <w:start w:w="140" w:type="dxa"/>
              <w:bottom w:w="100" w:type="dxa"/>
              <w:end w:w="140" w:type="dxa"/>
            </w:tcMar>
            <w:vAlign w:val="center"/>
          </w:tcPr>
          <w:p>
            <w:r>
              <w:rPr>
                <w:rFonts w:ascii="Calibri" w:hAnsi="Calibri"/>
                <w:b w:val="0"/>
                <w:i w:val="0"/>
                <w:color w:val="0B2545"/>
                <w:sz w:val="18"/>
              </w:rPr>
              <w:t>Task type/work type crew rate card.</w:t>
            </w:r>
          </w:p>
        </w:tc>
      </w:tr>
      <w:tr>
        <w:tc>
          <w:tcPr>
            <w:tcW w:type="dxa" w:w="1944"/>
            <w:tcMar>
              <w:top w:w="100" w:type="dxa"/>
              <w:start w:w="140" w:type="dxa"/>
              <w:bottom w:w="100" w:type="dxa"/>
              <w:end w:w="140" w:type="dxa"/>
            </w:tcMar>
            <w:vAlign w:val="center"/>
          </w:tcPr>
          <w:p>
            <w:r>
              <w:rPr>
                <w:rFonts w:ascii="Calibri" w:hAnsi="Calibri"/>
                <w:b/>
                <w:i w:val="0"/>
                <w:color w:val="0B2545"/>
                <w:sz w:val="18"/>
              </w:rPr>
              <w:t>Task/project costs</w:t>
            </w:r>
          </w:p>
        </w:tc>
        <w:tc>
          <w:tcPr>
            <w:tcW w:type="dxa" w:w="4031"/>
            <w:tcMar>
              <w:top w:w="100" w:type="dxa"/>
              <w:start w:w="140" w:type="dxa"/>
              <w:bottom w:w="100" w:type="dxa"/>
              <w:end w:w="140" w:type="dxa"/>
            </w:tcMar>
            <w:vAlign w:val="center"/>
          </w:tcPr>
          <w:p>
            <w:r>
              <w:rPr>
                <w:rFonts w:ascii="Calibri" w:hAnsi="Calibri"/>
                <w:b w:val="0"/>
                <w:i w:val="0"/>
                <w:color w:val="0B2545"/>
                <w:sz w:val="18"/>
              </w:rPr>
              <w:t>Disposal, permits, delivery, rental, mobilization, or management.</w:t>
            </w:r>
          </w:p>
        </w:tc>
        <w:tc>
          <w:tcPr>
            <w:tcW w:type="dxa" w:w="3384"/>
            <w:tcMar>
              <w:top w:w="100" w:type="dxa"/>
              <w:start w:w="140" w:type="dxa"/>
              <w:bottom w:w="100" w:type="dxa"/>
              <w:end w:w="140" w:type="dxa"/>
            </w:tcMar>
            <w:vAlign w:val="center"/>
          </w:tcPr>
          <w:p>
            <w:r>
              <w:rPr>
                <w:rFonts w:ascii="Calibri" w:hAnsi="Calibri"/>
                <w:b w:val="0"/>
                <w:i w:val="0"/>
                <w:color w:val="0B2545"/>
                <w:sz w:val="18"/>
              </w:rPr>
              <w:t>Additional cost rules.</w:t>
            </w:r>
          </w:p>
        </w:tc>
      </w:tr>
      <w:tr>
        <w:tc>
          <w:tcPr>
            <w:tcW w:type="dxa" w:w="1944"/>
            <w:shd w:fill="F3F5F8"/>
            <w:tcMar>
              <w:top w:w="100" w:type="dxa"/>
              <w:start w:w="140" w:type="dxa"/>
              <w:bottom w:w="100" w:type="dxa"/>
              <w:end w:w="140" w:type="dxa"/>
            </w:tcMar>
            <w:vAlign w:val="center"/>
          </w:tcPr>
          <w:p>
            <w:r>
              <w:rPr>
                <w:rFonts w:ascii="Calibri" w:hAnsi="Calibri"/>
                <w:b/>
                <w:i w:val="0"/>
                <w:color w:val="0B2545"/>
                <w:sz w:val="18"/>
              </w:rPr>
              <w:t>Overhead</w:t>
            </w:r>
          </w:p>
        </w:tc>
        <w:tc>
          <w:tcPr>
            <w:tcW w:type="dxa" w:w="4031"/>
            <w:shd w:fill="F3F5F8"/>
            <w:tcMar>
              <w:top w:w="100" w:type="dxa"/>
              <w:start w:w="140" w:type="dxa"/>
              <w:bottom w:w="100" w:type="dxa"/>
              <w:end w:w="140" w:type="dxa"/>
            </w:tcMar>
            <w:vAlign w:val="center"/>
          </w:tcPr>
          <w:p>
            <w:r>
              <w:rPr>
                <w:rFonts w:ascii="Calibri" w:hAnsi="Calibri"/>
                <w:b w:val="0"/>
                <w:i w:val="0"/>
                <w:color w:val="0B2545"/>
                <w:sz w:val="18"/>
              </w:rPr>
              <w:t>Allocated operating cost and any approved additional overhead.</w:t>
            </w:r>
          </w:p>
        </w:tc>
        <w:tc>
          <w:tcPr>
            <w:tcW w:type="dxa" w:w="3384"/>
            <w:shd w:fill="F3F5F8"/>
            <w:tcMar>
              <w:top w:w="100" w:type="dxa"/>
              <w:start w:w="140" w:type="dxa"/>
              <w:bottom w:w="100" w:type="dxa"/>
              <w:end w:w="140" w:type="dxa"/>
            </w:tcMar>
            <w:vAlign w:val="center"/>
          </w:tcPr>
          <w:p>
            <w:r>
              <w:rPr>
                <w:rFonts w:ascii="Calibri" w:hAnsi="Calibri"/>
                <w:b w:val="0"/>
                <w:i w:val="0"/>
                <w:color w:val="0B2545"/>
                <w:sz w:val="18"/>
              </w:rPr>
              <w:t>Active costing policy.</w:t>
            </w:r>
          </w:p>
        </w:tc>
      </w:tr>
      <w:tr>
        <w:tc>
          <w:tcPr>
            <w:tcW w:type="dxa" w:w="1944"/>
            <w:tcMar>
              <w:top w:w="100" w:type="dxa"/>
              <w:start w:w="140" w:type="dxa"/>
              <w:bottom w:w="100" w:type="dxa"/>
              <w:end w:w="140" w:type="dxa"/>
            </w:tcMar>
            <w:vAlign w:val="center"/>
          </w:tcPr>
          <w:p>
            <w:r>
              <w:rPr>
                <w:rFonts w:ascii="Calibri" w:hAnsi="Calibri"/>
                <w:b/>
                <w:i w:val="0"/>
                <w:color w:val="0B2545"/>
                <w:sz w:val="18"/>
              </w:rPr>
              <w:t>Contingency</w:t>
            </w:r>
          </w:p>
        </w:tc>
        <w:tc>
          <w:tcPr>
            <w:tcW w:type="dxa" w:w="4031"/>
            <w:tcMar>
              <w:top w:w="100" w:type="dxa"/>
              <w:start w:w="140" w:type="dxa"/>
              <w:bottom w:w="100" w:type="dxa"/>
              <w:end w:w="140" w:type="dxa"/>
            </w:tcMar>
            <w:vAlign w:val="center"/>
          </w:tcPr>
          <w:p>
            <w:r>
              <w:rPr>
                <w:rFonts w:ascii="Calibri" w:hAnsi="Calibri"/>
                <w:b w:val="0"/>
                <w:i w:val="0"/>
                <w:color w:val="0B2545"/>
                <w:sz w:val="18"/>
              </w:rPr>
              <w:t>Allowance for normal estimating uncertainty.</w:t>
            </w:r>
          </w:p>
        </w:tc>
        <w:tc>
          <w:tcPr>
            <w:tcW w:type="dxa" w:w="3384"/>
            <w:tcMar>
              <w:top w:w="100" w:type="dxa"/>
              <w:start w:w="140" w:type="dxa"/>
              <w:bottom w:w="100" w:type="dxa"/>
              <w:end w:w="140" w:type="dxa"/>
            </w:tcMar>
            <w:vAlign w:val="center"/>
          </w:tcPr>
          <w:p>
            <w:r>
              <w:rPr>
                <w:rFonts w:ascii="Calibri" w:hAnsi="Calibri"/>
                <w:b w:val="0"/>
                <w:i w:val="0"/>
                <w:color w:val="0B2545"/>
                <w:sz w:val="18"/>
              </w:rPr>
              <w:t>Policy percentage.</w:t>
            </w:r>
          </w:p>
        </w:tc>
      </w:tr>
      <w:tr>
        <w:tc>
          <w:tcPr>
            <w:tcW w:type="dxa" w:w="1944"/>
            <w:shd w:fill="F3F5F8"/>
            <w:tcMar>
              <w:top w:w="100" w:type="dxa"/>
              <w:start w:w="140" w:type="dxa"/>
              <w:bottom w:w="100" w:type="dxa"/>
              <w:end w:w="140" w:type="dxa"/>
            </w:tcMar>
            <w:vAlign w:val="center"/>
          </w:tcPr>
          <w:p>
            <w:r>
              <w:rPr>
                <w:rFonts w:ascii="Calibri" w:hAnsi="Calibri"/>
                <w:b/>
                <w:i w:val="0"/>
                <w:color w:val="0B2545"/>
                <w:sz w:val="18"/>
              </w:rPr>
              <w:t>Suggested price</w:t>
            </w:r>
          </w:p>
        </w:tc>
        <w:tc>
          <w:tcPr>
            <w:tcW w:type="dxa" w:w="4031"/>
            <w:shd w:fill="F3F5F8"/>
            <w:tcMar>
              <w:top w:w="100" w:type="dxa"/>
              <w:start w:w="140" w:type="dxa"/>
              <w:bottom w:w="100" w:type="dxa"/>
              <w:end w:w="140" w:type="dxa"/>
            </w:tcMar>
            <w:vAlign w:val="center"/>
          </w:tcPr>
          <w:p>
            <w:r>
              <w:rPr>
                <w:rFonts w:ascii="Calibri" w:hAnsi="Calibri"/>
                <w:b w:val="0"/>
                <w:i w:val="0"/>
                <w:color w:val="0B2545"/>
                <w:sz w:val="18"/>
              </w:rPr>
              <w:t>Cost converted to price using the applicable margin.</w:t>
            </w:r>
          </w:p>
        </w:tc>
        <w:tc>
          <w:tcPr>
            <w:tcW w:type="dxa" w:w="3384"/>
            <w:shd w:fill="F3F5F8"/>
            <w:tcMar>
              <w:top w:w="100" w:type="dxa"/>
              <w:start w:w="140" w:type="dxa"/>
              <w:bottom w:w="100" w:type="dxa"/>
              <w:end w:w="140" w:type="dxa"/>
            </w:tcMar>
            <w:vAlign w:val="center"/>
          </w:tcPr>
          <w:p>
            <w:r>
              <w:rPr>
                <w:rFonts w:ascii="Calibri" w:hAnsi="Calibri"/>
                <w:b w:val="0"/>
                <w:i w:val="0"/>
                <w:color w:val="0B2545"/>
                <w:sz w:val="18"/>
              </w:rPr>
              <w:t>Task margin rule or policy fallback.</w:t>
            </w:r>
          </w:p>
        </w:tc>
      </w:tr>
    </w:tbl>
    <w:p>
      <w:pPr>
        <w:spacing w:before="0" w:after="40" w:line="288" w:lineRule="auto"/>
      </w:pPr>
      <w:r>
        <w:rPr>
          <w:rFonts w:ascii="Calibri" w:hAnsi="Calibri"/>
          <w:b w:val="0"/>
          <w:i w:val="0"/>
          <w:color w:val="0B2545"/>
          <w:sz w:val="22"/>
        </w:rPr>
      </w:r>
    </w:p>
    <w:p>
      <w:pPr>
        <w:pStyle w:val="Heading1"/>
      </w:pPr>
      <w:r>
        <w:t>6. What happens in the background when AI analyzes a task</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AF1FF"/>
          </w:tcPr>
          <w:p>
            <w:r>
              <w:rPr>
                <w:rFonts w:ascii="Calibri" w:hAnsi="Calibri"/>
                <w:b/>
                <w:i w:val="0"/>
                <w:color w:val="2E67D1"/>
                <w:sz w:val="21"/>
              </w:rPr>
              <w:t xml:space="preserve">Simple description: </w:t>
            </w:r>
            <w:r>
              <w:rPr>
                <w:rFonts w:ascii="Calibri" w:hAnsi="Calibri"/>
                <w:b w:val="0"/>
                <w:i w:val="0"/>
                <w:color w:val="0B2545"/>
                <w:sz w:val="21"/>
              </w:rPr>
              <w:t>CCV takes a frozen copy of the task, asks CentCom for a structured recommendation, checks that recommendation against approved business data, calculates costs, and saves a new auditable revision.</w:t>
            </w:r>
          </w:p>
        </w:tc>
      </w:tr>
    </w:tbl>
    <w:p>
      <w:pPr>
        <w:spacing w:before="0" w:after="40" w:line="288" w:lineRule="auto"/>
      </w:pPr>
      <w:r>
        <w:rPr>
          <w:rFonts w:ascii="Calibri" w:hAnsi="Calibri"/>
          <w:b w:val="0"/>
          <w:i w:val="0"/>
          <w:color w:val="0B2545"/>
          <w:sz w:val="22"/>
        </w:rPr>
      </w:r>
    </w:p>
    <w:p>
      <w:pPr>
        <w:pStyle w:val="Heading2"/>
      </w:pPr>
      <w:r>
        <w:t>1. Submission</w:t>
      </w:r>
    </w:p>
    <w:p>
      <w:pPr>
        <w:spacing w:before="0" w:after="100" w:line="288" w:lineRule="auto"/>
      </w:pPr>
      <w:r>
        <w:rPr>
          <w:rFonts w:ascii="Calibri" w:hAnsi="Calibri"/>
          <w:b w:val="0"/>
          <w:i w:val="0"/>
          <w:color w:val="0B2545"/>
          <w:sz w:val="21"/>
        </w:rPr>
        <w:t>The user saves the task and clicks Analyze or Reanalyze.</w:t>
      </w:r>
    </w:p>
    <w:p>
      <w:pPr>
        <w:pStyle w:val="Heading2"/>
      </w:pPr>
      <w:r>
        <w:t>2. Input snapshot</w:t>
      </w:r>
    </w:p>
    <w:p>
      <w:pPr>
        <w:spacing w:before="0" w:after="100" w:line="288" w:lineRule="auto"/>
      </w:pPr>
      <w:r>
        <w:rPr>
          <w:rFonts w:ascii="Calibri" w:hAnsi="Calibri"/>
          <w:b w:val="0"/>
          <w:i w:val="0"/>
          <w:color w:val="0B2545"/>
          <w:sz w:val="21"/>
        </w:rPr>
        <w:t>CCV records the task type, work type, notes, photographs, customer/project context, user, time, and revision number.</w:t>
      </w:r>
    </w:p>
    <w:p>
      <w:pPr>
        <w:pStyle w:val="Heading2"/>
      </w:pPr>
      <w:r>
        <w:t>3. Queue</w:t>
      </w:r>
    </w:p>
    <w:p>
      <w:pPr>
        <w:spacing w:before="0" w:after="100" w:line="288" w:lineRule="auto"/>
      </w:pPr>
      <w:r>
        <w:rPr>
          <w:rFonts w:ascii="Calibri" w:hAnsi="Calibri"/>
          <w:b w:val="0"/>
          <w:i w:val="0"/>
          <w:color w:val="0B2545"/>
          <w:sz w:val="21"/>
        </w:rPr>
        <w:t>A background job is created with Queued status so the web page does not need to remain open.</w:t>
      </w:r>
    </w:p>
    <w:p>
      <w:pPr>
        <w:pStyle w:val="Heading2"/>
      </w:pPr>
      <w:r>
        <w:t>4. Worker claims the job</w:t>
      </w:r>
    </w:p>
    <w:p>
      <w:pPr>
        <w:spacing w:before="0" w:after="100" w:line="288" w:lineRule="auto"/>
      </w:pPr>
      <w:r>
        <w:rPr>
          <w:rFonts w:ascii="Calibri" w:hAnsi="Calibri"/>
          <w:b w:val="0"/>
          <w:i w:val="0"/>
          <w:color w:val="0B2545"/>
          <w:sz w:val="21"/>
        </w:rPr>
        <w:t>A background service selects the queued job and marks it Processing. Duplicate workers must not process the same revision.</w:t>
      </w:r>
    </w:p>
    <w:p>
      <w:pPr>
        <w:pStyle w:val="Heading2"/>
      </w:pPr>
      <w:r>
        <w:t>5. Validation</w:t>
      </w:r>
    </w:p>
    <w:p>
      <w:pPr>
        <w:spacing w:before="0" w:after="100" w:line="288" w:lineRule="auto"/>
      </w:pPr>
      <w:r>
        <w:rPr>
          <w:rFonts w:ascii="Calibri" w:hAnsi="Calibri"/>
          <w:b w:val="0"/>
          <w:i w:val="0"/>
          <w:color w:val="0B2545"/>
          <w:sz w:val="21"/>
        </w:rPr>
        <w:t>The worker checks CentCom configuration, usable scope notes, photo references, operation access, and required identifiers.</w:t>
      </w:r>
    </w:p>
    <w:p>
      <w:pPr>
        <w:pStyle w:val="Heading2"/>
      </w:pPr>
      <w:r>
        <w:t>6. Business context</w:t>
      </w:r>
    </w:p>
    <w:p>
      <w:pPr>
        <w:spacing w:before="0" w:after="100" w:line="288" w:lineRule="auto"/>
      </w:pPr>
      <w:r>
        <w:rPr>
          <w:rFonts w:ascii="Calibri" w:hAnsi="Calibri"/>
          <w:b w:val="0"/>
          <w:i w:val="0"/>
          <w:color w:val="0B2545"/>
          <w:sz w:val="21"/>
        </w:rPr>
        <w:t>CCV loads relevant vendor catalog pricing, standard supply kits, crew rates, margin rules, additional costs, overhead policy, and material exclusions.</w:t>
      </w:r>
    </w:p>
    <w:p>
      <w:pPr>
        <w:pStyle w:val="Heading2"/>
      </w:pPr>
      <w:r>
        <w:t>7. CentCom request</w:t>
      </w:r>
    </w:p>
    <w:p>
      <w:pPr>
        <w:spacing w:before="0" w:after="100" w:line="288" w:lineRule="auto"/>
      </w:pPr>
      <w:r>
        <w:rPr>
          <w:rFonts w:ascii="Calibri" w:hAnsi="Calibri"/>
          <w:b w:val="0"/>
          <w:i w:val="0"/>
          <w:color w:val="0B2545"/>
          <w:sz w:val="21"/>
        </w:rPr>
        <w:t>CCV sends a task-specific instruction asking for structured materials, quantities, assumptions, estimated project days, confidence, and warnings.</w:t>
      </w:r>
    </w:p>
    <w:p>
      <w:pPr>
        <w:pStyle w:val="Heading2"/>
      </w:pPr>
      <w:r>
        <w:t>8. Response validation</w:t>
      </w:r>
    </w:p>
    <w:p>
      <w:pPr>
        <w:spacing w:before="0" w:after="100" w:line="288" w:lineRule="auto"/>
      </w:pPr>
      <w:r>
        <w:rPr>
          <w:rFonts w:ascii="Calibri" w:hAnsi="Calibri"/>
          <w:b w:val="0"/>
          <w:i w:val="0"/>
          <w:color w:val="0B2545"/>
          <w:sz w:val="21"/>
        </w:rPr>
        <w:t>CCV verifies the response format and rejects incomplete or unsafe output instead of silently guessing.</w:t>
      </w:r>
    </w:p>
    <w:p>
      <w:pPr>
        <w:pStyle w:val="Heading2"/>
      </w:pPr>
      <w:r>
        <w:t>9. Material normalization</w:t>
      </w:r>
    </w:p>
    <w:p>
      <w:pPr>
        <w:spacing w:before="0" w:after="100" w:line="288" w:lineRule="auto"/>
      </w:pPr>
      <w:r>
        <w:rPr>
          <w:rFonts w:ascii="Calibri" w:hAnsi="Calibri"/>
          <w:b w:val="0"/>
          <w:i w:val="0"/>
          <w:color w:val="0B2545"/>
          <w:sz w:val="21"/>
        </w:rPr>
        <w:t>Descriptions, units, quantities, waste, and categories are normalized for matching.</w:t>
      </w:r>
    </w:p>
    <w:p>
      <w:pPr>
        <w:pStyle w:val="Heading2"/>
      </w:pPr>
      <w:r>
        <w:t>10. Catalog matching</w:t>
      </w:r>
    </w:p>
    <w:p>
      <w:pPr>
        <w:spacing w:before="0" w:after="100" w:line="288" w:lineRule="auto"/>
      </w:pPr>
      <w:r>
        <w:rPr>
          <w:rFonts w:ascii="Calibri" w:hAnsi="Calibri"/>
          <w:b w:val="0"/>
          <w:i w:val="0"/>
          <w:color w:val="0B2545"/>
          <w:sz w:val="21"/>
        </w:rPr>
        <w:t>Each recommended material is matched to an active vendor catalog item. Uncertain matches remain Unmatched for human review.</w:t>
      </w:r>
    </w:p>
    <w:p>
      <w:pPr>
        <w:pStyle w:val="Heading2"/>
      </w:pPr>
      <w:r>
        <w:t>11. Exclusions and kits</w:t>
      </w:r>
    </w:p>
    <w:p>
      <w:pPr>
        <w:spacing w:before="0" w:after="100" w:line="288" w:lineRule="auto"/>
      </w:pPr>
      <w:r>
        <w:rPr>
          <w:rFonts w:ascii="Calibri" w:hAnsi="Calibri"/>
          <w:b w:val="0"/>
          <w:i w:val="0"/>
          <w:color w:val="0B2545"/>
          <w:sz w:val="21"/>
        </w:rPr>
        <w:t>Policy exclusions prevent duplicate or inappropriate suggestions; required standard kits are added automatically.</w:t>
      </w:r>
    </w:p>
    <w:p>
      <w:pPr>
        <w:pStyle w:val="Heading2"/>
      </w:pPr>
      <w:r>
        <w:t>12. Cost calculation</w:t>
      </w:r>
    </w:p>
    <w:p>
      <w:pPr>
        <w:spacing w:before="0" w:after="100" w:line="288" w:lineRule="auto"/>
      </w:pPr>
      <w:r>
        <w:rPr>
          <w:rFonts w:ascii="Calibri" w:hAnsi="Calibri"/>
          <w:b w:val="0"/>
          <w:i w:val="0"/>
          <w:color w:val="0B2545"/>
          <w:sz w:val="21"/>
        </w:rPr>
        <w:t>CCV calculates materials, labor, task/project costs, overhead, contingency, and margin using the applicable policy revision.</w:t>
      </w:r>
    </w:p>
    <w:p>
      <w:pPr>
        <w:pStyle w:val="Heading2"/>
      </w:pPr>
      <w:r>
        <w:t>13. Save revision</w:t>
      </w:r>
    </w:p>
    <w:p>
      <w:pPr>
        <w:spacing w:before="0" w:after="100" w:line="288" w:lineRule="auto"/>
      </w:pPr>
      <w:r>
        <w:rPr>
          <w:rFonts w:ascii="Calibri" w:hAnsi="Calibri"/>
          <w:b w:val="0"/>
          <w:i w:val="0"/>
          <w:color w:val="0B2545"/>
          <w:sz w:val="21"/>
        </w:rPr>
        <w:t>The raw technical response, normalized recommendations, matches, exclusions, assumptions, costs, errors, and timestamps are saved.</w:t>
      </w:r>
    </w:p>
    <w:p>
      <w:pPr>
        <w:pStyle w:val="Heading2"/>
      </w:pPr>
      <w:r>
        <w:t>14. Finish or fail</w:t>
      </w:r>
    </w:p>
    <w:p>
      <w:pPr>
        <w:spacing w:before="0" w:after="100" w:line="288" w:lineRule="auto"/>
      </w:pPr>
      <w:r>
        <w:rPr>
          <w:rFonts w:ascii="Calibri" w:hAnsi="Calibri"/>
          <w:b w:val="0"/>
          <w:i w:val="0"/>
          <w:color w:val="0B2545"/>
          <w:sz w:val="21"/>
        </w:rPr>
        <w:t>The job becomes Completed, Needs Review, or Failed. A failed revision retains a readable reason and can be retried.</w:t>
      </w:r>
    </w:p>
    <w:p>
      <w:pPr>
        <w:pStyle w:val="Heading1"/>
      </w:pPr>
      <w:r>
        <w:t>7. What should be visible in the operations console</w:t>
      </w:r>
    </w:p>
    <w:tbl>
      <w:tblPr>
        <w:tblStyle w:val="TableGrid"/>
        <w:tblW w:type="dxa" w:w="9360"/>
        <w:tblLayout w:type="fixed"/>
        <w:tblLook w:firstColumn="1" w:firstRow="1" w:lastColumn="0" w:lastRow="0" w:noHBand="0" w:noVBand="1" w:val="04A0"/>
      </w:tblPr>
      <w:tblGrid>
        <w:gridCol w:w="3120"/>
        <w:gridCol w:w="3120"/>
        <w:gridCol w:w="3120"/>
      </w:tblGrid>
      <w:tr>
        <w:trPr>
          <w:tblHeader w:val="true"/>
        </w:trPr>
        <w:tc>
          <w:tcPr>
            <w:tcW w:type="dxa" w:w="1800"/>
            <w:shd w:fill="0B2545"/>
            <w:tcMar>
              <w:top w:w="100" w:type="dxa"/>
              <w:start w:w="140" w:type="dxa"/>
              <w:bottom w:w="100" w:type="dxa"/>
              <w:end w:w="140" w:type="dxa"/>
            </w:tcMar>
            <w:vAlign w:val="center"/>
          </w:tcPr>
          <w:p>
            <w:r>
              <w:rPr>
                <w:rFonts w:ascii="Calibri" w:hAnsi="Calibri"/>
                <w:b/>
                <w:i w:val="0"/>
                <w:color w:val="FFFFFF"/>
                <w:sz w:val="19"/>
              </w:rPr>
              <w:t>Event</w:t>
            </w:r>
          </w:p>
        </w:tc>
        <w:tc>
          <w:tcPr>
            <w:tcW w:type="dxa" w:w="4608"/>
            <w:shd w:fill="0B2545"/>
            <w:tcMar>
              <w:top w:w="100" w:type="dxa"/>
              <w:start w:w="140" w:type="dxa"/>
              <w:bottom w:w="100" w:type="dxa"/>
              <w:end w:w="140" w:type="dxa"/>
            </w:tcMar>
            <w:vAlign w:val="center"/>
          </w:tcPr>
          <w:p>
            <w:r>
              <w:rPr>
                <w:rFonts w:ascii="Calibri" w:hAnsi="Calibri"/>
                <w:b/>
                <w:i w:val="0"/>
                <w:color w:val="FFFFFF"/>
                <w:sz w:val="19"/>
              </w:rPr>
              <w:t>Minimum information</w:t>
            </w:r>
          </w:p>
        </w:tc>
        <w:tc>
          <w:tcPr>
            <w:tcW w:type="dxa" w:w="2951"/>
            <w:shd w:fill="0B2545"/>
            <w:tcMar>
              <w:top w:w="100" w:type="dxa"/>
              <w:start w:w="140" w:type="dxa"/>
              <w:bottom w:w="100" w:type="dxa"/>
              <w:end w:w="140" w:type="dxa"/>
            </w:tcMar>
            <w:vAlign w:val="center"/>
          </w:tcPr>
          <w:p>
            <w:r>
              <w:rPr>
                <w:rFonts w:ascii="Calibri" w:hAnsi="Calibri"/>
                <w:b/>
                <w:i w:val="0"/>
                <w:color w:val="FFFFFF"/>
                <w:sz w:val="19"/>
              </w:rPr>
              <w:t>Why it matters</w:t>
            </w:r>
          </w:p>
        </w:tc>
      </w:tr>
      <w:tr>
        <w:tc>
          <w:tcPr>
            <w:tcW w:type="dxa" w:w="1800"/>
            <w:tcMar>
              <w:top w:w="100" w:type="dxa"/>
              <w:start w:w="140" w:type="dxa"/>
              <w:bottom w:w="100" w:type="dxa"/>
              <w:end w:w="140" w:type="dxa"/>
            </w:tcMar>
            <w:vAlign w:val="center"/>
          </w:tcPr>
          <w:p>
            <w:r>
              <w:rPr>
                <w:rFonts w:ascii="Calibri" w:hAnsi="Calibri"/>
                <w:b/>
                <w:i w:val="0"/>
                <w:color w:val="0B2545"/>
                <w:sz w:val="18"/>
              </w:rPr>
              <w:t>Queued</w:t>
            </w:r>
          </w:p>
        </w:tc>
        <w:tc>
          <w:tcPr>
            <w:tcW w:type="dxa" w:w="4608"/>
            <w:tcMar>
              <w:top w:w="100" w:type="dxa"/>
              <w:start w:w="140" w:type="dxa"/>
              <w:bottom w:w="100" w:type="dxa"/>
              <w:end w:w="140" w:type="dxa"/>
            </w:tcMar>
            <w:vAlign w:val="center"/>
          </w:tcPr>
          <w:p>
            <w:r>
              <w:rPr>
                <w:rFonts w:ascii="Calibri" w:hAnsi="Calibri"/>
                <w:b w:val="0"/>
                <w:i w:val="0"/>
                <w:color w:val="0B2545"/>
                <w:sz w:val="18"/>
              </w:rPr>
              <w:t>Time, operation, estimate, task, revision, requesting user.</w:t>
            </w:r>
          </w:p>
        </w:tc>
        <w:tc>
          <w:tcPr>
            <w:tcW w:type="dxa" w:w="2951"/>
            <w:tcMar>
              <w:top w:w="100" w:type="dxa"/>
              <w:start w:w="140" w:type="dxa"/>
              <w:bottom w:w="100" w:type="dxa"/>
              <w:end w:w="140" w:type="dxa"/>
            </w:tcMar>
            <w:vAlign w:val="center"/>
          </w:tcPr>
          <w:p>
            <w:r>
              <w:rPr>
                <w:rFonts w:ascii="Calibri" w:hAnsi="Calibri"/>
                <w:b w:val="0"/>
                <w:i w:val="0"/>
                <w:color w:val="0B2545"/>
                <w:sz w:val="18"/>
              </w:rPr>
              <w:t>Shows that the request was accepted.</w:t>
            </w:r>
          </w:p>
        </w:tc>
      </w:tr>
      <w:tr>
        <w:tc>
          <w:tcPr>
            <w:tcW w:type="dxa" w:w="1800"/>
            <w:shd w:fill="F3F5F8"/>
            <w:tcMar>
              <w:top w:w="100" w:type="dxa"/>
              <w:start w:w="140" w:type="dxa"/>
              <w:bottom w:w="100" w:type="dxa"/>
              <w:end w:w="140" w:type="dxa"/>
            </w:tcMar>
            <w:vAlign w:val="center"/>
          </w:tcPr>
          <w:p>
            <w:r>
              <w:rPr>
                <w:rFonts w:ascii="Calibri" w:hAnsi="Calibri"/>
                <w:b/>
                <w:i w:val="0"/>
                <w:color w:val="0B2545"/>
                <w:sz w:val="18"/>
              </w:rPr>
              <w:t>Processing</w:t>
            </w:r>
          </w:p>
        </w:tc>
        <w:tc>
          <w:tcPr>
            <w:tcW w:type="dxa" w:w="4608"/>
            <w:shd w:fill="F3F5F8"/>
            <w:tcMar>
              <w:top w:w="100" w:type="dxa"/>
              <w:start w:w="140" w:type="dxa"/>
              <w:bottom w:w="100" w:type="dxa"/>
              <w:end w:w="140" w:type="dxa"/>
            </w:tcMar>
            <w:vAlign w:val="center"/>
          </w:tcPr>
          <w:p>
            <w:r>
              <w:rPr>
                <w:rFonts w:ascii="Calibri" w:hAnsi="Calibri"/>
                <w:b w:val="0"/>
                <w:i w:val="0"/>
                <w:color w:val="0B2545"/>
                <w:sz w:val="18"/>
              </w:rPr>
              <w:t>Worker/service, model, start time, correlation ID.</w:t>
            </w:r>
          </w:p>
        </w:tc>
        <w:tc>
          <w:tcPr>
            <w:tcW w:type="dxa" w:w="2951"/>
            <w:shd w:fill="F3F5F8"/>
            <w:tcMar>
              <w:top w:w="100" w:type="dxa"/>
              <w:start w:w="140" w:type="dxa"/>
              <w:bottom w:w="100" w:type="dxa"/>
              <w:end w:w="140" w:type="dxa"/>
            </w:tcMar>
            <w:vAlign w:val="center"/>
          </w:tcPr>
          <w:p>
            <w:r>
              <w:rPr>
                <w:rFonts w:ascii="Calibri" w:hAnsi="Calibri"/>
                <w:b w:val="0"/>
                <w:i w:val="0"/>
                <w:color w:val="0B2545"/>
                <w:sz w:val="18"/>
              </w:rPr>
              <w:t>Shows where the job is running.</w:t>
            </w:r>
          </w:p>
        </w:tc>
      </w:tr>
      <w:tr>
        <w:tc>
          <w:tcPr>
            <w:tcW w:type="dxa" w:w="1800"/>
            <w:tcMar>
              <w:top w:w="100" w:type="dxa"/>
              <w:start w:w="140" w:type="dxa"/>
              <w:bottom w:w="100" w:type="dxa"/>
              <w:end w:w="140" w:type="dxa"/>
            </w:tcMar>
            <w:vAlign w:val="center"/>
          </w:tcPr>
          <w:p>
            <w:r>
              <w:rPr>
                <w:rFonts w:ascii="Calibri" w:hAnsi="Calibri"/>
                <w:b/>
                <w:i w:val="0"/>
                <w:color w:val="0B2545"/>
                <w:sz w:val="18"/>
              </w:rPr>
              <w:t>Completed</w:t>
            </w:r>
          </w:p>
        </w:tc>
        <w:tc>
          <w:tcPr>
            <w:tcW w:type="dxa" w:w="4608"/>
            <w:tcMar>
              <w:top w:w="100" w:type="dxa"/>
              <w:start w:w="140" w:type="dxa"/>
              <w:bottom w:w="100" w:type="dxa"/>
              <w:end w:w="140" w:type="dxa"/>
            </w:tcMar>
            <w:vAlign w:val="center"/>
          </w:tcPr>
          <w:p>
            <w:r>
              <w:rPr>
                <w:rFonts w:ascii="Calibri" w:hAnsi="Calibri"/>
                <w:b w:val="0"/>
                <w:i w:val="0"/>
                <w:color w:val="0B2545"/>
                <w:sz w:val="18"/>
              </w:rPr>
              <w:t>Duration, material count, matched/unmatched count, cost totals, warnings.</w:t>
            </w:r>
          </w:p>
        </w:tc>
        <w:tc>
          <w:tcPr>
            <w:tcW w:type="dxa" w:w="2951"/>
            <w:tcMar>
              <w:top w:w="100" w:type="dxa"/>
              <w:start w:w="140" w:type="dxa"/>
              <w:bottom w:w="100" w:type="dxa"/>
              <w:end w:w="140" w:type="dxa"/>
            </w:tcMar>
            <w:vAlign w:val="center"/>
          </w:tcPr>
          <w:p>
            <w:r>
              <w:rPr>
                <w:rFonts w:ascii="Calibri" w:hAnsi="Calibri"/>
                <w:b w:val="0"/>
                <w:i w:val="0"/>
                <w:color w:val="0B2545"/>
                <w:sz w:val="18"/>
              </w:rPr>
              <w:t>Shows success and review needs.</w:t>
            </w:r>
          </w:p>
        </w:tc>
      </w:tr>
      <w:tr>
        <w:tc>
          <w:tcPr>
            <w:tcW w:type="dxa" w:w="1800"/>
            <w:shd w:fill="F3F5F8"/>
            <w:tcMar>
              <w:top w:w="100" w:type="dxa"/>
              <w:start w:w="140" w:type="dxa"/>
              <w:bottom w:w="100" w:type="dxa"/>
              <w:end w:w="140" w:type="dxa"/>
            </w:tcMar>
            <w:vAlign w:val="center"/>
          </w:tcPr>
          <w:p>
            <w:r>
              <w:rPr>
                <w:rFonts w:ascii="Calibri" w:hAnsi="Calibri"/>
                <w:b/>
                <w:i w:val="0"/>
                <w:color w:val="0B2545"/>
                <w:sz w:val="18"/>
              </w:rPr>
              <w:t>Needs Review</w:t>
            </w:r>
          </w:p>
        </w:tc>
        <w:tc>
          <w:tcPr>
            <w:tcW w:type="dxa" w:w="4608"/>
            <w:shd w:fill="F3F5F8"/>
            <w:tcMar>
              <w:top w:w="100" w:type="dxa"/>
              <w:start w:w="140" w:type="dxa"/>
              <w:bottom w:w="100" w:type="dxa"/>
              <w:end w:w="140" w:type="dxa"/>
            </w:tcMar>
            <w:vAlign w:val="center"/>
          </w:tcPr>
          <w:p>
            <w:r>
              <w:rPr>
                <w:rFonts w:ascii="Calibri" w:hAnsi="Calibri"/>
                <w:b w:val="0"/>
                <w:i w:val="0"/>
                <w:color w:val="0B2545"/>
                <w:sz w:val="18"/>
              </w:rPr>
              <w:t>Missing prices, low confidence, exclusions, or questionable quantities.</w:t>
            </w:r>
          </w:p>
        </w:tc>
        <w:tc>
          <w:tcPr>
            <w:tcW w:type="dxa" w:w="2951"/>
            <w:shd w:fill="F3F5F8"/>
            <w:tcMar>
              <w:top w:w="100" w:type="dxa"/>
              <w:start w:w="140" w:type="dxa"/>
              <w:bottom w:w="100" w:type="dxa"/>
              <w:end w:w="140" w:type="dxa"/>
            </w:tcMar>
            <w:vAlign w:val="center"/>
          </w:tcPr>
          <w:p>
            <w:r>
              <w:rPr>
                <w:rFonts w:ascii="Calibri" w:hAnsi="Calibri"/>
                <w:b w:val="0"/>
                <w:i w:val="0"/>
                <w:color w:val="0B2545"/>
                <w:sz w:val="18"/>
              </w:rPr>
              <w:t>Routes work to an administrator.</w:t>
            </w:r>
          </w:p>
        </w:tc>
      </w:tr>
      <w:tr>
        <w:tc>
          <w:tcPr>
            <w:tcW w:type="dxa" w:w="1800"/>
            <w:tcMar>
              <w:top w:w="100" w:type="dxa"/>
              <w:start w:w="140" w:type="dxa"/>
              <w:bottom w:w="100" w:type="dxa"/>
              <w:end w:w="140" w:type="dxa"/>
            </w:tcMar>
            <w:vAlign w:val="center"/>
          </w:tcPr>
          <w:p>
            <w:r>
              <w:rPr>
                <w:rFonts w:ascii="Calibri" w:hAnsi="Calibri"/>
                <w:b/>
                <w:i w:val="0"/>
                <w:color w:val="0B2545"/>
                <w:sz w:val="18"/>
              </w:rPr>
              <w:t>Failed</w:t>
            </w:r>
          </w:p>
        </w:tc>
        <w:tc>
          <w:tcPr>
            <w:tcW w:type="dxa" w:w="4608"/>
            <w:tcMar>
              <w:top w:w="100" w:type="dxa"/>
              <w:start w:w="140" w:type="dxa"/>
              <w:bottom w:w="100" w:type="dxa"/>
              <w:end w:w="140" w:type="dxa"/>
            </w:tcMar>
            <w:vAlign w:val="center"/>
          </w:tcPr>
          <w:p>
            <w:r>
              <w:rPr>
                <w:rFonts w:ascii="Calibri" w:hAnsi="Calibri"/>
                <w:b w:val="0"/>
                <w:i w:val="0"/>
                <w:color w:val="0B2545"/>
                <w:sz w:val="18"/>
              </w:rPr>
              <w:t>Module, readable error, technical details, retry count, next action.</w:t>
            </w:r>
          </w:p>
        </w:tc>
        <w:tc>
          <w:tcPr>
            <w:tcW w:type="dxa" w:w="2951"/>
            <w:tcMar>
              <w:top w:w="100" w:type="dxa"/>
              <w:start w:w="140" w:type="dxa"/>
              <w:bottom w:w="100" w:type="dxa"/>
              <w:end w:w="140" w:type="dxa"/>
            </w:tcMar>
            <w:vAlign w:val="center"/>
          </w:tcPr>
          <w:p>
            <w:r>
              <w:rPr>
                <w:rFonts w:ascii="Calibri" w:hAnsi="Calibri"/>
                <w:b w:val="0"/>
                <w:i w:val="0"/>
                <w:color w:val="0B2545"/>
                <w:sz w:val="18"/>
              </w:rPr>
              <w:t>Makes failures diagnosable.</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Consolidated logging: </w:t>
            </w:r>
            <w:r>
              <w:rPr>
                <w:rFonts w:ascii="Calibri" w:hAnsi="Calibri"/>
                <w:b w:val="0"/>
                <w:i w:val="0"/>
                <w:color w:val="0B2545"/>
                <w:sz w:val="21"/>
              </w:rPr>
              <w:t>When UI and APIs run on different machines, every service should write events using the same estimate ID, task ID, revision, operation, and correlation ID. CCV can then display one chronological timeline.</w:t>
            </w:r>
          </w:p>
        </w:tc>
      </w:tr>
    </w:tbl>
    <w:p>
      <w:pPr>
        <w:spacing w:before="0" w:after="40" w:line="288" w:lineRule="auto"/>
      </w:pPr>
      <w:r>
        <w:rPr>
          <w:rFonts w:ascii="Calibri" w:hAnsi="Calibri"/>
          <w:b w:val="0"/>
          <w:i w:val="0"/>
          <w:color w:val="0B2545"/>
          <w:sz w:val="22"/>
        </w:rPr>
      </w:r>
    </w:p>
    <w:p>
      <w:pPr>
        <w:pStyle w:val="Heading1"/>
      </w:pPr>
      <w:r>
        <w:t>8. Proposed production outputs - not finalized</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Design status: </w:t>
            </w:r>
            <w:r>
              <w:rPr>
                <w:rFonts w:ascii="Calibri" w:hAnsi="Calibri"/>
                <w:b w:val="0"/>
                <w:i w:val="0"/>
                <w:color w:val="0B2545"/>
                <w:sz w:val="21"/>
              </w:rPr>
              <w:t>The following outputs are recommended next steps, not a statement that they are fully implemented. Business approval, security decisions, supplier preferences, and legal review are still required.</w:t>
            </w:r>
          </w:p>
        </w:tc>
      </w:tr>
    </w:tbl>
    <w:p>
      <w:pPr>
        <w:spacing w:before="0" w:after="40" w:line="288" w:lineRule="auto"/>
      </w:pPr>
      <w:r>
        <w:rPr>
          <w:rFonts w:ascii="Calibri" w:hAnsi="Calibri"/>
          <w:b w:val="0"/>
          <w:i w:val="0"/>
          <w:color w:val="0B2545"/>
          <w:sz w:val="22"/>
        </w:rPr>
      </w:r>
    </w:p>
    <w:p>
      <w:pPr>
        <w:pStyle w:val="Heading2"/>
      </w:pPr>
      <w:r>
        <w:t>A. Supplier material list or request for pricing</w:t>
      </w:r>
    </w:p>
    <w:p>
      <w:pPr>
        <w:pStyle w:val="ListBullet"/>
        <w:spacing w:after="80"/>
        <w:ind w:left="547" w:hanging="274"/>
      </w:pPr>
      <w:r>
        <w:rPr>
          <w:rFonts w:ascii="Calibri" w:hAnsi="Calibri"/>
          <w:b w:val="0"/>
          <w:i w:val="0"/>
          <w:color w:val="0B2545"/>
          <w:sz w:val="21"/>
        </w:rPr>
        <w:t>Generate one supplier-specific list from approved, catalog-matched items.</w:t>
      </w:r>
    </w:p>
    <w:p>
      <w:pPr>
        <w:pStyle w:val="ListBullet"/>
        <w:spacing w:after="80"/>
        <w:ind w:left="547" w:hanging="274"/>
      </w:pPr>
      <w:r>
        <w:rPr>
          <w:rFonts w:ascii="Calibri" w:hAnsi="Calibri"/>
          <w:b w:val="0"/>
          <w:i w:val="0"/>
          <w:color w:val="0B2545"/>
          <w:sz w:val="21"/>
        </w:rPr>
        <w:t>Include estimate/job reference, delivery location, quantities, units, requested delivery date, and special instructions.</w:t>
      </w:r>
    </w:p>
    <w:p>
      <w:pPr>
        <w:pStyle w:val="ListBullet"/>
        <w:spacing w:after="80"/>
        <w:ind w:left="547" w:hanging="274"/>
      </w:pPr>
      <w:r>
        <w:rPr>
          <w:rFonts w:ascii="Calibri" w:hAnsi="Calibri"/>
          <w:b w:val="0"/>
          <w:i w:val="0"/>
          <w:color w:val="0B2545"/>
          <w:sz w:val="21"/>
        </w:rPr>
        <w:t>Do not include the customer’s selling price, margin, internal overhead, or unrelated personal information.</w:t>
      </w:r>
    </w:p>
    <w:p>
      <w:pPr>
        <w:pStyle w:val="ListBullet"/>
        <w:spacing w:after="80"/>
        <w:ind w:left="547" w:hanging="274"/>
      </w:pPr>
      <w:r>
        <w:rPr>
          <w:rFonts w:ascii="Calibri" w:hAnsi="Calibri"/>
          <w:b w:val="0"/>
          <w:i w:val="0"/>
          <w:color w:val="0B2545"/>
          <w:sz w:val="21"/>
        </w:rPr>
        <w:t>Require an administrator to review and approve the email before it is sent, at least during the initial rollout.</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Recommended trigger: </w:t>
            </w:r>
            <w:r>
              <w:rPr>
                <w:rFonts w:ascii="Calibri" w:hAnsi="Calibri"/>
                <w:b w:val="0"/>
                <w:i w:val="0"/>
                <w:color w:val="0B2545"/>
                <w:sz w:val="21"/>
              </w:rPr>
              <w:t>Estimate analysis approved and material selections locked - not merely when AI processing completes.</w:t>
            </w:r>
          </w:p>
        </w:tc>
      </w:tr>
    </w:tbl>
    <w:p>
      <w:pPr>
        <w:spacing w:before="0" w:after="40" w:line="288" w:lineRule="auto"/>
      </w:pPr>
      <w:r>
        <w:rPr>
          <w:rFonts w:ascii="Calibri" w:hAnsi="Calibri"/>
          <w:b w:val="0"/>
          <w:i w:val="0"/>
          <w:color w:val="0B2545"/>
          <w:sz w:val="22"/>
        </w:rPr>
      </w:r>
    </w:p>
    <w:p>
      <w:pPr>
        <w:pStyle w:val="Heading2"/>
      </w:pPr>
      <w:r>
        <w:t>B. Internal cost analysis for dashboards</w:t>
      </w:r>
    </w:p>
    <w:p>
      <w:pPr>
        <w:pStyle w:val="ListBullet"/>
        <w:spacing w:after="80"/>
        <w:ind w:left="547" w:hanging="274"/>
      </w:pPr>
      <w:r>
        <w:rPr>
          <w:rFonts w:ascii="Calibri" w:hAnsi="Calibri"/>
          <w:b w:val="0"/>
          <w:i w:val="0"/>
          <w:color w:val="0B2545"/>
          <w:sz w:val="21"/>
        </w:rPr>
        <w:t>Display material, labor, task costs, overhead, contingency, total cost, suggested price, and margin.</w:t>
      </w:r>
    </w:p>
    <w:p>
      <w:pPr>
        <w:pStyle w:val="ListBullet"/>
        <w:spacing w:after="80"/>
        <w:ind w:left="547" w:hanging="274"/>
      </w:pPr>
      <w:r>
        <w:rPr>
          <w:rFonts w:ascii="Calibri" w:hAnsi="Calibri"/>
          <w:b w:val="0"/>
          <w:i w:val="0"/>
          <w:color w:val="0B2545"/>
          <w:sz w:val="21"/>
        </w:rPr>
        <w:t>Show the exact analysis and policy revisions used.</w:t>
      </w:r>
    </w:p>
    <w:p>
      <w:pPr>
        <w:pStyle w:val="ListBullet"/>
        <w:spacing w:after="80"/>
        <w:ind w:left="547" w:hanging="274"/>
      </w:pPr>
      <w:r>
        <w:rPr>
          <w:rFonts w:ascii="Calibri" w:hAnsi="Calibri"/>
          <w:b w:val="0"/>
          <w:i w:val="0"/>
          <w:color w:val="0B2545"/>
          <w:sz w:val="21"/>
        </w:rPr>
        <w:t>Show unmatched items, missing prices, low-confidence recommendations, and overrides.</w:t>
      </w:r>
    </w:p>
    <w:p>
      <w:pPr>
        <w:pStyle w:val="ListBullet"/>
        <w:spacing w:after="80"/>
        <w:ind w:left="547" w:hanging="274"/>
      </w:pPr>
      <w:r>
        <w:rPr>
          <w:rFonts w:ascii="Calibri" w:hAnsi="Calibri"/>
          <w:b w:val="0"/>
          <w:i w:val="0"/>
          <w:color w:val="0B2545"/>
          <w:sz w:val="21"/>
        </w:rPr>
        <w:t>Allow drill-down from group to local operation, estimate, task, and individual cost line.</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Audience: </w:t>
            </w:r>
            <w:r>
              <w:rPr>
                <w:rFonts w:ascii="Calibri" w:hAnsi="Calibri"/>
                <w:b w:val="0"/>
                <w:i w:val="0"/>
                <w:color w:val="0B2545"/>
                <w:sz w:val="21"/>
              </w:rPr>
              <w:t>Administrators and authorized local operators. Internal costs and margins should never appear on a customer-facing page.</w:t>
            </w:r>
          </w:p>
        </w:tc>
      </w:tr>
    </w:tbl>
    <w:p>
      <w:pPr>
        <w:spacing w:before="0" w:after="40" w:line="288" w:lineRule="auto"/>
      </w:pPr>
      <w:r>
        <w:rPr>
          <w:rFonts w:ascii="Calibri" w:hAnsi="Calibri"/>
          <w:b w:val="0"/>
          <w:i w:val="0"/>
          <w:color w:val="0B2545"/>
          <w:sz w:val="22"/>
        </w:rPr>
      </w:r>
    </w:p>
    <w:p>
      <w:pPr>
        <w:pStyle w:val="Heading2"/>
      </w:pPr>
      <w:r>
        <w:t>C. Customer-facing polished estimate</w:t>
      </w:r>
    </w:p>
    <w:p>
      <w:pPr>
        <w:pStyle w:val="ListBullet"/>
        <w:spacing w:after="80"/>
        <w:ind w:left="547" w:hanging="274"/>
      </w:pPr>
      <w:r>
        <w:rPr>
          <w:rFonts w:ascii="Calibri" w:hAnsi="Calibri"/>
          <w:b w:val="0"/>
          <w:i w:val="0"/>
          <w:color w:val="0B2545"/>
          <w:sz w:val="21"/>
        </w:rPr>
        <w:t>Customer and property information, project overview, task-by-task scope, selections, and pricing.</w:t>
      </w:r>
    </w:p>
    <w:p>
      <w:pPr>
        <w:pStyle w:val="ListBullet"/>
        <w:spacing w:after="80"/>
        <w:ind w:left="547" w:hanging="274"/>
      </w:pPr>
      <w:r>
        <w:rPr>
          <w:rFonts w:ascii="Calibri" w:hAnsi="Calibri"/>
          <w:b w:val="0"/>
          <w:i w:val="0"/>
          <w:color w:val="0B2545"/>
          <w:sz w:val="21"/>
        </w:rPr>
        <w:t>Clear inclusions, exclusions, allowances, change-order rules, payment schedule, expiration date, and signature/acceptance.</w:t>
      </w:r>
    </w:p>
    <w:p>
      <w:pPr>
        <w:pStyle w:val="ListBullet"/>
        <w:spacing w:after="80"/>
        <w:ind w:left="547" w:hanging="274"/>
      </w:pPr>
      <w:r>
        <w:rPr>
          <w:rFonts w:ascii="Calibri" w:hAnsi="Calibri"/>
          <w:b w:val="0"/>
          <w:i w:val="0"/>
          <w:color w:val="0B2545"/>
          <w:sz w:val="21"/>
        </w:rPr>
        <w:t>Approved photographs or diagrams only when they help explain the work.</w:t>
      </w:r>
    </w:p>
    <w:p>
      <w:pPr>
        <w:pStyle w:val="ListBullet"/>
        <w:spacing w:after="80"/>
        <w:ind w:left="547" w:hanging="274"/>
      </w:pPr>
      <w:r>
        <w:rPr>
          <w:rFonts w:ascii="Calibri" w:hAnsi="Calibri"/>
          <w:b w:val="0"/>
          <w:i w:val="0"/>
          <w:color w:val="0B2545"/>
          <w:sz w:val="21"/>
        </w:rPr>
        <w:t>No raw AI response, confidence score, vendor cost, internal labor cost, overhead, or margin.</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DECEC"/>
          </w:tcPr>
          <w:p>
            <w:r>
              <w:rPr>
                <w:rFonts w:ascii="Calibri" w:hAnsi="Calibri"/>
                <w:b/>
                <w:i w:val="0"/>
                <w:color w:val="9B1C1C"/>
                <w:sz w:val="21"/>
              </w:rPr>
              <w:t xml:space="preserve">Legal gate: </w:t>
            </w:r>
            <w:r>
              <w:rPr>
                <w:rFonts w:ascii="Calibri" w:hAnsi="Calibri"/>
                <w:b w:val="0"/>
                <w:i w:val="0"/>
                <w:color w:val="0B2545"/>
                <w:sz w:val="21"/>
              </w:rPr>
              <w:t>Customer terms and legal language must be approved by qualified counsel for each operating jurisdiction. AI may assemble approved clauses, but it should not invent legal terms.</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Send gate: </w:t>
            </w:r>
            <w:r>
              <w:rPr>
                <w:rFonts w:ascii="Calibri" w:hAnsi="Calibri"/>
                <w:b w:val="0"/>
                <w:i w:val="0"/>
                <w:color w:val="0B2545"/>
                <w:sz w:val="21"/>
              </w:rPr>
              <w:t>The customer document should require estimator or manager approval before email delivery. Analysis completion alone should never send it.</w:t>
            </w:r>
          </w:p>
        </w:tc>
      </w:tr>
    </w:tbl>
    <w:p>
      <w:pPr>
        <w:spacing w:before="0" w:after="40" w:line="288" w:lineRule="auto"/>
      </w:pPr>
      <w:r>
        <w:rPr>
          <w:rFonts w:ascii="Calibri" w:hAnsi="Calibri"/>
          <w:b w:val="0"/>
          <w:i w:val="0"/>
          <w:color w:val="0B2545"/>
          <w:sz w:val="22"/>
        </w:rPr>
      </w:r>
    </w:p>
    <w:p>
      <w:pPr>
        <w:pStyle w:val="Heading1"/>
      </w:pPr>
      <w:r>
        <w:t>9. Recommended notifications</w:t>
      </w:r>
    </w:p>
    <w:tbl>
      <w:tblPr>
        <w:tblStyle w:val="TableGrid"/>
        <w:tblW w:type="dxa" w:w="9360"/>
        <w:tblLayout w:type="fixed"/>
        <w:tblLook w:firstColumn="1" w:firstRow="1" w:lastColumn="0" w:lastRow="0" w:noHBand="0" w:noVBand="1" w:val="04A0"/>
      </w:tblPr>
      <w:tblGrid>
        <w:gridCol w:w="2340"/>
        <w:gridCol w:w="2340"/>
        <w:gridCol w:w="2340"/>
        <w:gridCol w:w="2340"/>
      </w:tblGrid>
      <w:tr>
        <w:trPr>
          <w:tblHeader w:val="true"/>
        </w:trPr>
        <w:tc>
          <w:tcPr>
            <w:tcW w:type="dxa" w:w="2376"/>
            <w:shd w:fill="0B2545"/>
            <w:tcMar>
              <w:top w:w="100" w:type="dxa"/>
              <w:start w:w="140" w:type="dxa"/>
              <w:bottom w:w="100" w:type="dxa"/>
              <w:end w:w="140" w:type="dxa"/>
            </w:tcMar>
            <w:vAlign w:val="center"/>
          </w:tcPr>
          <w:p>
            <w:r>
              <w:rPr>
                <w:rFonts w:ascii="Calibri" w:hAnsi="Calibri"/>
                <w:b/>
                <w:i w:val="0"/>
                <w:color w:val="FFFFFF"/>
                <w:sz w:val="19"/>
              </w:rPr>
              <w:t>Notification</w:t>
            </w:r>
          </w:p>
        </w:tc>
        <w:tc>
          <w:tcPr>
            <w:tcW w:type="dxa" w:w="2448"/>
            <w:shd w:fill="0B2545"/>
            <w:tcMar>
              <w:top w:w="100" w:type="dxa"/>
              <w:start w:w="140" w:type="dxa"/>
              <w:bottom w:w="100" w:type="dxa"/>
              <w:end w:w="140" w:type="dxa"/>
            </w:tcMar>
            <w:vAlign w:val="center"/>
          </w:tcPr>
          <w:p>
            <w:r>
              <w:rPr>
                <w:rFonts w:ascii="Calibri" w:hAnsi="Calibri"/>
                <w:b/>
                <w:i w:val="0"/>
                <w:color w:val="FFFFFF"/>
                <w:sz w:val="19"/>
              </w:rPr>
              <w:t>Primary recipient</w:t>
            </w:r>
          </w:p>
        </w:tc>
        <w:tc>
          <w:tcPr>
            <w:tcW w:type="dxa" w:w="2376"/>
            <w:shd w:fill="0B2545"/>
            <w:tcMar>
              <w:top w:w="100" w:type="dxa"/>
              <w:start w:w="140" w:type="dxa"/>
              <w:bottom w:w="100" w:type="dxa"/>
              <w:end w:w="140" w:type="dxa"/>
            </w:tcMar>
            <w:vAlign w:val="center"/>
          </w:tcPr>
          <w:p>
            <w:r>
              <w:rPr>
                <w:rFonts w:ascii="Calibri" w:hAnsi="Calibri"/>
                <w:b/>
                <w:i w:val="0"/>
                <w:color w:val="FFFFFF"/>
                <w:sz w:val="19"/>
              </w:rPr>
              <w:t>Suggested channel</w:t>
            </w:r>
          </w:p>
        </w:tc>
        <w:tc>
          <w:tcPr>
            <w:tcW w:type="dxa" w:w="2160"/>
            <w:shd w:fill="0B2545"/>
            <w:tcMar>
              <w:top w:w="100" w:type="dxa"/>
              <w:start w:w="140" w:type="dxa"/>
              <w:bottom w:w="100" w:type="dxa"/>
              <w:end w:w="140" w:type="dxa"/>
            </w:tcMar>
            <w:vAlign w:val="center"/>
          </w:tcPr>
          <w:p>
            <w:r>
              <w:rPr>
                <w:rFonts w:ascii="Calibri" w:hAnsi="Calibri"/>
                <w:b/>
                <w:i w:val="0"/>
                <w:color w:val="FFFFFF"/>
                <w:sz w:val="19"/>
              </w:rPr>
              <w:t>Approval needed?</w:t>
            </w:r>
          </w:p>
        </w:tc>
      </w:tr>
      <w:tr>
        <w:tc>
          <w:tcPr>
            <w:tcW w:type="dxa" w:w="2376"/>
            <w:tcMar>
              <w:top w:w="100" w:type="dxa"/>
              <w:start w:w="140" w:type="dxa"/>
              <w:bottom w:w="100" w:type="dxa"/>
              <w:end w:w="140" w:type="dxa"/>
            </w:tcMar>
            <w:vAlign w:val="center"/>
          </w:tcPr>
          <w:p>
            <w:r>
              <w:rPr>
                <w:rFonts w:ascii="Calibri" w:hAnsi="Calibri"/>
                <w:b/>
                <w:i w:val="0"/>
                <w:color w:val="0B2545"/>
                <w:sz w:val="18"/>
              </w:rPr>
              <w:t>Analysis queued</w:t>
            </w:r>
          </w:p>
        </w:tc>
        <w:tc>
          <w:tcPr>
            <w:tcW w:type="dxa" w:w="2448"/>
            <w:tcMar>
              <w:top w:w="100" w:type="dxa"/>
              <w:start w:w="140" w:type="dxa"/>
              <w:bottom w:w="100" w:type="dxa"/>
              <w:end w:w="140" w:type="dxa"/>
            </w:tcMar>
            <w:vAlign w:val="center"/>
          </w:tcPr>
          <w:p>
            <w:r>
              <w:rPr>
                <w:rFonts w:ascii="Calibri" w:hAnsi="Calibri"/>
                <w:b w:val="0"/>
                <w:i w:val="0"/>
                <w:color w:val="0B2545"/>
                <w:sz w:val="18"/>
              </w:rPr>
              <w:t>Requesting user</w:t>
            </w:r>
          </w:p>
        </w:tc>
        <w:tc>
          <w:tcPr>
            <w:tcW w:type="dxa" w:w="2376"/>
            <w:tcMar>
              <w:top w:w="100" w:type="dxa"/>
              <w:start w:w="140" w:type="dxa"/>
              <w:bottom w:w="100" w:type="dxa"/>
              <w:end w:w="140" w:type="dxa"/>
            </w:tcMar>
            <w:vAlign w:val="center"/>
          </w:tcPr>
          <w:p>
            <w:r>
              <w:rPr>
                <w:rFonts w:ascii="Calibri" w:hAnsi="Calibri"/>
                <w:b w:val="0"/>
                <w:i w:val="0"/>
                <w:color w:val="0B2545"/>
                <w:sz w:val="18"/>
              </w:rPr>
              <w:t>In-app status</w:t>
            </w:r>
          </w:p>
        </w:tc>
        <w:tc>
          <w:tcPr>
            <w:tcW w:type="dxa" w:w="2160"/>
            <w:tcMar>
              <w:top w:w="100" w:type="dxa"/>
              <w:start w:w="140" w:type="dxa"/>
              <w:bottom w:w="100" w:type="dxa"/>
              <w:end w:w="140" w:type="dxa"/>
            </w:tcMar>
            <w:vAlign w:val="center"/>
          </w:tcPr>
          <w:p>
            <w:r>
              <w:rPr>
                <w:rFonts w:ascii="Calibri" w:hAnsi="Calibri"/>
                <w:b w:val="0"/>
                <w:i w:val="0"/>
                <w:color w:val="0B2545"/>
                <w:sz w:val="18"/>
              </w:rPr>
              <w:t>No</w:t>
            </w:r>
          </w:p>
        </w:tc>
      </w:tr>
      <w:tr>
        <w:tc>
          <w:tcPr>
            <w:tcW w:type="dxa" w:w="2376"/>
            <w:shd w:fill="F3F5F8"/>
            <w:tcMar>
              <w:top w:w="100" w:type="dxa"/>
              <w:start w:w="140" w:type="dxa"/>
              <w:bottom w:w="100" w:type="dxa"/>
              <w:end w:w="140" w:type="dxa"/>
            </w:tcMar>
            <w:vAlign w:val="center"/>
          </w:tcPr>
          <w:p>
            <w:r>
              <w:rPr>
                <w:rFonts w:ascii="Calibri" w:hAnsi="Calibri"/>
                <w:b/>
                <w:i w:val="0"/>
                <w:color w:val="0B2545"/>
                <w:sz w:val="18"/>
              </w:rPr>
              <w:t>Analysis completed - clean</w:t>
            </w:r>
          </w:p>
        </w:tc>
        <w:tc>
          <w:tcPr>
            <w:tcW w:type="dxa" w:w="2448"/>
            <w:shd w:fill="F3F5F8"/>
            <w:tcMar>
              <w:top w:w="100" w:type="dxa"/>
              <w:start w:w="140" w:type="dxa"/>
              <w:bottom w:w="100" w:type="dxa"/>
              <w:end w:w="140" w:type="dxa"/>
            </w:tcMar>
            <w:vAlign w:val="center"/>
          </w:tcPr>
          <w:p>
            <w:r>
              <w:rPr>
                <w:rFonts w:ascii="Calibri" w:hAnsi="Calibri"/>
                <w:b w:val="0"/>
                <w:i w:val="0"/>
                <w:color w:val="0B2545"/>
                <w:sz w:val="18"/>
              </w:rPr>
              <w:t>Requesting user</w:t>
            </w:r>
          </w:p>
        </w:tc>
        <w:tc>
          <w:tcPr>
            <w:tcW w:type="dxa" w:w="2376"/>
            <w:shd w:fill="F3F5F8"/>
            <w:tcMar>
              <w:top w:w="100" w:type="dxa"/>
              <w:start w:w="140" w:type="dxa"/>
              <w:bottom w:w="100" w:type="dxa"/>
              <w:end w:w="140" w:type="dxa"/>
            </w:tcMar>
            <w:vAlign w:val="center"/>
          </w:tcPr>
          <w:p>
            <w:r>
              <w:rPr>
                <w:rFonts w:ascii="Calibri" w:hAnsi="Calibri"/>
                <w:b w:val="0"/>
                <w:i w:val="0"/>
                <w:color w:val="0B2545"/>
                <w:sz w:val="18"/>
              </w:rPr>
              <w:t>In-app; optional email</w:t>
            </w:r>
          </w:p>
        </w:tc>
        <w:tc>
          <w:tcPr>
            <w:tcW w:type="dxa" w:w="2160"/>
            <w:shd w:fill="F3F5F8"/>
            <w:tcMar>
              <w:top w:w="100" w:type="dxa"/>
              <w:start w:w="140" w:type="dxa"/>
              <w:bottom w:w="100" w:type="dxa"/>
              <w:end w:w="140" w:type="dxa"/>
            </w:tcMar>
            <w:vAlign w:val="center"/>
          </w:tcPr>
          <w:p>
            <w:r>
              <w:rPr>
                <w:rFonts w:ascii="Calibri" w:hAnsi="Calibri"/>
                <w:b w:val="0"/>
                <w:i w:val="0"/>
                <w:color w:val="0B2545"/>
                <w:sz w:val="18"/>
              </w:rPr>
              <w:t>No</w:t>
            </w:r>
          </w:p>
        </w:tc>
      </w:tr>
      <w:tr>
        <w:tc>
          <w:tcPr>
            <w:tcW w:type="dxa" w:w="2376"/>
            <w:tcMar>
              <w:top w:w="100" w:type="dxa"/>
              <w:start w:w="140" w:type="dxa"/>
              <w:bottom w:w="100" w:type="dxa"/>
              <w:end w:w="140" w:type="dxa"/>
            </w:tcMar>
            <w:vAlign w:val="center"/>
          </w:tcPr>
          <w:p>
            <w:r>
              <w:rPr>
                <w:rFonts w:ascii="Calibri" w:hAnsi="Calibri"/>
                <w:b/>
                <w:i w:val="0"/>
                <w:color w:val="0B2545"/>
                <w:sz w:val="18"/>
              </w:rPr>
              <w:t>Analysis needs review</w:t>
            </w:r>
          </w:p>
        </w:tc>
        <w:tc>
          <w:tcPr>
            <w:tcW w:type="dxa" w:w="2448"/>
            <w:tcMar>
              <w:top w:w="100" w:type="dxa"/>
              <w:start w:w="140" w:type="dxa"/>
              <w:bottom w:w="100" w:type="dxa"/>
              <w:end w:w="140" w:type="dxa"/>
            </w:tcMar>
            <w:vAlign w:val="center"/>
          </w:tcPr>
          <w:p>
            <w:r>
              <w:rPr>
                <w:rFonts w:ascii="Calibri" w:hAnsi="Calibri"/>
                <w:b w:val="0"/>
                <w:i w:val="0"/>
                <w:color w:val="0B2545"/>
                <w:sz w:val="18"/>
              </w:rPr>
              <w:t>Estimator + assigned administrator</w:t>
            </w:r>
          </w:p>
        </w:tc>
        <w:tc>
          <w:tcPr>
            <w:tcW w:type="dxa" w:w="2376"/>
            <w:tcMar>
              <w:top w:w="100" w:type="dxa"/>
              <w:start w:w="140" w:type="dxa"/>
              <w:bottom w:w="100" w:type="dxa"/>
              <w:end w:w="140" w:type="dxa"/>
            </w:tcMar>
            <w:vAlign w:val="center"/>
          </w:tcPr>
          <w:p>
            <w:r>
              <w:rPr>
                <w:rFonts w:ascii="Calibri" w:hAnsi="Calibri"/>
                <w:b w:val="0"/>
                <w:i w:val="0"/>
                <w:color w:val="0B2545"/>
                <w:sz w:val="18"/>
              </w:rPr>
              <w:t>In-app + email</w:t>
            </w:r>
          </w:p>
        </w:tc>
        <w:tc>
          <w:tcPr>
            <w:tcW w:type="dxa" w:w="2160"/>
            <w:tcMar>
              <w:top w:w="100" w:type="dxa"/>
              <w:start w:w="140" w:type="dxa"/>
              <w:bottom w:w="100" w:type="dxa"/>
              <w:end w:w="140" w:type="dxa"/>
            </w:tcMar>
            <w:vAlign w:val="center"/>
          </w:tcPr>
          <w:p>
            <w:r>
              <w:rPr>
                <w:rFonts w:ascii="Calibri" w:hAnsi="Calibri"/>
                <w:b w:val="0"/>
                <w:i w:val="0"/>
                <w:color w:val="0B2545"/>
                <w:sz w:val="18"/>
              </w:rPr>
              <w:t>No</w:t>
            </w:r>
          </w:p>
        </w:tc>
      </w:tr>
      <w:tr>
        <w:tc>
          <w:tcPr>
            <w:tcW w:type="dxa" w:w="2376"/>
            <w:shd w:fill="F3F5F8"/>
            <w:tcMar>
              <w:top w:w="100" w:type="dxa"/>
              <w:start w:w="140" w:type="dxa"/>
              <w:bottom w:w="100" w:type="dxa"/>
              <w:end w:w="140" w:type="dxa"/>
            </w:tcMar>
            <w:vAlign w:val="center"/>
          </w:tcPr>
          <w:p>
            <w:r>
              <w:rPr>
                <w:rFonts w:ascii="Calibri" w:hAnsi="Calibri"/>
                <w:b/>
                <w:i w:val="0"/>
                <w:color w:val="0B2545"/>
                <w:sz w:val="18"/>
              </w:rPr>
              <w:t>Analysis failed</w:t>
            </w:r>
          </w:p>
        </w:tc>
        <w:tc>
          <w:tcPr>
            <w:tcW w:type="dxa" w:w="2448"/>
            <w:shd w:fill="F3F5F8"/>
            <w:tcMar>
              <w:top w:w="100" w:type="dxa"/>
              <w:start w:w="140" w:type="dxa"/>
              <w:bottom w:w="100" w:type="dxa"/>
              <w:end w:w="140" w:type="dxa"/>
            </w:tcMar>
            <w:vAlign w:val="center"/>
          </w:tcPr>
          <w:p>
            <w:r>
              <w:rPr>
                <w:rFonts w:ascii="Calibri" w:hAnsi="Calibri"/>
                <w:b w:val="0"/>
                <w:i w:val="0"/>
                <w:color w:val="0B2545"/>
                <w:sz w:val="18"/>
              </w:rPr>
              <w:t>Administrator/operations console</w:t>
            </w:r>
          </w:p>
        </w:tc>
        <w:tc>
          <w:tcPr>
            <w:tcW w:type="dxa" w:w="2376"/>
            <w:shd w:fill="F3F5F8"/>
            <w:tcMar>
              <w:top w:w="100" w:type="dxa"/>
              <w:start w:w="140" w:type="dxa"/>
              <w:bottom w:w="100" w:type="dxa"/>
              <w:end w:w="140" w:type="dxa"/>
            </w:tcMar>
            <w:vAlign w:val="center"/>
          </w:tcPr>
          <w:p>
            <w:r>
              <w:rPr>
                <w:rFonts w:ascii="Calibri" w:hAnsi="Calibri"/>
                <w:b w:val="0"/>
                <w:i w:val="0"/>
                <w:color w:val="0B2545"/>
                <w:sz w:val="18"/>
              </w:rPr>
              <w:t>In-app + email</w:t>
            </w:r>
          </w:p>
        </w:tc>
        <w:tc>
          <w:tcPr>
            <w:tcW w:type="dxa" w:w="2160"/>
            <w:shd w:fill="F3F5F8"/>
            <w:tcMar>
              <w:top w:w="100" w:type="dxa"/>
              <w:start w:w="140" w:type="dxa"/>
              <w:bottom w:w="100" w:type="dxa"/>
              <w:end w:w="140" w:type="dxa"/>
            </w:tcMar>
            <w:vAlign w:val="center"/>
          </w:tcPr>
          <w:p>
            <w:r>
              <w:rPr>
                <w:rFonts w:ascii="Calibri" w:hAnsi="Calibri"/>
                <w:b w:val="0"/>
                <w:i w:val="0"/>
                <w:color w:val="0B2545"/>
                <w:sz w:val="18"/>
              </w:rPr>
              <w:t>No</w:t>
            </w:r>
          </w:p>
        </w:tc>
      </w:tr>
      <w:tr>
        <w:tc>
          <w:tcPr>
            <w:tcW w:type="dxa" w:w="2376"/>
            <w:tcMar>
              <w:top w:w="100" w:type="dxa"/>
              <w:start w:w="140" w:type="dxa"/>
              <w:bottom w:w="100" w:type="dxa"/>
              <w:end w:w="140" w:type="dxa"/>
            </w:tcMar>
            <w:vAlign w:val="center"/>
          </w:tcPr>
          <w:p>
            <w:r>
              <w:rPr>
                <w:rFonts w:ascii="Calibri" w:hAnsi="Calibri"/>
                <w:b/>
                <w:i w:val="0"/>
                <w:color w:val="0B2545"/>
                <w:sz w:val="18"/>
              </w:rPr>
              <w:t>Supplier list ready</w:t>
            </w:r>
          </w:p>
        </w:tc>
        <w:tc>
          <w:tcPr>
            <w:tcW w:type="dxa" w:w="2448"/>
            <w:tcMar>
              <w:top w:w="100" w:type="dxa"/>
              <w:start w:w="140" w:type="dxa"/>
              <w:bottom w:w="100" w:type="dxa"/>
              <w:end w:w="140" w:type="dxa"/>
            </w:tcMar>
            <w:vAlign w:val="center"/>
          </w:tcPr>
          <w:p>
            <w:r>
              <w:rPr>
                <w:rFonts w:ascii="Calibri" w:hAnsi="Calibri"/>
                <w:b w:val="0"/>
                <w:i w:val="0"/>
                <w:color w:val="0B2545"/>
                <w:sz w:val="18"/>
              </w:rPr>
              <w:t>Estimator or purchasing approver</w:t>
            </w:r>
          </w:p>
        </w:tc>
        <w:tc>
          <w:tcPr>
            <w:tcW w:type="dxa" w:w="2376"/>
            <w:tcMar>
              <w:top w:w="100" w:type="dxa"/>
              <w:start w:w="140" w:type="dxa"/>
              <w:bottom w:w="100" w:type="dxa"/>
              <w:end w:w="140" w:type="dxa"/>
            </w:tcMar>
            <w:vAlign w:val="center"/>
          </w:tcPr>
          <w:p>
            <w:r>
              <w:rPr>
                <w:rFonts w:ascii="Calibri" w:hAnsi="Calibri"/>
                <w:b w:val="0"/>
                <w:i w:val="0"/>
                <w:color w:val="0B2545"/>
                <w:sz w:val="18"/>
              </w:rPr>
              <w:t>In-app</w:t>
            </w:r>
          </w:p>
        </w:tc>
        <w:tc>
          <w:tcPr>
            <w:tcW w:type="dxa" w:w="2160"/>
            <w:tcMar>
              <w:top w:w="100" w:type="dxa"/>
              <w:start w:w="140" w:type="dxa"/>
              <w:bottom w:w="100" w:type="dxa"/>
              <w:end w:w="140" w:type="dxa"/>
            </w:tcMar>
            <w:vAlign w:val="center"/>
          </w:tcPr>
          <w:p>
            <w:r>
              <w:rPr>
                <w:rFonts w:ascii="Calibri" w:hAnsi="Calibri"/>
                <w:b w:val="0"/>
                <w:i w:val="0"/>
                <w:color w:val="0B2545"/>
                <w:sz w:val="18"/>
              </w:rPr>
              <w:t>Yes, before supplier email</w:t>
            </w:r>
          </w:p>
        </w:tc>
      </w:tr>
      <w:tr>
        <w:tc>
          <w:tcPr>
            <w:tcW w:type="dxa" w:w="2376"/>
            <w:shd w:fill="F3F5F8"/>
            <w:tcMar>
              <w:top w:w="100" w:type="dxa"/>
              <w:start w:w="140" w:type="dxa"/>
              <w:bottom w:w="100" w:type="dxa"/>
              <w:end w:w="140" w:type="dxa"/>
            </w:tcMar>
            <w:vAlign w:val="center"/>
          </w:tcPr>
          <w:p>
            <w:r>
              <w:rPr>
                <w:rFonts w:ascii="Calibri" w:hAnsi="Calibri"/>
                <w:b/>
                <w:i w:val="0"/>
                <w:color w:val="0B2545"/>
                <w:sz w:val="18"/>
              </w:rPr>
              <w:t>Supplier email sent</w:t>
            </w:r>
          </w:p>
        </w:tc>
        <w:tc>
          <w:tcPr>
            <w:tcW w:type="dxa" w:w="2448"/>
            <w:shd w:fill="F3F5F8"/>
            <w:tcMar>
              <w:top w:w="100" w:type="dxa"/>
              <w:start w:w="140" w:type="dxa"/>
              <w:bottom w:w="100" w:type="dxa"/>
              <w:end w:w="140" w:type="dxa"/>
            </w:tcMar>
            <w:vAlign w:val="center"/>
          </w:tcPr>
          <w:p>
            <w:r>
              <w:rPr>
                <w:rFonts w:ascii="Calibri" w:hAnsi="Calibri"/>
                <w:b w:val="0"/>
                <w:i w:val="0"/>
                <w:color w:val="0B2545"/>
                <w:sz w:val="18"/>
              </w:rPr>
              <w:t>Purchasing + audit log</w:t>
            </w:r>
          </w:p>
        </w:tc>
        <w:tc>
          <w:tcPr>
            <w:tcW w:type="dxa" w:w="2376"/>
            <w:shd w:fill="F3F5F8"/>
            <w:tcMar>
              <w:top w:w="100" w:type="dxa"/>
              <w:start w:w="140" w:type="dxa"/>
              <w:bottom w:w="100" w:type="dxa"/>
              <w:end w:w="140" w:type="dxa"/>
            </w:tcMar>
            <w:vAlign w:val="center"/>
          </w:tcPr>
          <w:p>
            <w:r>
              <w:rPr>
                <w:rFonts w:ascii="Calibri" w:hAnsi="Calibri"/>
                <w:b w:val="0"/>
                <w:i w:val="0"/>
                <w:color w:val="0B2545"/>
                <w:sz w:val="18"/>
              </w:rPr>
              <w:t>In-app; copy by policy</w:t>
            </w:r>
          </w:p>
        </w:tc>
        <w:tc>
          <w:tcPr>
            <w:tcW w:type="dxa" w:w="2160"/>
            <w:shd w:fill="F3F5F8"/>
            <w:tcMar>
              <w:top w:w="100" w:type="dxa"/>
              <w:start w:w="140" w:type="dxa"/>
              <w:bottom w:w="100" w:type="dxa"/>
              <w:end w:w="140" w:type="dxa"/>
            </w:tcMar>
            <w:vAlign w:val="center"/>
          </w:tcPr>
          <w:p>
            <w:r>
              <w:rPr>
                <w:rFonts w:ascii="Calibri" w:hAnsi="Calibri"/>
                <w:b w:val="0"/>
                <w:i w:val="0"/>
                <w:color w:val="0B2545"/>
                <w:sz w:val="18"/>
              </w:rPr>
              <w:t>Recorded approval</w:t>
            </w:r>
          </w:p>
        </w:tc>
      </w:tr>
      <w:tr>
        <w:tc>
          <w:tcPr>
            <w:tcW w:type="dxa" w:w="2376"/>
            <w:tcMar>
              <w:top w:w="100" w:type="dxa"/>
              <w:start w:w="140" w:type="dxa"/>
              <w:bottom w:w="100" w:type="dxa"/>
              <w:end w:w="140" w:type="dxa"/>
            </w:tcMar>
            <w:vAlign w:val="center"/>
          </w:tcPr>
          <w:p>
            <w:r>
              <w:rPr>
                <w:rFonts w:ascii="Calibri" w:hAnsi="Calibri"/>
                <w:b/>
                <w:i w:val="0"/>
                <w:color w:val="0B2545"/>
                <w:sz w:val="18"/>
              </w:rPr>
              <w:t>Customer estimate ready</w:t>
            </w:r>
          </w:p>
        </w:tc>
        <w:tc>
          <w:tcPr>
            <w:tcW w:type="dxa" w:w="2448"/>
            <w:tcMar>
              <w:top w:w="100" w:type="dxa"/>
              <w:start w:w="140" w:type="dxa"/>
              <w:bottom w:w="100" w:type="dxa"/>
              <w:end w:w="140" w:type="dxa"/>
            </w:tcMar>
            <w:vAlign w:val="center"/>
          </w:tcPr>
          <w:p>
            <w:r>
              <w:rPr>
                <w:rFonts w:ascii="Calibri" w:hAnsi="Calibri"/>
                <w:b w:val="0"/>
                <w:i w:val="0"/>
                <w:color w:val="0B2545"/>
                <w:sz w:val="18"/>
              </w:rPr>
              <w:t>Estimator/manager</w:t>
            </w:r>
          </w:p>
        </w:tc>
        <w:tc>
          <w:tcPr>
            <w:tcW w:type="dxa" w:w="2376"/>
            <w:tcMar>
              <w:top w:w="100" w:type="dxa"/>
              <w:start w:w="140" w:type="dxa"/>
              <w:bottom w:w="100" w:type="dxa"/>
              <w:end w:w="140" w:type="dxa"/>
            </w:tcMar>
            <w:vAlign w:val="center"/>
          </w:tcPr>
          <w:p>
            <w:r>
              <w:rPr>
                <w:rFonts w:ascii="Calibri" w:hAnsi="Calibri"/>
                <w:b w:val="0"/>
                <w:i w:val="0"/>
                <w:color w:val="0B2545"/>
                <w:sz w:val="18"/>
              </w:rPr>
              <w:t>In-app + email</w:t>
            </w:r>
          </w:p>
        </w:tc>
        <w:tc>
          <w:tcPr>
            <w:tcW w:type="dxa" w:w="2160"/>
            <w:tcMar>
              <w:top w:w="100" w:type="dxa"/>
              <w:start w:w="140" w:type="dxa"/>
              <w:bottom w:w="100" w:type="dxa"/>
              <w:end w:w="140" w:type="dxa"/>
            </w:tcMar>
            <w:vAlign w:val="center"/>
          </w:tcPr>
          <w:p>
            <w:r>
              <w:rPr>
                <w:rFonts w:ascii="Calibri" w:hAnsi="Calibri"/>
                <w:b w:val="0"/>
                <w:i w:val="0"/>
                <w:color w:val="0B2545"/>
                <w:sz w:val="18"/>
              </w:rPr>
              <w:t>Yes, before customer send</w:t>
            </w:r>
          </w:p>
        </w:tc>
      </w:tr>
      <w:tr>
        <w:tc>
          <w:tcPr>
            <w:tcW w:type="dxa" w:w="2376"/>
            <w:shd w:fill="F3F5F8"/>
            <w:tcMar>
              <w:top w:w="100" w:type="dxa"/>
              <w:start w:w="140" w:type="dxa"/>
              <w:bottom w:w="100" w:type="dxa"/>
              <w:end w:w="140" w:type="dxa"/>
            </w:tcMar>
            <w:vAlign w:val="center"/>
          </w:tcPr>
          <w:p>
            <w:r>
              <w:rPr>
                <w:rFonts w:ascii="Calibri" w:hAnsi="Calibri"/>
                <w:b/>
                <w:i w:val="0"/>
                <w:color w:val="0B2545"/>
                <w:sz w:val="18"/>
              </w:rPr>
              <w:t>Customer estimate sent</w:t>
            </w:r>
          </w:p>
        </w:tc>
        <w:tc>
          <w:tcPr>
            <w:tcW w:type="dxa" w:w="2448"/>
            <w:shd w:fill="F3F5F8"/>
            <w:tcMar>
              <w:top w:w="100" w:type="dxa"/>
              <w:start w:w="140" w:type="dxa"/>
              <w:bottom w:w="100" w:type="dxa"/>
              <w:end w:w="140" w:type="dxa"/>
            </w:tcMar>
            <w:vAlign w:val="center"/>
          </w:tcPr>
          <w:p>
            <w:r>
              <w:rPr>
                <w:rFonts w:ascii="Calibri" w:hAnsi="Calibri"/>
                <w:b w:val="0"/>
                <w:i w:val="0"/>
                <w:color w:val="0B2545"/>
                <w:sz w:val="18"/>
              </w:rPr>
              <w:t>Estimator + audit log</w:t>
            </w:r>
          </w:p>
        </w:tc>
        <w:tc>
          <w:tcPr>
            <w:tcW w:type="dxa" w:w="2376"/>
            <w:shd w:fill="F3F5F8"/>
            <w:tcMar>
              <w:top w:w="100" w:type="dxa"/>
              <w:start w:w="140" w:type="dxa"/>
              <w:bottom w:w="100" w:type="dxa"/>
              <w:end w:w="140" w:type="dxa"/>
            </w:tcMar>
            <w:vAlign w:val="center"/>
          </w:tcPr>
          <w:p>
            <w:r>
              <w:rPr>
                <w:rFonts w:ascii="Calibri" w:hAnsi="Calibri"/>
                <w:b w:val="0"/>
                <w:i w:val="0"/>
                <w:color w:val="0B2545"/>
                <w:sz w:val="18"/>
              </w:rPr>
              <w:t>In-app; delivery tracking</w:t>
            </w:r>
          </w:p>
        </w:tc>
        <w:tc>
          <w:tcPr>
            <w:tcW w:type="dxa" w:w="2160"/>
            <w:shd w:fill="F3F5F8"/>
            <w:tcMar>
              <w:top w:w="100" w:type="dxa"/>
              <w:start w:w="140" w:type="dxa"/>
              <w:bottom w:w="100" w:type="dxa"/>
              <w:end w:w="140" w:type="dxa"/>
            </w:tcMar>
            <w:vAlign w:val="center"/>
          </w:tcPr>
          <w:p>
            <w:r>
              <w:rPr>
                <w:rFonts w:ascii="Calibri" w:hAnsi="Calibri"/>
                <w:b w:val="0"/>
                <w:i w:val="0"/>
                <w:color w:val="0B2545"/>
                <w:sz w:val="18"/>
              </w:rPr>
              <w:t>Recorded approval</w:t>
            </w:r>
          </w:p>
        </w:tc>
      </w:tr>
    </w:tbl>
    <w:p>
      <w:pPr>
        <w:spacing w:before="0" w:after="40" w:line="288" w:lineRule="auto"/>
      </w:pPr>
      <w:r>
        <w:rPr>
          <w:rFonts w:ascii="Calibri" w:hAnsi="Calibri"/>
          <w:b w:val="0"/>
          <w:i w:val="0"/>
          <w:color w:val="0B2545"/>
          <w:sz w:val="22"/>
        </w:rPr>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FFF4D6"/>
          </w:tcPr>
          <w:p>
            <w:r>
              <w:rPr>
                <w:rFonts w:ascii="Calibri" w:hAnsi="Calibri"/>
                <w:b/>
                <w:i w:val="0"/>
                <w:color w:val="A36B00"/>
                <w:sz w:val="21"/>
              </w:rPr>
              <w:t xml:space="preserve">Noise control: </w:t>
            </w:r>
            <w:r>
              <w:rPr>
                <w:rFonts w:ascii="Calibri" w:hAnsi="Calibri"/>
                <w:b w:val="0"/>
                <w:i w:val="0"/>
                <w:color w:val="0B2545"/>
                <w:sz w:val="21"/>
              </w:rPr>
              <w:t>Use email for action-required or failed events. Routine progress should remain in the application. SMS should be reserved for truly urgent, opt-in events.</w:t>
            </w:r>
          </w:p>
        </w:tc>
      </w:tr>
    </w:tbl>
    <w:p>
      <w:pPr>
        <w:spacing w:before="0" w:after="40" w:line="288" w:lineRule="auto"/>
      </w:pPr>
      <w:r>
        <w:rPr>
          <w:rFonts w:ascii="Calibri" w:hAnsi="Calibri"/>
          <w:b w:val="0"/>
          <w:i w:val="0"/>
          <w:color w:val="0B2545"/>
          <w:sz w:val="22"/>
        </w:rPr>
      </w:r>
    </w:p>
    <w:p>
      <w:pPr>
        <w:pStyle w:val="Heading1"/>
      </w:pPr>
      <w:r>
        <w:t>10. Decisions still needed before production output</w:t>
      </w:r>
    </w:p>
    <w:p>
      <w:pPr>
        <w:pStyle w:val="ListBullet"/>
        <w:spacing w:after="80"/>
        <w:ind w:left="547" w:hanging="274"/>
      </w:pPr>
      <w:r>
        <w:rPr>
          <w:rFonts w:ascii="Calibri" w:hAnsi="Calibri"/>
          <w:b w:val="0"/>
          <w:i w:val="0"/>
          <w:color w:val="0B2545"/>
          <w:sz w:val="21"/>
        </w:rPr>
        <w:t>☐ Who can approve an AI analysis, supplier request, and customer estimate?</w:t>
      </w:r>
    </w:p>
    <w:p>
      <w:pPr>
        <w:pStyle w:val="ListBullet"/>
        <w:spacing w:after="80"/>
        <w:ind w:left="547" w:hanging="274"/>
      </w:pPr>
      <w:r>
        <w:rPr>
          <w:rFonts w:ascii="Calibri" w:hAnsi="Calibri"/>
          <w:b w:val="0"/>
          <w:i w:val="0"/>
          <w:color w:val="0B2545"/>
          <w:sz w:val="21"/>
        </w:rPr>
        <w:t>☐ Which unmatched-item or confidence thresholds require review?</w:t>
      </w:r>
    </w:p>
    <w:p>
      <w:pPr>
        <w:pStyle w:val="ListBullet"/>
        <w:spacing w:after="80"/>
        <w:ind w:left="547" w:hanging="274"/>
      </w:pPr>
      <w:r>
        <w:rPr>
          <w:rFonts w:ascii="Calibri" w:hAnsi="Calibri"/>
          <w:b w:val="0"/>
          <w:i w:val="0"/>
          <w:color w:val="0B2545"/>
          <w:sz w:val="21"/>
        </w:rPr>
        <w:t>☐ Which suppliers accept email lists, CSV attachments, PDFs, or API orders?</w:t>
      </w:r>
    </w:p>
    <w:p>
      <w:pPr>
        <w:pStyle w:val="ListBullet"/>
        <w:spacing w:after="80"/>
        <w:ind w:left="547" w:hanging="274"/>
      </w:pPr>
      <w:r>
        <w:rPr>
          <w:rFonts w:ascii="Calibri" w:hAnsi="Calibri"/>
          <w:b w:val="0"/>
          <w:i w:val="0"/>
          <w:color w:val="0B2545"/>
          <w:sz w:val="21"/>
        </w:rPr>
        <w:t>☐ Should supplier communication be a price request, purchase order, or delivery request?</w:t>
      </w:r>
    </w:p>
    <w:p>
      <w:pPr>
        <w:pStyle w:val="ListBullet"/>
        <w:spacing w:after="80"/>
        <w:ind w:left="547" w:hanging="274"/>
      </w:pPr>
      <w:r>
        <w:rPr>
          <w:rFonts w:ascii="Calibri" w:hAnsi="Calibri"/>
          <w:b w:val="0"/>
          <w:i w:val="0"/>
          <w:color w:val="0B2545"/>
          <w:sz w:val="21"/>
        </w:rPr>
        <w:t>☐ What cost and margin details can local operators see?</w:t>
      </w:r>
    </w:p>
    <w:p>
      <w:pPr>
        <w:pStyle w:val="ListBullet"/>
        <w:spacing w:after="80"/>
        <w:ind w:left="547" w:hanging="274"/>
      </w:pPr>
      <w:r>
        <w:rPr>
          <w:rFonts w:ascii="Calibri" w:hAnsi="Calibri"/>
          <w:b w:val="0"/>
          <w:i w:val="0"/>
          <w:color w:val="0B2545"/>
          <w:sz w:val="21"/>
        </w:rPr>
        <w:t>☐ Which legal clause library applies to each state and local operation?</w:t>
      </w:r>
    </w:p>
    <w:p>
      <w:pPr>
        <w:pStyle w:val="ListBullet"/>
        <w:spacing w:after="80"/>
        <w:ind w:left="547" w:hanging="274"/>
      </w:pPr>
      <w:r>
        <w:rPr>
          <w:rFonts w:ascii="Calibri" w:hAnsi="Calibri"/>
          <w:b w:val="0"/>
          <w:i w:val="0"/>
          <w:color w:val="0B2545"/>
          <w:sz w:val="21"/>
        </w:rPr>
        <w:t>☐ What customer document numbering, expiration, deposit, and signature rules are required?</w:t>
      </w:r>
    </w:p>
    <w:p>
      <w:pPr>
        <w:pStyle w:val="ListBullet"/>
        <w:spacing w:after="80"/>
        <w:ind w:left="547" w:hanging="274"/>
      </w:pPr>
      <w:r>
        <w:rPr>
          <w:rFonts w:ascii="Calibri" w:hAnsi="Calibri"/>
          <w:b w:val="0"/>
          <w:i w:val="0"/>
          <w:color w:val="0B2545"/>
          <w:sz w:val="21"/>
        </w:rPr>
        <w:t>☐ Which events use in-app notification, email, SMS, or no notification?</w:t>
      </w:r>
    </w:p>
    <w:p>
      <w:pPr>
        <w:pStyle w:val="ListBullet"/>
        <w:spacing w:after="80"/>
        <w:ind w:left="547" w:hanging="274"/>
      </w:pPr>
      <w:r>
        <w:rPr>
          <w:rFonts w:ascii="Calibri" w:hAnsi="Calibri"/>
          <w:b w:val="0"/>
          <w:i w:val="0"/>
          <w:color w:val="0B2545"/>
          <w:sz w:val="21"/>
        </w:rPr>
        <w:t>☐ How long are raw AI responses, photos, approvals, and delivery records retained?</w:t>
      </w:r>
    </w:p>
    <w:p>
      <w:pPr>
        <w:pStyle w:val="ListBullet"/>
        <w:spacing w:after="80"/>
        <w:ind w:left="547" w:hanging="274"/>
      </w:pPr>
      <w:r>
        <w:rPr>
          <w:rFonts w:ascii="Calibri" w:hAnsi="Calibri"/>
          <w:b w:val="0"/>
          <w:i w:val="0"/>
          <w:color w:val="0B2545"/>
          <w:sz w:val="21"/>
        </w:rPr>
        <w:t>☐ What is the rollback process when catalog prices or policy assumptions are wrong?</w:t>
      </w:r>
    </w:p>
    <w:p>
      <w:pPr>
        <w:pStyle w:val="Heading1"/>
      </w:pPr>
      <w:r>
        <w:t>Administrator test checklist</w:t>
      </w:r>
    </w:p>
    <w:p>
      <w:pPr>
        <w:pStyle w:val="ListBullet"/>
        <w:spacing w:after="80"/>
        <w:ind w:left="547" w:hanging="274"/>
      </w:pPr>
      <w:r>
        <w:rPr>
          <w:rFonts w:ascii="Calibri" w:hAnsi="Calibri"/>
          <w:b w:val="0"/>
          <w:i w:val="0"/>
          <w:color w:val="0B2545"/>
          <w:sz w:val="21"/>
        </w:rPr>
        <w:t>☐ Retrieve the correct Housecall Pro estimate and verify the customer and property.</w:t>
      </w:r>
    </w:p>
    <w:p>
      <w:pPr>
        <w:pStyle w:val="ListBullet"/>
        <w:spacing w:after="80"/>
        <w:ind w:left="547" w:hanging="274"/>
      </w:pPr>
      <w:r>
        <w:rPr>
          <w:rFonts w:ascii="Calibri" w:hAnsi="Calibri"/>
          <w:b w:val="0"/>
          <w:i w:val="0"/>
          <w:color w:val="0B2545"/>
          <w:sz w:val="21"/>
        </w:rPr>
        <w:t>☐ Enter project overview notes and create clearly separated tasks.</w:t>
      </w:r>
    </w:p>
    <w:p>
      <w:pPr>
        <w:pStyle w:val="ListBullet"/>
        <w:spacing w:after="80"/>
        <w:ind w:left="547" w:hanging="274"/>
      </w:pPr>
      <w:r>
        <w:rPr>
          <w:rFonts w:ascii="Calibri" w:hAnsi="Calibri"/>
          <w:b w:val="0"/>
          <w:i w:val="0"/>
          <w:color w:val="0B2545"/>
          <w:sz w:val="21"/>
        </w:rPr>
        <w:t>☐ Save notes and required photographs before analysis.</w:t>
      </w:r>
    </w:p>
    <w:p>
      <w:pPr>
        <w:pStyle w:val="ListBullet"/>
        <w:spacing w:after="80"/>
        <w:ind w:left="547" w:hanging="274"/>
      </w:pPr>
      <w:r>
        <w:rPr>
          <w:rFonts w:ascii="Calibri" w:hAnsi="Calibri"/>
          <w:b w:val="0"/>
          <w:i w:val="0"/>
          <w:color w:val="0B2545"/>
          <w:sz w:val="21"/>
        </w:rPr>
        <w:t>☐ Confirm the analysis progresses from Queued to a final status.</w:t>
      </w:r>
    </w:p>
    <w:p>
      <w:pPr>
        <w:pStyle w:val="ListBullet"/>
        <w:spacing w:after="80"/>
        <w:ind w:left="547" w:hanging="274"/>
      </w:pPr>
      <w:r>
        <w:rPr>
          <w:rFonts w:ascii="Calibri" w:hAnsi="Calibri"/>
          <w:b w:val="0"/>
          <w:i w:val="0"/>
          <w:color w:val="0B2545"/>
          <w:sz w:val="21"/>
        </w:rPr>
        <w:t>☐ Review materials, quantities, days, assumptions, catalog matches, and exclusions.</w:t>
      </w:r>
    </w:p>
    <w:p>
      <w:pPr>
        <w:pStyle w:val="ListBullet"/>
        <w:spacing w:after="80"/>
        <w:ind w:left="547" w:hanging="274"/>
      </w:pPr>
      <w:r>
        <w:rPr>
          <w:rFonts w:ascii="Calibri" w:hAnsi="Calibri"/>
          <w:b w:val="0"/>
          <w:i w:val="0"/>
          <w:color w:val="0B2545"/>
          <w:sz w:val="21"/>
        </w:rPr>
        <w:t>☐ Resolve every unmatched or unpriced item.</w:t>
      </w:r>
    </w:p>
    <w:p>
      <w:pPr>
        <w:pStyle w:val="ListBullet"/>
        <w:spacing w:after="80"/>
        <w:ind w:left="547" w:hanging="274"/>
      </w:pPr>
      <w:r>
        <w:rPr>
          <w:rFonts w:ascii="Calibri" w:hAnsi="Calibri"/>
          <w:b w:val="0"/>
          <w:i w:val="0"/>
          <w:color w:val="0B2545"/>
          <w:sz w:val="21"/>
        </w:rPr>
        <w:t>☐ Verify the correct crew rate, policy revision, overhead, contingency, and margin.</w:t>
      </w:r>
    </w:p>
    <w:p>
      <w:pPr>
        <w:pStyle w:val="ListBullet"/>
        <w:spacing w:after="80"/>
        <w:ind w:left="547" w:hanging="274"/>
      </w:pPr>
      <w:r>
        <w:rPr>
          <w:rFonts w:ascii="Calibri" w:hAnsi="Calibri"/>
          <w:b w:val="0"/>
          <w:i w:val="0"/>
          <w:color w:val="0B2545"/>
          <w:sz w:val="21"/>
        </w:rPr>
        <w:t>☐ Confirm Reanalyze creates a new revision and preserves the earlier audit.</w:t>
      </w:r>
    </w:p>
    <w:p>
      <w:pPr>
        <w:pStyle w:val="ListBullet"/>
        <w:spacing w:after="80"/>
        <w:ind w:left="547" w:hanging="274"/>
      </w:pPr>
      <w:r>
        <w:rPr>
          <w:rFonts w:ascii="Calibri" w:hAnsi="Calibri"/>
          <w:b w:val="0"/>
          <w:i w:val="0"/>
          <w:color w:val="0B2545"/>
          <w:sz w:val="21"/>
        </w:rPr>
        <w:t>☐ Do not send supplier or customer output until the applicable approval workflow exists.</w:t>
      </w:r>
    </w:p>
    <w:tbl>
      <w:tblPr>
        <w:tblW w:type="dxa" w:w="9360"/>
        <w:tblLayout w:type="fixed"/>
        <w:tblLook w:firstColumn="1" w:firstRow="1" w:lastColumn="0" w:lastRow="0" w:noHBand="0" w:noVBand="1" w:val="04A0"/>
      </w:tblPr>
      <w:tblGrid>
        <w:gridCol w:w="9360"/>
      </w:tblGrid>
      <w:tr>
        <w:tc>
          <w:tcPr>
            <w:tcW w:type="dxa" w:w="9360"/>
            <w:tcMar>
              <w:top w:w="100" w:type="dxa"/>
              <w:start w:w="140" w:type="dxa"/>
              <w:bottom w:w="100" w:type="dxa"/>
              <w:end w:w="140" w:type="dxa"/>
            </w:tcMar>
            <w:vAlign w:val="center"/>
            <w:shd w:fill="E9F6EE"/>
          </w:tcPr>
          <w:p>
            <w:r>
              <w:rPr>
                <w:rFonts w:ascii="Calibri" w:hAnsi="Calibri"/>
                <w:b/>
                <w:i w:val="0"/>
                <w:color w:val="217A49"/>
                <w:sz w:val="21"/>
              </w:rPr>
              <w:t xml:space="preserve">Final principle: </w:t>
            </w:r>
            <w:r>
              <w:rPr>
                <w:rFonts w:ascii="Calibri" w:hAnsi="Calibri"/>
                <w:b w:val="0"/>
                <w:i w:val="0"/>
                <w:color w:val="0B2545"/>
                <w:sz w:val="21"/>
              </w:rPr>
              <w:t>AI prepares a recommendation. CCV validates and costs it. An authorized person approves what leaves the company.</w:t>
            </w:r>
          </w:p>
        </w:tc>
      </w:tr>
    </w:tbl>
    <w:p>
      <w:pPr>
        <w:spacing w:before="0" w:after="40" w:line="288" w:lineRule="auto"/>
      </w:pPr>
      <w:r>
        <w:rPr>
          <w:rFonts w:ascii="Calibri" w:hAnsi="Calibri"/>
          <w:b w:val="0"/>
          <w:i w:val="0"/>
          <w:color w:val="0B2545"/>
          <w:sz w:val="22"/>
        </w:rPr>
      </w:r>
    </w:p>
    <w:sectPr w:rsidR="00FC693F" w:rsidRPr="0006063C" w:rsidSect="00034616">
      <w:headerReference w:type="default" r:id="rId9"/>
      <w:footerReference w:type="default" r:id="rId10"/>
      <w:pgSz w:w="12240" w:h="15840"/>
      <w:pgMar w:top="1152"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E6F87"/>
        <w:sz w:val="17"/>
      </w:rPr>
      <w:t>Estimate Cases and AI Analysis Guide  •  July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E6F87"/>
        <w:sz w:val="17"/>
      </w:rPr>
      <w:t>CHARLIE COMPANY VENTURES  |  ADMINISTRATOR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67D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67D1"/>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