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60"/>
      </w:pPr>
    </w:p>
    <w:p>
      <w:pPr>
        <w:spacing w:after="240"/>
        <w:jc w:val="center"/>
      </w:pPr>
      <w:r>
        <w:rPr>
          <w:rFonts w:ascii="Calibri" w:hAnsi="Calibri"/>
          <w:b/>
          <w:color w:val="2E74B5"/>
          <w:sz w:val="22"/>
        </w:rPr>
        <w:t>PROJECT GUIDE</w:t>
      </w:r>
    </w:p>
    <w:p>
      <w:pPr>
        <w:spacing w:after="200"/>
        <w:jc w:val="center"/>
      </w:pPr>
      <w:r>
        <w:rPr>
          <w:rFonts w:ascii="Calibri" w:hAnsi="Calibri"/>
          <w:b/>
          <w:color w:val="17233C"/>
          <w:sz w:val="64"/>
        </w:rPr>
        <w:t>ClearlySaid</w:t>
      </w:r>
    </w:p>
    <w:p>
      <w:pPr>
        <w:spacing w:after="360"/>
        <w:jc w:val="center"/>
      </w:pPr>
      <w:r>
        <w:rPr>
          <w:rFonts w:ascii="Calibri" w:hAnsi="Calibri"/>
          <w:color w:val="1F4D78"/>
          <w:sz w:val="34"/>
        </w:rPr>
        <w:t>Accounts, Subscription Plans, Billing Channels,</w:t>
        <w:br/>
        <w:t>and User Administration</w:t>
      </w:r>
    </w:p>
    <w:p>
      <w:pPr>
        <w:spacing w:after="1200"/>
        <w:jc w:val="center"/>
      </w:pPr>
      <w:r>
        <w:rPr>
          <w:rFonts w:ascii="Calibri" w:hAnsi="Calibri"/>
          <w:i/>
          <w:color w:val="5C6675"/>
          <w:sz w:val="23"/>
        </w:rPr>
        <w:t>How free and paid access works across the website and Android app</w:t>
      </w:r>
    </w:p>
    <w:tbl>
      <w:tblPr>
        <w:tblStyle w:val="TableGrid"/>
        <w:tblW w:type="dxa" w:w="9360"/>
        <w:jc w:val="left"/>
        <w:tblLayout w:type="fixed"/>
        <w:tblLook w:firstColumn="1" w:firstRow="1" w:lastColumn="0" w:lastRow="0" w:noHBand="0" w:noVBand="1" w:val="04A0"/>
        <w:tblInd w:w="120" w:type="dxa"/>
      </w:tblPr>
      <w:tblGrid>
        <w:gridCol w:w="2500"/>
        <w:gridCol w:w="4560"/>
        <w:gridCol w:w="2300"/>
      </w:tblGrid>
      <w:tr>
        <w:trPr>
          <w:tblHeader/>
        </w:trPr>
        <w:tc>
          <w:tcPr>
            <w:tcW w:type="dxa" w:w="2500"/>
            <w:shd w:fill="E8EEF5"/>
            <w:tcMar>
              <w:top w:w="80" w:type="dxa"/>
              <w:start w:w="120" w:type="dxa"/>
              <w:bottom w:w="80" w:type="dxa"/>
              <w:end w:w="120" w:type="dxa"/>
            </w:tcMar>
            <w:vAlign w:val="center"/>
          </w:tcPr>
          <w:p>
            <w:pPr>
              <w:spacing w:after="0"/>
            </w:pPr>
            <w:r>
              <w:rPr>
                <w:rFonts w:ascii="Calibri" w:hAnsi="Calibri"/>
                <w:b/>
                <w:color w:val="17233C"/>
                <w:sz w:val="18"/>
              </w:rPr>
              <w:t>Document basis</w:t>
            </w:r>
          </w:p>
        </w:tc>
        <w:tc>
          <w:tcPr>
            <w:tcW w:type="dxa" w:w="4560"/>
            <w:shd w:fill="E8EEF5"/>
            <w:tcMar>
              <w:top w:w="80" w:type="dxa"/>
              <w:start w:w="120" w:type="dxa"/>
              <w:bottom w:w="80" w:type="dxa"/>
              <w:end w:w="120" w:type="dxa"/>
            </w:tcMar>
            <w:vAlign w:val="center"/>
          </w:tcPr>
          <w:p>
            <w:pPr>
              <w:spacing w:after="0"/>
            </w:pPr>
            <w:r>
              <w:rPr>
                <w:rFonts w:ascii="Calibri" w:hAnsi="Calibri"/>
                <w:b/>
                <w:color w:val="17233C"/>
                <w:sz w:val="18"/>
              </w:rPr>
              <w:t>Scope</w:t>
            </w:r>
          </w:p>
        </w:tc>
        <w:tc>
          <w:tcPr>
            <w:tcW w:type="dxa" w:w="2300"/>
            <w:shd w:fill="E8EEF5"/>
            <w:tcMar>
              <w:top w:w="80" w:type="dxa"/>
              <w:start w:w="120" w:type="dxa"/>
              <w:bottom w:w="80" w:type="dxa"/>
              <w:end w:w="120" w:type="dxa"/>
            </w:tcMar>
            <w:vAlign w:val="center"/>
          </w:tcPr>
          <w:p>
            <w:pPr>
              <w:spacing w:after="0"/>
            </w:pPr>
            <w:r>
              <w:rPr>
                <w:rFonts w:ascii="Calibri" w:hAnsi="Calibri"/>
                <w:b/>
                <w:color w:val="17233C"/>
                <w:sz w:val="18"/>
              </w:rPr>
              <w:t>Prepared</w:t>
            </w:r>
          </w:p>
        </w:tc>
      </w:tr>
      <w:tr>
        <w:tc>
          <w:tcPr>
            <w:tcW w:type="dxa" w:w="2500"/>
            <w:tcMar>
              <w:top w:w="80" w:type="dxa"/>
              <w:start w:w="120" w:type="dxa"/>
              <w:bottom w:w="80" w:type="dxa"/>
              <w:end w:w="120" w:type="dxa"/>
            </w:tcMar>
            <w:vAlign w:val="center"/>
          </w:tcPr>
          <w:p>
            <w:pPr>
              <w:spacing w:after="0" w:line="264" w:lineRule="auto"/>
            </w:pPr>
            <w:r>
              <w:rPr>
                <w:rFonts w:ascii="Calibri" w:hAnsi="Calibri"/>
                <w:color w:val="111827"/>
                <w:sz w:val="18"/>
              </w:rPr>
              <w:t>Current repository implementation</w:t>
            </w:r>
          </w:p>
        </w:tc>
        <w:tc>
          <w:tcPr>
            <w:tcW w:type="dxa" w:w="4560"/>
            <w:tcMar>
              <w:top w:w="80" w:type="dxa"/>
              <w:start w:w="120" w:type="dxa"/>
              <w:bottom w:w="80" w:type="dxa"/>
              <w:end w:w="120" w:type="dxa"/>
            </w:tcMar>
            <w:vAlign w:val="center"/>
          </w:tcPr>
          <w:p>
            <w:pPr>
              <w:spacing w:after="0" w:line="264" w:lineRule="auto"/>
            </w:pPr>
            <w:r>
              <w:rPr>
                <w:rFonts w:ascii="Calibri" w:hAnsi="Calibri"/>
                <w:color w:val="111827"/>
                <w:sz w:val="18"/>
              </w:rPr>
              <w:t>Website, Android, billing, administration</w:t>
            </w:r>
          </w:p>
        </w:tc>
        <w:tc>
          <w:tcPr>
            <w:tcW w:type="dxa" w:w="2300"/>
            <w:tcMar>
              <w:top w:w="80" w:type="dxa"/>
              <w:start w:w="120" w:type="dxa"/>
              <w:bottom w:w="80" w:type="dxa"/>
              <w:end w:w="120" w:type="dxa"/>
            </w:tcMar>
            <w:vAlign w:val="center"/>
          </w:tcPr>
          <w:p>
            <w:pPr>
              <w:spacing w:after="0" w:line="264" w:lineRule="auto"/>
            </w:pPr>
            <w:r>
              <w:rPr>
                <w:rFonts w:ascii="Calibri" w:hAnsi="Calibri"/>
                <w:color w:val="111827"/>
                <w:sz w:val="18"/>
              </w:rPr>
              <w:t>August 19, 2026</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5D9"/>
          </w:tcPr>
          <w:p>
            <w:pPr>
              <w:spacing w:after="0"/>
            </w:pPr>
            <w:r>
              <w:rPr>
                <w:rFonts w:ascii="Calibri" w:hAnsi="Calibri"/>
                <w:b/>
                <w:color w:val="1F4D78"/>
              </w:rPr>
              <w:t xml:space="preserve">Purpose  </w:t>
            </w:r>
            <w:r>
              <w:rPr>
                <w:rFonts w:ascii="Calibri" w:hAnsi="Calibri"/>
                <w:color w:val="111827"/>
              </w:rPr>
              <w:t>A business-readable and technically grounded explanation of how a person becomes a ClearlySaid user, how paid access is granted and managed, and how administrators manage accounts.</w:t>
            </w:r>
          </w:p>
        </w:tc>
      </w:tr>
    </w:tbl>
    <w:p>
      <w:pPr>
        <w:spacing w:after="0"/>
      </w:pPr>
    </w:p>
    <w:p>
      <w:r>
        <w:br w:type="page"/>
      </w:r>
    </w:p>
    <w:p>
      <w:pPr>
        <w:pStyle w:val="Heading1"/>
      </w:pPr>
      <w:r>
        <w:t>1. Executive overview</w:t>
      </w:r>
    </w:p>
    <w:p>
      <w:r>
        <w:rPr>
          <w:rFonts w:ascii="Calibri" w:hAnsi="Calibri"/>
          <w:color w:val="111827"/>
        </w:rPr>
        <w:t>ClearlySaid uses one account and one server-controlled entitlement across its customer experiences. A person can create an account from the public website or the Android app, verify the email address, and begin on the Free plan. Paid access is not granted merely because a client reports a purchase; Web01 records an entitlement only after Stripe or Google Play has been independently verified.</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AF4EA"/>
          </w:tcPr>
          <w:p>
            <w:pPr>
              <w:spacing w:after="0"/>
            </w:pPr>
            <w:r>
              <w:rPr>
                <w:rFonts w:ascii="Calibri" w:hAnsi="Calibri"/>
                <w:b/>
                <w:color w:val="1F4D78"/>
              </w:rPr>
              <w:t xml:space="preserve">At a glance  </w:t>
            </w:r>
            <w:r>
              <w:rPr>
                <w:rFonts w:ascii="Calibri" w:hAnsi="Calibri"/>
                <w:color w:val="111827"/>
              </w:rPr>
              <w:t>Free provides 20 message refinements per calendar month. Standard provides 300. Pro provides 1,000. Paid and privileged accounts also receive message-purpose, tone, and directness controls. Administrators are unlimited.</w:t>
            </w:r>
          </w:p>
        </w:tc>
      </w:tr>
    </w:tbl>
    <w:p>
      <w:pPr>
        <w:spacing w:after="0"/>
      </w:pPr>
    </w:p>
    <w:p>
      <w:pPr>
        <w:pStyle w:val="Heading2"/>
      </w:pPr>
      <w:r>
        <w:t>Customer-facing plans</w:t>
      </w:r>
    </w:p>
    <w:tbl>
      <w:tblPr>
        <w:tblStyle w:val="TableGrid"/>
        <w:tblW w:type="dxa" w:w="9360"/>
        <w:jc w:val="left"/>
        <w:tblLayout w:type="fixed"/>
        <w:tblLook w:firstColumn="1" w:firstRow="1" w:lastColumn="0" w:lastRow="0" w:noHBand="0" w:noVBand="1" w:val="04A0"/>
        <w:tblInd w:w="120" w:type="dxa"/>
      </w:tblPr>
      <w:tblGrid>
        <w:gridCol w:w="1350"/>
        <w:gridCol w:w="1300"/>
        <w:gridCol w:w="2060"/>
        <w:gridCol w:w="2400"/>
        <w:gridCol w:w="2250"/>
      </w:tblGrid>
      <w:tr>
        <w:trPr>
          <w:tblHeader/>
        </w:trPr>
        <w:tc>
          <w:tcPr>
            <w:tcW w:type="dxa" w:w="1350"/>
            <w:shd w:fill="E8EEF5"/>
            <w:tcMar>
              <w:top w:w="80" w:type="dxa"/>
              <w:start w:w="120" w:type="dxa"/>
              <w:bottom w:w="80" w:type="dxa"/>
              <w:end w:w="120" w:type="dxa"/>
            </w:tcMar>
            <w:vAlign w:val="center"/>
          </w:tcPr>
          <w:p>
            <w:pPr>
              <w:spacing w:after="0"/>
            </w:pPr>
            <w:r>
              <w:rPr>
                <w:rFonts w:ascii="Calibri" w:hAnsi="Calibri"/>
                <w:b/>
                <w:color w:val="17233C"/>
                <w:sz w:val="17"/>
              </w:rPr>
              <w:t>Plan</w:t>
            </w:r>
          </w:p>
        </w:tc>
        <w:tc>
          <w:tcPr>
            <w:tcW w:type="dxa" w:w="1300"/>
            <w:shd w:fill="E8EEF5"/>
            <w:tcMar>
              <w:top w:w="80" w:type="dxa"/>
              <w:start w:w="120" w:type="dxa"/>
              <w:bottom w:w="80" w:type="dxa"/>
              <w:end w:w="120" w:type="dxa"/>
            </w:tcMar>
            <w:vAlign w:val="center"/>
          </w:tcPr>
          <w:p>
            <w:pPr>
              <w:spacing w:after="0"/>
            </w:pPr>
            <w:r>
              <w:rPr>
                <w:rFonts w:ascii="Calibri" w:hAnsi="Calibri"/>
                <w:b/>
                <w:color w:val="17233C"/>
                <w:sz w:val="17"/>
              </w:rPr>
              <w:t>Allowance</w:t>
            </w:r>
          </w:p>
        </w:tc>
        <w:tc>
          <w:tcPr>
            <w:tcW w:type="dxa" w:w="2060"/>
            <w:shd w:fill="E8EEF5"/>
            <w:tcMar>
              <w:top w:w="80" w:type="dxa"/>
              <w:start w:w="120" w:type="dxa"/>
              <w:bottom w:w="80" w:type="dxa"/>
              <w:end w:w="120" w:type="dxa"/>
            </w:tcMar>
            <w:vAlign w:val="center"/>
          </w:tcPr>
          <w:p>
            <w:pPr>
              <w:spacing w:after="0"/>
            </w:pPr>
            <w:r>
              <w:rPr>
                <w:rFonts w:ascii="Calibri" w:hAnsi="Calibri"/>
                <w:b/>
                <w:color w:val="17233C"/>
                <w:sz w:val="17"/>
              </w:rPr>
              <w:t>Website price</w:t>
            </w:r>
          </w:p>
        </w:tc>
        <w:tc>
          <w:tcPr>
            <w:tcW w:type="dxa" w:w="2400"/>
            <w:shd w:fill="E8EEF5"/>
            <w:tcMar>
              <w:top w:w="80" w:type="dxa"/>
              <w:start w:w="120" w:type="dxa"/>
              <w:bottom w:w="80" w:type="dxa"/>
              <w:end w:w="120" w:type="dxa"/>
            </w:tcMar>
            <w:vAlign w:val="center"/>
          </w:tcPr>
          <w:p>
            <w:pPr>
              <w:spacing w:after="0"/>
            </w:pPr>
            <w:r>
              <w:rPr>
                <w:rFonts w:ascii="Calibri" w:hAnsi="Calibri"/>
                <w:b/>
                <w:color w:val="17233C"/>
                <w:sz w:val="17"/>
              </w:rPr>
              <w:t>Who can receive it</w:t>
            </w:r>
          </w:p>
        </w:tc>
        <w:tc>
          <w:tcPr>
            <w:tcW w:type="dxa" w:w="2250"/>
            <w:shd w:fill="E8EEF5"/>
            <w:tcMar>
              <w:top w:w="80" w:type="dxa"/>
              <w:start w:w="120" w:type="dxa"/>
              <w:bottom w:w="80" w:type="dxa"/>
              <w:end w:w="120" w:type="dxa"/>
            </w:tcMar>
            <w:vAlign w:val="center"/>
          </w:tcPr>
          <w:p>
            <w:pPr>
              <w:spacing w:after="0"/>
            </w:pPr>
            <w:r>
              <w:rPr>
                <w:rFonts w:ascii="Calibri" w:hAnsi="Calibri"/>
                <w:b/>
                <w:color w:val="17233C"/>
                <w:sz w:val="17"/>
              </w:rPr>
              <w:t>Distinctive access</w:t>
            </w:r>
          </w:p>
        </w:tc>
      </w:tr>
      <w:tr>
        <w:tc>
          <w:tcPr>
            <w:tcW w:type="dxa" w:w="1350"/>
            <w:tcMar>
              <w:top w:w="80" w:type="dxa"/>
              <w:start w:w="120" w:type="dxa"/>
              <w:bottom w:w="80" w:type="dxa"/>
              <w:end w:w="120" w:type="dxa"/>
            </w:tcMar>
            <w:vAlign w:val="center"/>
          </w:tcPr>
          <w:p>
            <w:pPr>
              <w:spacing w:after="0" w:line="264" w:lineRule="auto"/>
            </w:pPr>
            <w:r>
              <w:rPr>
                <w:rFonts w:ascii="Calibri" w:hAnsi="Calibri"/>
                <w:color w:val="111827"/>
                <w:sz w:val="17"/>
              </w:rPr>
              <w:t>Free</w:t>
            </w:r>
          </w:p>
        </w:tc>
        <w:tc>
          <w:tcPr>
            <w:tcW w:type="dxa" w:w="1300"/>
            <w:tcMar>
              <w:top w:w="80" w:type="dxa"/>
              <w:start w:w="120" w:type="dxa"/>
              <w:bottom w:w="80" w:type="dxa"/>
              <w:end w:w="120" w:type="dxa"/>
            </w:tcMar>
            <w:vAlign w:val="center"/>
          </w:tcPr>
          <w:p>
            <w:pPr>
              <w:spacing w:after="0" w:line="264" w:lineRule="auto"/>
            </w:pPr>
            <w:r>
              <w:rPr>
                <w:rFonts w:ascii="Calibri" w:hAnsi="Calibri"/>
                <w:color w:val="111827"/>
                <w:sz w:val="17"/>
              </w:rPr>
              <w:t>20 / month</w:t>
            </w:r>
          </w:p>
        </w:tc>
        <w:tc>
          <w:tcPr>
            <w:tcW w:type="dxa" w:w="2060"/>
            <w:tcMar>
              <w:top w:w="80" w:type="dxa"/>
              <w:start w:w="120" w:type="dxa"/>
              <w:bottom w:w="80" w:type="dxa"/>
              <w:end w:w="120" w:type="dxa"/>
            </w:tcMar>
            <w:vAlign w:val="center"/>
          </w:tcPr>
          <w:p>
            <w:pPr>
              <w:spacing w:after="0" w:line="264" w:lineRule="auto"/>
            </w:pPr>
            <w:r>
              <w:rPr>
                <w:rFonts w:ascii="Calibri" w:hAnsi="Calibri"/>
                <w:color w:val="111827"/>
                <w:sz w:val="17"/>
              </w:rPr>
              <w:t>$0</w:t>
            </w:r>
          </w:p>
        </w:tc>
        <w:tc>
          <w:tcPr>
            <w:tcW w:type="dxa" w:w="2400"/>
            <w:tcMar>
              <w:top w:w="80" w:type="dxa"/>
              <w:start w:w="120" w:type="dxa"/>
              <w:bottom w:w="80" w:type="dxa"/>
              <w:end w:w="120" w:type="dxa"/>
            </w:tcMar>
            <w:vAlign w:val="center"/>
          </w:tcPr>
          <w:p>
            <w:pPr>
              <w:spacing w:after="0" w:line="264" w:lineRule="auto"/>
            </w:pPr>
            <w:r>
              <w:rPr>
                <w:rFonts w:ascii="Calibri" w:hAnsi="Calibri"/>
                <w:color w:val="111827"/>
                <w:sz w:val="17"/>
              </w:rPr>
              <w:t>Every new verified account</w:t>
            </w:r>
          </w:p>
        </w:tc>
        <w:tc>
          <w:tcPr>
            <w:tcW w:type="dxa" w:w="2250"/>
            <w:tcMar>
              <w:top w:w="80" w:type="dxa"/>
              <w:start w:w="120" w:type="dxa"/>
              <w:bottom w:w="80" w:type="dxa"/>
              <w:end w:w="120" w:type="dxa"/>
            </w:tcMar>
            <w:vAlign w:val="center"/>
          </w:tcPr>
          <w:p>
            <w:pPr>
              <w:spacing w:after="0" w:line="264" w:lineRule="auto"/>
            </w:pPr>
            <w:r>
              <w:rPr>
                <w:rFonts w:ascii="Calibri" w:hAnsi="Calibri"/>
                <w:color w:val="111827"/>
                <w:sz w:val="17"/>
              </w:rPr>
              <w:t>Core dictation/typing and refinement</w:t>
            </w:r>
          </w:p>
        </w:tc>
      </w:tr>
      <w:tr>
        <w:tc>
          <w:tcPr>
            <w:tcW w:type="dxa" w:w="1350"/>
            <w:tcMar>
              <w:top w:w="80" w:type="dxa"/>
              <w:start w:w="120" w:type="dxa"/>
              <w:bottom w:w="80" w:type="dxa"/>
              <w:end w:w="120" w:type="dxa"/>
            </w:tcMar>
            <w:vAlign w:val="center"/>
          </w:tcPr>
          <w:p>
            <w:pPr>
              <w:spacing w:after="0" w:line="264" w:lineRule="auto"/>
            </w:pPr>
            <w:r>
              <w:rPr>
                <w:rFonts w:ascii="Calibri" w:hAnsi="Calibri"/>
                <w:color w:val="111827"/>
                <w:sz w:val="17"/>
              </w:rPr>
              <w:t>Standard</w:t>
            </w:r>
          </w:p>
        </w:tc>
        <w:tc>
          <w:tcPr>
            <w:tcW w:type="dxa" w:w="1300"/>
            <w:tcMar>
              <w:top w:w="80" w:type="dxa"/>
              <w:start w:w="120" w:type="dxa"/>
              <w:bottom w:w="80" w:type="dxa"/>
              <w:end w:w="120" w:type="dxa"/>
            </w:tcMar>
            <w:vAlign w:val="center"/>
          </w:tcPr>
          <w:p>
            <w:pPr>
              <w:spacing w:after="0" w:line="264" w:lineRule="auto"/>
            </w:pPr>
            <w:r>
              <w:rPr>
                <w:rFonts w:ascii="Calibri" w:hAnsi="Calibri"/>
                <w:color w:val="111827"/>
                <w:sz w:val="17"/>
              </w:rPr>
              <w:t>300 / month</w:t>
            </w:r>
          </w:p>
        </w:tc>
        <w:tc>
          <w:tcPr>
            <w:tcW w:type="dxa" w:w="2060"/>
            <w:tcMar>
              <w:top w:w="80" w:type="dxa"/>
              <w:start w:w="120" w:type="dxa"/>
              <w:bottom w:w="80" w:type="dxa"/>
              <w:end w:w="120" w:type="dxa"/>
            </w:tcMar>
            <w:vAlign w:val="center"/>
          </w:tcPr>
          <w:p>
            <w:pPr>
              <w:spacing w:after="0" w:line="264" w:lineRule="auto"/>
            </w:pPr>
            <w:r>
              <w:rPr>
                <w:rFonts w:ascii="Calibri" w:hAnsi="Calibri"/>
                <w:color w:val="111827"/>
                <w:sz w:val="17"/>
              </w:rPr>
              <w:t>$2.49 monthly or $24.99 annually</w:t>
            </w:r>
          </w:p>
        </w:tc>
        <w:tc>
          <w:tcPr>
            <w:tcW w:type="dxa" w:w="2400"/>
            <w:tcMar>
              <w:top w:w="80" w:type="dxa"/>
              <w:start w:w="120" w:type="dxa"/>
              <w:bottom w:w="80" w:type="dxa"/>
              <w:end w:w="120" w:type="dxa"/>
            </w:tcMar>
            <w:vAlign w:val="center"/>
          </w:tcPr>
          <w:p>
            <w:pPr>
              <w:spacing w:after="0" w:line="264" w:lineRule="auto"/>
            </w:pPr>
            <w:r>
              <w:rPr>
                <w:rFonts w:ascii="Calibri" w:hAnsi="Calibri"/>
                <w:color w:val="111827"/>
                <w:sz w:val="17"/>
              </w:rPr>
              <w:t>Verified purchase or admin assignment</w:t>
            </w:r>
          </w:p>
        </w:tc>
        <w:tc>
          <w:tcPr>
            <w:tcW w:type="dxa" w:w="2250"/>
            <w:tcMar>
              <w:top w:w="80" w:type="dxa"/>
              <w:start w:w="120" w:type="dxa"/>
              <w:bottom w:w="80" w:type="dxa"/>
              <w:end w:w="120" w:type="dxa"/>
            </w:tcMar>
            <w:vAlign w:val="center"/>
          </w:tcPr>
          <w:p>
            <w:pPr>
              <w:spacing w:after="0" w:line="264" w:lineRule="auto"/>
            </w:pPr>
            <w:r>
              <w:rPr>
                <w:rFonts w:ascii="Calibri" w:hAnsi="Calibri"/>
                <w:color w:val="111827"/>
                <w:sz w:val="17"/>
              </w:rPr>
              <w:t>Paid style controls</w:t>
            </w:r>
          </w:p>
        </w:tc>
      </w:tr>
      <w:tr>
        <w:tc>
          <w:tcPr>
            <w:tcW w:type="dxa" w:w="1350"/>
            <w:tcMar>
              <w:top w:w="80" w:type="dxa"/>
              <w:start w:w="120" w:type="dxa"/>
              <w:bottom w:w="80" w:type="dxa"/>
              <w:end w:w="120" w:type="dxa"/>
            </w:tcMar>
            <w:vAlign w:val="center"/>
          </w:tcPr>
          <w:p>
            <w:pPr>
              <w:spacing w:after="0" w:line="264" w:lineRule="auto"/>
            </w:pPr>
            <w:r>
              <w:rPr>
                <w:rFonts w:ascii="Calibri" w:hAnsi="Calibri"/>
                <w:color w:val="111827"/>
                <w:sz w:val="17"/>
              </w:rPr>
              <w:t>Pro</w:t>
            </w:r>
          </w:p>
        </w:tc>
        <w:tc>
          <w:tcPr>
            <w:tcW w:type="dxa" w:w="1300"/>
            <w:tcMar>
              <w:top w:w="80" w:type="dxa"/>
              <w:start w:w="120" w:type="dxa"/>
              <w:bottom w:w="80" w:type="dxa"/>
              <w:end w:w="120" w:type="dxa"/>
            </w:tcMar>
            <w:vAlign w:val="center"/>
          </w:tcPr>
          <w:p>
            <w:pPr>
              <w:spacing w:after="0" w:line="264" w:lineRule="auto"/>
            </w:pPr>
            <w:r>
              <w:rPr>
                <w:rFonts w:ascii="Calibri" w:hAnsi="Calibri"/>
                <w:color w:val="111827"/>
                <w:sz w:val="17"/>
              </w:rPr>
              <w:t>1,000 / month</w:t>
            </w:r>
          </w:p>
        </w:tc>
        <w:tc>
          <w:tcPr>
            <w:tcW w:type="dxa" w:w="2060"/>
            <w:tcMar>
              <w:top w:w="80" w:type="dxa"/>
              <w:start w:w="120" w:type="dxa"/>
              <w:bottom w:w="80" w:type="dxa"/>
              <w:end w:w="120" w:type="dxa"/>
            </w:tcMar>
            <w:vAlign w:val="center"/>
          </w:tcPr>
          <w:p>
            <w:pPr>
              <w:spacing w:after="0" w:line="264" w:lineRule="auto"/>
            </w:pPr>
            <w:r>
              <w:rPr>
                <w:rFonts w:ascii="Calibri" w:hAnsi="Calibri"/>
                <w:color w:val="111827"/>
                <w:sz w:val="17"/>
              </w:rPr>
              <w:t>$4.99 monthly or $49.99 annually</w:t>
            </w:r>
          </w:p>
        </w:tc>
        <w:tc>
          <w:tcPr>
            <w:tcW w:type="dxa" w:w="2400"/>
            <w:tcMar>
              <w:top w:w="80" w:type="dxa"/>
              <w:start w:w="120" w:type="dxa"/>
              <w:bottom w:w="80" w:type="dxa"/>
              <w:end w:w="120" w:type="dxa"/>
            </w:tcMar>
            <w:vAlign w:val="center"/>
          </w:tcPr>
          <w:p>
            <w:pPr>
              <w:spacing w:after="0" w:line="264" w:lineRule="auto"/>
            </w:pPr>
            <w:r>
              <w:rPr>
                <w:rFonts w:ascii="Calibri" w:hAnsi="Calibri"/>
                <w:color w:val="111827"/>
                <w:sz w:val="17"/>
              </w:rPr>
              <w:t>Verified purchase or admin assignment</w:t>
            </w:r>
          </w:p>
        </w:tc>
        <w:tc>
          <w:tcPr>
            <w:tcW w:type="dxa" w:w="2250"/>
            <w:tcMar>
              <w:top w:w="80" w:type="dxa"/>
              <w:start w:w="120" w:type="dxa"/>
              <w:bottom w:w="80" w:type="dxa"/>
              <w:end w:w="120" w:type="dxa"/>
            </w:tcMar>
            <w:vAlign w:val="center"/>
          </w:tcPr>
          <w:p>
            <w:pPr>
              <w:spacing w:after="0" w:line="264" w:lineRule="auto"/>
            </w:pPr>
            <w:r>
              <w:rPr>
                <w:rFonts w:ascii="Calibri" w:hAnsi="Calibri"/>
                <w:color w:val="111827"/>
                <w:sz w:val="17"/>
              </w:rPr>
              <w:t>Paid style controls; higher volume</w:t>
            </w:r>
          </w:p>
        </w:tc>
      </w:tr>
      <w:tr>
        <w:tc>
          <w:tcPr>
            <w:tcW w:type="dxa" w:w="1350"/>
            <w:tcMar>
              <w:top w:w="80" w:type="dxa"/>
              <w:start w:w="120" w:type="dxa"/>
              <w:bottom w:w="80" w:type="dxa"/>
              <w:end w:w="120" w:type="dxa"/>
            </w:tcMar>
            <w:vAlign w:val="center"/>
          </w:tcPr>
          <w:p>
            <w:pPr>
              <w:spacing w:after="0" w:line="264" w:lineRule="auto"/>
            </w:pPr>
            <w:r>
              <w:rPr>
                <w:rFonts w:ascii="Calibri" w:hAnsi="Calibri"/>
                <w:color w:val="111827"/>
                <w:sz w:val="17"/>
              </w:rPr>
              <w:t>Development</w:t>
            </w:r>
          </w:p>
        </w:tc>
        <w:tc>
          <w:tcPr>
            <w:tcW w:type="dxa" w:w="1300"/>
            <w:tcMar>
              <w:top w:w="80" w:type="dxa"/>
              <w:start w:w="120" w:type="dxa"/>
              <w:bottom w:w="80" w:type="dxa"/>
              <w:end w:w="120" w:type="dxa"/>
            </w:tcMar>
            <w:vAlign w:val="center"/>
          </w:tcPr>
          <w:p>
            <w:pPr>
              <w:spacing w:after="0" w:line="264" w:lineRule="auto"/>
            </w:pPr>
            <w:r>
              <w:rPr>
                <w:rFonts w:ascii="Calibri" w:hAnsi="Calibri"/>
                <w:color w:val="111827"/>
                <w:sz w:val="17"/>
              </w:rPr>
              <w:t>10,000 / month</w:t>
            </w:r>
          </w:p>
        </w:tc>
        <w:tc>
          <w:tcPr>
            <w:tcW w:type="dxa" w:w="2060"/>
            <w:tcMar>
              <w:top w:w="80" w:type="dxa"/>
              <w:start w:w="120" w:type="dxa"/>
              <w:bottom w:w="80" w:type="dxa"/>
              <w:end w:w="120" w:type="dxa"/>
            </w:tcMar>
            <w:vAlign w:val="center"/>
          </w:tcPr>
          <w:p>
            <w:pPr>
              <w:spacing w:after="0" w:line="264" w:lineRule="auto"/>
            </w:pPr>
            <w:r>
              <w:rPr>
                <w:rFonts w:ascii="Calibri" w:hAnsi="Calibri"/>
                <w:color w:val="111827"/>
                <w:sz w:val="17"/>
              </w:rPr>
              <w:t>Not sold</w:t>
            </w:r>
          </w:p>
        </w:tc>
        <w:tc>
          <w:tcPr>
            <w:tcW w:type="dxa" w:w="2400"/>
            <w:tcMar>
              <w:top w:w="80" w:type="dxa"/>
              <w:start w:w="120" w:type="dxa"/>
              <w:bottom w:w="80" w:type="dxa"/>
              <w:end w:w="120" w:type="dxa"/>
            </w:tcMar>
            <w:vAlign w:val="center"/>
          </w:tcPr>
          <w:p>
            <w:pPr>
              <w:spacing w:after="0" w:line="264" w:lineRule="auto"/>
            </w:pPr>
            <w:r>
              <w:rPr>
                <w:rFonts w:ascii="Calibri" w:hAnsi="Calibri"/>
                <w:color w:val="111827"/>
                <w:sz w:val="17"/>
              </w:rPr>
              <w:t>Administrators only</w:t>
            </w:r>
          </w:p>
        </w:tc>
        <w:tc>
          <w:tcPr>
            <w:tcW w:type="dxa" w:w="2250"/>
            <w:tcMar>
              <w:top w:w="80" w:type="dxa"/>
              <w:start w:w="120" w:type="dxa"/>
              <w:bottom w:w="80" w:type="dxa"/>
              <w:end w:w="120" w:type="dxa"/>
            </w:tcMar>
            <w:vAlign w:val="center"/>
          </w:tcPr>
          <w:p>
            <w:pPr>
              <w:spacing w:after="0" w:line="264" w:lineRule="auto"/>
            </w:pPr>
            <w:r>
              <w:rPr>
                <w:rFonts w:ascii="Calibri" w:hAnsi="Calibri"/>
                <w:color w:val="111827"/>
                <w:sz w:val="17"/>
              </w:rPr>
              <w:t>Internal testing and paid feature set</w:t>
            </w:r>
          </w:p>
        </w:tc>
      </w:tr>
      <w:tr>
        <w:tc>
          <w:tcPr>
            <w:tcW w:type="dxa" w:w="1350"/>
            <w:tcMar>
              <w:top w:w="80" w:type="dxa"/>
              <w:start w:w="120" w:type="dxa"/>
              <w:bottom w:w="80" w:type="dxa"/>
              <w:end w:w="120" w:type="dxa"/>
            </w:tcMar>
            <w:vAlign w:val="center"/>
          </w:tcPr>
          <w:p>
            <w:pPr>
              <w:spacing w:after="0" w:line="264" w:lineRule="auto"/>
            </w:pPr>
            <w:r>
              <w:rPr>
                <w:rFonts w:ascii="Calibri" w:hAnsi="Calibri"/>
                <w:color w:val="111827"/>
                <w:sz w:val="17"/>
              </w:rPr>
              <w:t>Admin role</w:t>
            </w:r>
          </w:p>
        </w:tc>
        <w:tc>
          <w:tcPr>
            <w:tcW w:type="dxa" w:w="1300"/>
            <w:tcMar>
              <w:top w:w="80" w:type="dxa"/>
              <w:start w:w="120" w:type="dxa"/>
              <w:bottom w:w="80" w:type="dxa"/>
              <w:end w:w="120" w:type="dxa"/>
            </w:tcMar>
            <w:vAlign w:val="center"/>
          </w:tcPr>
          <w:p>
            <w:pPr>
              <w:spacing w:after="0" w:line="264" w:lineRule="auto"/>
            </w:pPr>
            <w:r>
              <w:rPr>
                <w:rFonts w:ascii="Calibri" w:hAnsi="Calibri"/>
                <w:color w:val="111827"/>
                <w:sz w:val="17"/>
              </w:rPr>
              <w:t>Unlimited</w:t>
            </w:r>
          </w:p>
        </w:tc>
        <w:tc>
          <w:tcPr>
            <w:tcW w:type="dxa" w:w="2060"/>
            <w:tcMar>
              <w:top w:w="80" w:type="dxa"/>
              <w:start w:w="120" w:type="dxa"/>
              <w:bottom w:w="80" w:type="dxa"/>
              <w:end w:w="120" w:type="dxa"/>
            </w:tcMar>
            <w:vAlign w:val="center"/>
          </w:tcPr>
          <w:p>
            <w:pPr>
              <w:spacing w:after="0" w:line="264" w:lineRule="auto"/>
            </w:pPr>
            <w:r>
              <w:rPr>
                <w:rFonts w:ascii="Calibri" w:hAnsi="Calibri"/>
                <w:color w:val="111827"/>
                <w:sz w:val="17"/>
              </w:rPr>
              <w:t>Not applicable</w:t>
            </w:r>
          </w:p>
        </w:tc>
        <w:tc>
          <w:tcPr>
            <w:tcW w:type="dxa" w:w="2400"/>
            <w:tcMar>
              <w:top w:w="80" w:type="dxa"/>
              <w:start w:w="120" w:type="dxa"/>
              <w:bottom w:w="80" w:type="dxa"/>
              <w:end w:w="120" w:type="dxa"/>
            </w:tcMar>
            <w:vAlign w:val="center"/>
          </w:tcPr>
          <w:p>
            <w:pPr>
              <w:spacing w:after="0" w:line="264" w:lineRule="auto"/>
            </w:pPr>
            <w:r>
              <w:rPr>
                <w:rFonts w:ascii="Calibri" w:hAnsi="Calibri"/>
                <w:color w:val="111827"/>
                <w:sz w:val="17"/>
              </w:rPr>
              <w:t>Authorized administrators</w:t>
            </w:r>
          </w:p>
        </w:tc>
        <w:tc>
          <w:tcPr>
            <w:tcW w:type="dxa" w:w="2250"/>
            <w:tcMar>
              <w:top w:w="80" w:type="dxa"/>
              <w:start w:w="120" w:type="dxa"/>
              <w:bottom w:w="80" w:type="dxa"/>
              <w:end w:w="120" w:type="dxa"/>
            </w:tcMar>
            <w:vAlign w:val="center"/>
          </w:tcPr>
          <w:p>
            <w:pPr>
              <w:spacing w:after="0" w:line="264" w:lineRule="auto"/>
            </w:pPr>
            <w:r>
              <w:rPr>
                <w:rFonts w:ascii="Calibri" w:hAnsi="Calibri"/>
                <w:color w:val="111827"/>
                <w:sz w:val="17"/>
              </w:rPr>
              <w:t>Quota bypass plus admin console</w:t>
            </w:r>
          </w:p>
        </w:tc>
      </w:tr>
    </w:tbl>
    <w:p>
      <w:pPr>
        <w:spacing w:after="0"/>
      </w:pPr>
    </w:p>
    <w:p>
      <w:r>
        <w:rPr>
          <w:rFonts w:ascii="Calibri" w:hAnsi="Calibri"/>
          <w:color w:val="111827"/>
        </w:rPr>
        <w:t>Prices shown above are the values defined by the current server plan catalog. Google Play ultimately controls the price displayed and charged inside the Android purchase sheet, including localized pricing, taxes, and any store-configured offer.</w:t>
      </w:r>
    </w:p>
    <w:p>
      <w:pPr>
        <w:pStyle w:val="Heading2"/>
      </w:pPr>
      <w:r>
        <w:t>Core design rules</w:t>
      </w:r>
    </w:p>
    <w:p>
      <w:pPr>
        <w:pStyle w:val="ListBullet"/>
        <w:spacing w:after="80" w:line="300" w:lineRule="auto"/>
        <w:ind w:left="540" w:hanging="271"/>
      </w:pPr>
      <w:r>
        <w:rPr>
          <w:rFonts w:ascii="Calibri" w:hAnsi="Calibri"/>
          <w:color w:val="111827"/>
          <w:sz w:val="22"/>
        </w:rPr>
        <w:t>The server owns plan identifiers and allowances; browsers and mobile clients cannot invent an allowance.</w:t>
      </w:r>
    </w:p>
    <w:p>
      <w:pPr>
        <w:pStyle w:val="ListBullet"/>
        <w:spacing w:after="80" w:line="300" w:lineRule="auto"/>
        <w:ind w:left="540" w:hanging="271"/>
      </w:pPr>
      <w:r>
        <w:rPr>
          <w:rFonts w:ascii="Calibri" w:hAnsi="Calibri"/>
          <w:color w:val="111827"/>
          <w:sz w:val="22"/>
        </w:rPr>
        <w:t>A single ClearlySaid login carries the effective plan across supported clients.</w:t>
      </w:r>
    </w:p>
    <w:p>
      <w:pPr>
        <w:pStyle w:val="ListBullet"/>
        <w:spacing w:after="80" w:line="300" w:lineRule="auto"/>
        <w:ind w:left="540" w:hanging="271"/>
      </w:pPr>
      <w:r>
        <w:rPr>
          <w:rFonts w:ascii="Calibri" w:hAnsi="Calibri"/>
          <w:color w:val="111827"/>
          <w:sz w:val="22"/>
        </w:rPr>
        <w:t>Free users can refine messages but cannot submit forged paid-style options; Web01 rejects them.</w:t>
      </w:r>
    </w:p>
    <w:p>
      <w:pPr>
        <w:pStyle w:val="ListBullet"/>
        <w:spacing w:after="80" w:line="300" w:lineRule="auto"/>
        <w:ind w:left="540" w:hanging="271"/>
      </w:pPr>
      <w:r>
        <w:rPr>
          <w:rFonts w:ascii="Calibri" w:hAnsi="Calibri"/>
          <w:color w:val="111827"/>
          <w:sz w:val="22"/>
        </w:rPr>
        <w:t>Payment-card information stays with Stripe or Google Play and is not stored in the ClearlySaid account database.</w:t>
      </w:r>
    </w:p>
    <w:p>
      <w:pPr>
        <w:pStyle w:val="Heading1"/>
      </w:pPr>
      <w:r>
        <w:t>2. Free signup and account activation</w:t>
      </w:r>
    </w:p>
    <w:p>
      <w:pPr>
        <w:pStyle w:val="Heading2"/>
      </w:pPr>
      <w:r>
        <w:t>User journey</w:t>
      </w:r>
    </w:p>
    <w:p>
      <w:pPr>
        <w:pStyle w:val="ListNumber"/>
        <w:spacing w:after="80" w:line="300" w:lineRule="auto"/>
        <w:ind w:left="540" w:hanging="271"/>
      </w:pPr>
      <w:r>
        <w:rPr>
          <w:rFonts w:ascii="Calibri" w:hAnsi="Calibri"/>
          <w:color w:val="111827"/>
          <w:sz w:val="22"/>
        </w:rPr>
        <w:t>The visitor selects Create an account on the website or Android app and enters an email address and password.</w:t>
      </w:r>
    </w:p>
    <w:p>
      <w:pPr>
        <w:pStyle w:val="ListNumber"/>
        <w:spacing w:after="80" w:line="300" w:lineRule="auto"/>
        <w:ind w:left="540" w:hanging="271"/>
      </w:pPr>
      <w:r>
        <w:rPr>
          <w:rFonts w:ascii="Calibri" w:hAnsi="Calibri"/>
          <w:color w:val="111827"/>
          <w:sz w:val="22"/>
        </w:rPr>
        <w:t>The password must be at least 12 characters and include uppercase, lowercase, and numeric characters.</w:t>
      </w:r>
    </w:p>
    <w:p>
      <w:pPr>
        <w:pStyle w:val="ListNumber"/>
        <w:spacing w:after="80" w:line="300" w:lineRule="auto"/>
        <w:ind w:left="540" w:hanging="271"/>
      </w:pPr>
      <w:r>
        <w:rPr>
          <w:rFonts w:ascii="Calibri" w:hAnsi="Calibri"/>
          <w:color w:val="111827"/>
          <w:sz w:val="22"/>
        </w:rPr>
        <w:t>Web01 creates the identity with an ASP.NET Identity password hash and creates an active Free entitlement with 20 monthly refinements.</w:t>
      </w:r>
    </w:p>
    <w:p>
      <w:pPr>
        <w:pStyle w:val="ListNumber"/>
        <w:spacing w:after="80" w:line="300" w:lineRule="auto"/>
        <w:ind w:left="540" w:hanging="271"/>
      </w:pPr>
      <w:r>
        <w:rPr>
          <w:rFonts w:ascii="Calibri" w:hAnsi="Calibri"/>
          <w:color w:val="111827"/>
          <w:sz w:val="22"/>
        </w:rPr>
        <w:t>ClearlySaid sends a time-limited email-verification link. Login is permitted only after the email has been verified.</w:t>
      </w:r>
    </w:p>
    <w:p>
      <w:pPr>
        <w:pStyle w:val="ListNumber"/>
        <w:spacing w:after="80" w:line="300" w:lineRule="auto"/>
        <w:ind w:left="540" w:hanging="271"/>
      </w:pPr>
      <w:r>
        <w:rPr>
          <w:rFonts w:ascii="Calibri" w:hAnsi="Calibri"/>
          <w:color w:val="111827"/>
          <w:sz w:val="22"/>
        </w:rPr>
        <w:t>After login, the client receives an access token and account summary showing the plan, allowance, usage, renewal/reset date, role, and billing provider.</w:t>
      </w:r>
    </w:p>
    <w:p>
      <w:pPr>
        <w:pStyle w:val="Heading2"/>
      </w:pPr>
      <w:r>
        <w:t>What the Free user sees</w:t>
      </w:r>
    </w:p>
    <w:p>
      <w:pPr>
        <w:pStyle w:val="ListBullet"/>
        <w:spacing w:after="80" w:line="300" w:lineRule="auto"/>
        <w:ind w:left="540" w:hanging="271"/>
      </w:pPr>
      <w:r>
        <w:rPr>
          <w:rFonts w:ascii="Calibri" w:hAnsi="Calibri"/>
          <w:color w:val="111827"/>
          <w:sz w:val="22"/>
        </w:rPr>
        <w:t>An account summary showing the Free plan and remaining messages.</w:t>
      </w:r>
    </w:p>
    <w:p>
      <w:pPr>
        <w:pStyle w:val="ListBullet"/>
        <w:spacing w:after="80" w:line="300" w:lineRule="auto"/>
        <w:ind w:left="540" w:hanging="271"/>
      </w:pPr>
      <w:r>
        <w:rPr>
          <w:rFonts w:ascii="Calibri" w:hAnsi="Calibri"/>
          <w:color w:val="111827"/>
          <w:sz w:val="22"/>
        </w:rPr>
        <w:t>The dictation/type-and-refine workspace and copy/clear controls.</w:t>
      </w:r>
    </w:p>
    <w:p>
      <w:pPr>
        <w:pStyle w:val="ListBullet"/>
        <w:spacing w:after="80" w:line="300" w:lineRule="auto"/>
        <w:ind w:left="540" w:hanging="271"/>
      </w:pPr>
      <w:r>
        <w:rPr>
          <w:rFonts w:ascii="Calibri" w:hAnsi="Calibri"/>
          <w:color w:val="111827"/>
          <w:sz w:val="22"/>
        </w:rPr>
        <w:t>A Plans and billing section that presents Standard and Pro when an upgrade is available.</w:t>
      </w:r>
    </w:p>
    <w:p>
      <w:pPr>
        <w:pStyle w:val="ListBullet"/>
        <w:spacing w:after="80" w:line="300" w:lineRule="auto"/>
        <w:ind w:left="540" w:hanging="271"/>
      </w:pPr>
      <w:r>
        <w:rPr>
          <w:rFonts w:ascii="Calibri" w:hAnsi="Calibri"/>
          <w:color w:val="111827"/>
          <w:sz w:val="22"/>
        </w:rPr>
        <w:t>No purpose, tone, or directness selectors; those controls are reserved for paid, Development, and Admin access.</w:t>
      </w:r>
    </w:p>
    <w:p>
      <w:pPr>
        <w:pStyle w:val="ListBullet"/>
        <w:spacing w:after="80" w:line="300" w:lineRule="auto"/>
        <w:ind w:left="540" w:hanging="271"/>
      </w:pPr>
      <w:r>
        <w:rPr>
          <w:rFonts w:ascii="Calibri" w:hAnsi="Calibri"/>
          <w:color w:val="111827"/>
          <w:sz w:val="22"/>
        </w:rPr>
        <w:t>When the allowance reaches zero, composition is disabled and the user is prompted to compare plans or wait for the monthly reset.</w:t>
      </w:r>
    </w:p>
    <w:p>
      <w:pPr>
        <w:pStyle w:val="Heading2"/>
      </w:pPr>
      <w:r>
        <w:t>Identity and session behavior</w:t>
      </w:r>
    </w:p>
    <w:tbl>
      <w:tblPr>
        <w:tblStyle w:val="TableGrid"/>
        <w:tblW w:type="dxa" w:w="9360"/>
        <w:jc w:val="left"/>
        <w:tblLayout w:type="fixed"/>
        <w:tblLook w:firstColumn="1" w:firstRow="1" w:lastColumn="0" w:lastRow="0" w:noHBand="0" w:noVBand="1" w:val="04A0"/>
        <w:tblInd w:w="120" w:type="dxa"/>
      </w:tblPr>
      <w:tblGrid>
        <w:gridCol w:w="2050"/>
        <w:gridCol w:w="7310"/>
      </w:tblGrid>
      <w:tr>
        <w:trPr>
          <w:tblHeader/>
        </w:trPr>
        <w:tc>
          <w:tcPr>
            <w:tcW w:type="dxa" w:w="2050"/>
            <w:shd w:fill="E8EEF5"/>
            <w:tcMar>
              <w:top w:w="80" w:type="dxa"/>
              <w:start w:w="120" w:type="dxa"/>
              <w:bottom w:w="80" w:type="dxa"/>
              <w:end w:w="120" w:type="dxa"/>
            </w:tcMar>
            <w:vAlign w:val="center"/>
          </w:tcPr>
          <w:p>
            <w:pPr>
              <w:spacing w:after="0"/>
            </w:pPr>
            <w:r>
              <w:rPr>
                <w:rFonts w:ascii="Calibri" w:hAnsi="Calibri"/>
                <w:b/>
                <w:color w:val="17233C"/>
                <w:sz w:val="18"/>
              </w:rPr>
              <w:t>Control</w:t>
            </w:r>
          </w:p>
        </w:tc>
        <w:tc>
          <w:tcPr>
            <w:tcW w:type="dxa" w:w="7310"/>
            <w:shd w:fill="E8EEF5"/>
            <w:tcMar>
              <w:top w:w="80" w:type="dxa"/>
              <w:start w:w="120" w:type="dxa"/>
              <w:bottom w:w="80" w:type="dxa"/>
              <w:end w:w="120" w:type="dxa"/>
            </w:tcMar>
            <w:vAlign w:val="center"/>
          </w:tcPr>
          <w:p>
            <w:pPr>
              <w:spacing w:after="0"/>
            </w:pPr>
            <w:r>
              <w:rPr>
                <w:rFonts w:ascii="Calibri" w:hAnsi="Calibri"/>
                <w:b/>
                <w:color w:val="17233C"/>
                <w:sz w:val="18"/>
              </w:rPr>
              <w:t>Behavior</w:t>
            </w:r>
          </w:p>
        </w:tc>
      </w:tr>
      <w:tr>
        <w:tc>
          <w:tcPr>
            <w:tcW w:type="dxa" w:w="2050"/>
            <w:tcMar>
              <w:top w:w="80" w:type="dxa"/>
              <w:start w:w="120" w:type="dxa"/>
              <w:bottom w:w="80" w:type="dxa"/>
              <w:end w:w="120" w:type="dxa"/>
            </w:tcMar>
            <w:vAlign w:val="center"/>
          </w:tcPr>
          <w:p>
            <w:pPr>
              <w:spacing w:after="0" w:line="264" w:lineRule="auto"/>
            </w:pPr>
            <w:r>
              <w:rPr>
                <w:rFonts w:ascii="Calibri" w:hAnsi="Calibri"/>
                <w:color w:val="111827"/>
                <w:sz w:val="18"/>
              </w:rPr>
              <w:t>Email uniqueness</w:t>
            </w:r>
          </w:p>
        </w:tc>
        <w:tc>
          <w:tcPr>
            <w:tcW w:type="dxa" w:w="7310"/>
            <w:tcMar>
              <w:top w:w="80" w:type="dxa"/>
              <w:start w:w="120" w:type="dxa"/>
              <w:bottom w:w="80" w:type="dxa"/>
              <w:end w:w="120" w:type="dxa"/>
            </w:tcMar>
            <w:vAlign w:val="center"/>
          </w:tcPr>
          <w:p>
            <w:pPr>
              <w:spacing w:after="0" w:line="264" w:lineRule="auto"/>
            </w:pPr>
            <w:r>
              <w:rPr>
                <w:rFonts w:ascii="Calibri" w:hAnsi="Calibri"/>
                <w:color w:val="111827"/>
                <w:sz w:val="18"/>
              </w:rPr>
              <w:t>Registration returns a conflict if the normalized email already exists.</w:t>
            </w:r>
          </w:p>
        </w:tc>
      </w:tr>
      <w:tr>
        <w:tc>
          <w:tcPr>
            <w:tcW w:type="dxa" w:w="2050"/>
            <w:tcMar>
              <w:top w:w="80" w:type="dxa"/>
              <w:start w:w="120" w:type="dxa"/>
              <w:bottom w:w="80" w:type="dxa"/>
              <w:end w:w="120" w:type="dxa"/>
            </w:tcMar>
            <w:vAlign w:val="center"/>
          </w:tcPr>
          <w:p>
            <w:pPr>
              <w:spacing w:after="0" w:line="264" w:lineRule="auto"/>
            </w:pPr>
            <w:r>
              <w:rPr>
                <w:rFonts w:ascii="Calibri" w:hAnsi="Calibri"/>
                <w:color w:val="111827"/>
                <w:sz w:val="18"/>
              </w:rPr>
              <w:t>Email verification</w:t>
            </w:r>
          </w:p>
        </w:tc>
        <w:tc>
          <w:tcPr>
            <w:tcW w:type="dxa" w:w="7310"/>
            <w:tcMar>
              <w:top w:w="80" w:type="dxa"/>
              <w:start w:w="120" w:type="dxa"/>
              <w:bottom w:w="80" w:type="dxa"/>
              <w:end w:w="120" w:type="dxa"/>
            </w:tcMar>
            <w:vAlign w:val="center"/>
          </w:tcPr>
          <w:p>
            <w:pPr>
              <w:spacing w:after="0" w:line="264" w:lineRule="auto"/>
            </w:pPr>
            <w:r>
              <w:rPr>
                <w:rFonts w:ascii="Calibri" w:hAnsi="Calibri"/>
                <w:color w:val="111827"/>
                <w:sz w:val="18"/>
              </w:rPr>
              <w:t>The account exists immediately, but login requires a verified email.</w:t>
            </w:r>
          </w:p>
        </w:tc>
      </w:tr>
      <w:tr>
        <w:tc>
          <w:tcPr>
            <w:tcW w:type="dxa" w:w="2050"/>
            <w:tcMar>
              <w:top w:w="80" w:type="dxa"/>
              <w:start w:w="120" w:type="dxa"/>
              <w:bottom w:w="80" w:type="dxa"/>
              <w:end w:w="120" w:type="dxa"/>
            </w:tcMar>
            <w:vAlign w:val="center"/>
          </w:tcPr>
          <w:p>
            <w:pPr>
              <w:spacing w:after="0" w:line="264" w:lineRule="auto"/>
            </w:pPr>
            <w:r>
              <w:rPr>
                <w:rFonts w:ascii="Calibri" w:hAnsi="Calibri"/>
                <w:color w:val="111827"/>
                <w:sz w:val="18"/>
              </w:rPr>
              <w:t>Sessions</w:t>
            </w:r>
          </w:p>
        </w:tc>
        <w:tc>
          <w:tcPr>
            <w:tcW w:type="dxa" w:w="7310"/>
            <w:tcMar>
              <w:top w:w="80" w:type="dxa"/>
              <w:start w:w="120" w:type="dxa"/>
              <w:bottom w:w="80" w:type="dxa"/>
              <w:end w:w="120" w:type="dxa"/>
            </w:tcMar>
            <w:vAlign w:val="center"/>
          </w:tcPr>
          <w:p>
            <w:pPr>
              <w:spacing w:after="0" w:line="264" w:lineRule="auto"/>
            </w:pPr>
            <w:r>
              <w:rPr>
                <w:rFonts w:ascii="Calibri" w:hAnsi="Calibri"/>
                <w:color w:val="111827"/>
                <w:sz w:val="18"/>
              </w:rPr>
              <w:t>Access tokens expire after 30 days and are stored server-side only as one-way hashes.</w:t>
            </w:r>
          </w:p>
        </w:tc>
      </w:tr>
      <w:tr>
        <w:tc>
          <w:tcPr>
            <w:tcW w:type="dxa" w:w="2050"/>
            <w:tcMar>
              <w:top w:w="80" w:type="dxa"/>
              <w:start w:w="120" w:type="dxa"/>
              <w:bottom w:w="80" w:type="dxa"/>
              <w:end w:w="120" w:type="dxa"/>
            </w:tcMar>
            <w:vAlign w:val="center"/>
          </w:tcPr>
          <w:p>
            <w:pPr>
              <w:spacing w:after="0" w:line="264" w:lineRule="auto"/>
            </w:pPr>
            <w:r>
              <w:rPr>
                <w:rFonts w:ascii="Calibri" w:hAnsi="Calibri"/>
                <w:color w:val="111827"/>
                <w:sz w:val="18"/>
              </w:rPr>
              <w:t>Password recovery</w:t>
            </w:r>
          </w:p>
        </w:tc>
        <w:tc>
          <w:tcPr>
            <w:tcW w:type="dxa" w:w="7310"/>
            <w:tcMar>
              <w:top w:w="80" w:type="dxa"/>
              <w:start w:w="120" w:type="dxa"/>
              <w:bottom w:w="80" w:type="dxa"/>
              <w:end w:w="120" w:type="dxa"/>
            </w:tcMar>
            <w:vAlign w:val="center"/>
          </w:tcPr>
          <w:p>
            <w:pPr>
              <w:spacing w:after="0" w:line="264" w:lineRule="auto"/>
            </w:pPr>
            <w:r>
              <w:rPr>
                <w:rFonts w:ascii="Calibri" w:hAnsi="Calibri"/>
                <w:color w:val="111827"/>
                <w:sz w:val="18"/>
              </w:rPr>
              <w:t>A reset email creates a 30-minute token; completing the reset revokes sessions.</w:t>
            </w:r>
          </w:p>
        </w:tc>
      </w:tr>
      <w:tr>
        <w:tc>
          <w:tcPr>
            <w:tcW w:type="dxa" w:w="2050"/>
            <w:tcMar>
              <w:top w:w="80" w:type="dxa"/>
              <w:start w:w="120" w:type="dxa"/>
              <w:bottom w:w="80" w:type="dxa"/>
              <w:end w:w="120" w:type="dxa"/>
            </w:tcMar>
            <w:vAlign w:val="center"/>
          </w:tcPr>
          <w:p>
            <w:pPr>
              <w:spacing w:after="0" w:line="264" w:lineRule="auto"/>
            </w:pPr>
            <w:r>
              <w:rPr>
                <w:rFonts w:ascii="Calibri" w:hAnsi="Calibri"/>
                <w:color w:val="111827"/>
                <w:sz w:val="18"/>
              </w:rPr>
              <w:t>Self-service deletion</w:t>
            </w:r>
          </w:p>
        </w:tc>
        <w:tc>
          <w:tcPr>
            <w:tcW w:type="dxa" w:w="7310"/>
            <w:tcMar>
              <w:top w:w="80" w:type="dxa"/>
              <w:start w:w="120" w:type="dxa"/>
              <w:bottom w:w="80" w:type="dxa"/>
              <w:end w:w="120" w:type="dxa"/>
            </w:tcMar>
            <w:vAlign w:val="center"/>
          </w:tcPr>
          <w:p>
            <w:pPr>
              <w:spacing w:after="0" w:line="264" w:lineRule="auto"/>
            </w:pPr>
            <w:r>
              <w:rPr>
                <w:rFonts w:ascii="Calibri" w:hAnsi="Calibri"/>
                <w:color w:val="111827"/>
                <w:sz w:val="18"/>
              </w:rPr>
              <w:t>The identity is anonymized and disabled, and sessions are revoked. Store subscriptions must also be canceled with their provider.</w:t>
            </w:r>
          </w:p>
        </w:tc>
      </w:tr>
    </w:tbl>
    <w:p>
      <w:pPr>
        <w:spacing w:after="0"/>
      </w:pPr>
    </w:p>
    <w:p>
      <w:pPr>
        <w:pStyle w:val="Heading1"/>
      </w:pPr>
      <w:r>
        <w:t>3. Website presentation and Stripe billing</w:t>
      </w:r>
    </w:p>
    <w:p>
      <w:r>
        <w:rPr>
          <w:rFonts w:ascii="Calibri" w:hAnsi="Calibri"/>
          <w:color w:val="111827"/>
        </w:rPr>
        <w:t>On clearlysaid.ai, the Blazor Web App renders the account, composition workspace, usage summary, and billing controls in one experience. The billing section is available to signed-in non-administrator accounts.</w:t>
      </w:r>
    </w:p>
    <w:p>
      <w:pPr>
        <w:pStyle w:val="Heading2"/>
      </w:pPr>
      <w:r>
        <w:t>Website plan presentation</w:t>
      </w:r>
    </w:p>
    <w:p>
      <w:pPr>
        <w:pStyle w:val="ListBullet"/>
        <w:spacing w:after="80" w:line="300" w:lineRule="auto"/>
        <w:ind w:left="540" w:hanging="271"/>
      </w:pPr>
      <w:r>
        <w:rPr>
          <w:rFonts w:ascii="Calibri" w:hAnsi="Calibri"/>
          <w:color w:val="111827"/>
          <w:sz w:val="22"/>
        </w:rPr>
        <w:t>A Free account sees separate Standard and Pro cards.</w:t>
      </w:r>
    </w:p>
    <w:p>
      <w:pPr>
        <w:pStyle w:val="ListBullet"/>
        <w:spacing w:after="80" w:line="300" w:lineRule="auto"/>
        <w:ind w:left="540" w:hanging="271"/>
      </w:pPr>
      <w:r>
        <w:rPr>
          <w:rFonts w:ascii="Calibri" w:hAnsi="Calibri"/>
          <w:color w:val="111827"/>
          <w:sz w:val="22"/>
        </w:rPr>
        <w:t>Each card states the monthly message allowance and offers a monthly and annual button.</w:t>
      </w:r>
    </w:p>
    <w:p>
      <w:pPr>
        <w:pStyle w:val="ListBullet"/>
        <w:spacing w:after="80" w:line="300" w:lineRule="auto"/>
        <w:ind w:left="540" w:hanging="271"/>
      </w:pPr>
      <w:r>
        <w:rPr>
          <w:rFonts w:ascii="Calibri" w:hAnsi="Calibri"/>
          <w:color w:val="111827"/>
          <w:sz w:val="22"/>
        </w:rPr>
        <w:t>Current website labels are based on the server catalog: Standard at $2.49/month or $24.99/year; Pro at $4.99/month or $49.99/year.</w:t>
      </w:r>
    </w:p>
    <w:p>
      <w:pPr>
        <w:pStyle w:val="ListBullet"/>
        <w:spacing w:after="80" w:line="300" w:lineRule="auto"/>
        <w:ind w:left="540" w:hanging="271"/>
      </w:pPr>
      <w:r>
        <w:rPr>
          <w:rFonts w:ascii="Calibri" w:hAnsi="Calibri"/>
          <w:color w:val="111827"/>
          <w:sz w:val="22"/>
        </w:rPr>
        <w:t>If required Stripe settings are unavailable, the buttons are disabled and the site says online subscriptions are coming soon while Free remains usable.</w:t>
      </w:r>
    </w:p>
    <w:p>
      <w:pPr>
        <w:pStyle w:val="Heading2"/>
      </w:pPr>
      <w:r>
        <w:t>Website purchase flow</w:t>
      </w:r>
    </w:p>
    <w:p>
      <w:pPr>
        <w:pStyle w:val="ListNumber"/>
        <w:spacing w:after="80" w:line="300" w:lineRule="auto"/>
        <w:ind w:left="540" w:hanging="271"/>
      </w:pPr>
      <w:r>
        <w:rPr>
          <w:rFonts w:ascii="Calibri" w:hAnsi="Calibri"/>
          <w:color w:val="111827"/>
          <w:sz w:val="22"/>
        </w:rPr>
        <w:t>The signed-in Free user chooses Standard or Pro and selects monthly or annual billing.</w:t>
      </w:r>
    </w:p>
    <w:p>
      <w:pPr>
        <w:pStyle w:val="ListNumber"/>
        <w:spacing w:after="80" w:line="300" w:lineRule="auto"/>
        <w:ind w:left="540" w:hanging="271"/>
      </w:pPr>
      <w:r>
        <w:rPr>
          <w:rFonts w:ascii="Calibri" w:hAnsi="Calibri"/>
          <w:color w:val="111827"/>
          <w:sz w:val="22"/>
        </w:rPr>
        <w:t>Web01 validates that the plan and interval are purchasable, confirms that the current account is eligible, and creates a Stripe-hosted Checkout session.</w:t>
      </w:r>
    </w:p>
    <w:p>
      <w:pPr>
        <w:pStyle w:val="ListNumber"/>
        <w:spacing w:after="80" w:line="300" w:lineRule="auto"/>
        <w:ind w:left="540" w:hanging="271"/>
      </w:pPr>
      <w:r>
        <w:rPr>
          <w:rFonts w:ascii="Calibri" w:hAnsi="Calibri"/>
          <w:color w:val="111827"/>
          <w:sz w:val="22"/>
        </w:rPr>
        <w:t>The browser is redirected only to an HTTPS stripe.com host. Stripe collects payment information; ClearlySaid does not.</w:t>
      </w:r>
    </w:p>
    <w:p>
      <w:pPr>
        <w:pStyle w:val="ListNumber"/>
        <w:spacing w:after="80" w:line="300" w:lineRule="auto"/>
        <w:ind w:left="540" w:hanging="271"/>
      </w:pPr>
      <w:r>
        <w:rPr>
          <w:rFonts w:ascii="Calibri" w:hAnsi="Calibri"/>
          <w:color w:val="111827"/>
          <w:sz w:val="22"/>
        </w:rPr>
        <w:t>Stripe sends signed webhook events to Web01. Web01 verifies the signature, links the subscription to the ClearlySaid user, processes events idempotently, and updates the server entitlement.</w:t>
      </w:r>
    </w:p>
    <w:p>
      <w:pPr>
        <w:pStyle w:val="ListNumber"/>
        <w:spacing w:after="80" w:line="300" w:lineRule="auto"/>
        <w:ind w:left="540" w:hanging="271"/>
      </w:pPr>
      <w:r>
        <w:rPr>
          <w:rFonts w:ascii="Calibri" w:hAnsi="Calibri"/>
          <w:color w:val="111827"/>
          <w:sz w:val="22"/>
        </w:rPr>
        <w:t>The user returns to ClearlySaid and can refresh the plan. The paid entitlement is then visible from any client using the same ClearlySaid account.</w:t>
      </w:r>
    </w:p>
    <w:p>
      <w:pPr>
        <w:pStyle w:val="Heading2"/>
      </w:pPr>
      <w:r>
        <w:t>Billing management on the website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trPr>
        <w:tc>
          <w:tcPr>
            <w:tcW w:type="dxa" w:w="2200"/>
            <w:shd w:fill="E8EEF5"/>
            <w:tcMar>
              <w:top w:w="80" w:type="dxa"/>
              <w:start w:w="120" w:type="dxa"/>
              <w:bottom w:w="80" w:type="dxa"/>
              <w:end w:w="120" w:type="dxa"/>
            </w:tcMar>
            <w:vAlign w:val="center"/>
          </w:tcPr>
          <w:p>
            <w:pPr>
              <w:spacing w:after="0"/>
            </w:pPr>
            <w:r>
              <w:rPr>
                <w:rFonts w:ascii="Calibri" w:hAnsi="Calibri"/>
                <w:b/>
                <w:color w:val="17233C"/>
                <w:sz w:val="18"/>
              </w:rPr>
              <w:t>Action</w:t>
            </w:r>
          </w:p>
        </w:tc>
        <w:tc>
          <w:tcPr>
            <w:tcW w:type="dxa" w:w="7160"/>
            <w:shd w:fill="E8EEF5"/>
            <w:tcMar>
              <w:top w:w="80" w:type="dxa"/>
              <w:start w:w="120" w:type="dxa"/>
              <w:bottom w:w="80" w:type="dxa"/>
              <w:end w:w="120" w:type="dxa"/>
            </w:tcMar>
            <w:vAlign w:val="center"/>
          </w:tcPr>
          <w:p>
            <w:pPr>
              <w:spacing w:after="0"/>
            </w:pPr>
            <w:r>
              <w:rPr>
                <w:rFonts w:ascii="Calibri" w:hAnsi="Calibri"/>
                <w:b/>
                <w:color w:val="17233C"/>
                <w:sz w:val="18"/>
              </w:rPr>
              <w:t>Result</w:t>
            </w:r>
          </w:p>
        </w:tc>
      </w:tr>
      <w:tr>
        <w:tc>
          <w:tcPr>
            <w:tcW w:type="dxa" w:w="2200"/>
            <w:tcMar>
              <w:top w:w="80" w:type="dxa"/>
              <w:start w:w="120" w:type="dxa"/>
              <w:bottom w:w="80" w:type="dxa"/>
              <w:end w:w="120" w:type="dxa"/>
            </w:tcMar>
            <w:vAlign w:val="center"/>
          </w:tcPr>
          <w:p>
            <w:pPr>
              <w:spacing w:after="0" w:line="264" w:lineRule="auto"/>
            </w:pPr>
            <w:r>
              <w:rPr>
                <w:rFonts w:ascii="Calibri" w:hAnsi="Calibri"/>
                <w:color w:val="111827"/>
                <w:sz w:val="18"/>
              </w:rPr>
              <w:t>Manage billing</w:t>
            </w:r>
          </w:p>
        </w:tc>
        <w:tc>
          <w:tcPr>
            <w:tcW w:type="dxa" w:w="7160"/>
            <w:tcMar>
              <w:top w:w="80" w:type="dxa"/>
              <w:start w:w="120" w:type="dxa"/>
              <w:bottom w:w="80" w:type="dxa"/>
              <w:end w:w="120" w:type="dxa"/>
            </w:tcMar>
            <w:vAlign w:val="center"/>
          </w:tcPr>
          <w:p>
            <w:pPr>
              <w:spacing w:after="0" w:line="264" w:lineRule="auto"/>
            </w:pPr>
            <w:r>
              <w:rPr>
                <w:rFonts w:ascii="Calibri" w:hAnsi="Calibri"/>
                <w:color w:val="111827"/>
                <w:sz w:val="18"/>
              </w:rPr>
              <w:t>Opens a Stripe Customer Portal session for an account with a Stripe customer record.</w:t>
            </w:r>
          </w:p>
        </w:tc>
      </w:tr>
      <w:tr>
        <w:tc>
          <w:tcPr>
            <w:tcW w:type="dxa" w:w="2200"/>
            <w:tcMar>
              <w:top w:w="80" w:type="dxa"/>
              <w:start w:w="120" w:type="dxa"/>
              <w:bottom w:w="80" w:type="dxa"/>
              <w:end w:w="120" w:type="dxa"/>
            </w:tcMar>
            <w:vAlign w:val="center"/>
          </w:tcPr>
          <w:p>
            <w:pPr>
              <w:spacing w:after="0" w:line="264" w:lineRule="auto"/>
            </w:pPr>
            <w:r>
              <w:rPr>
                <w:rFonts w:ascii="Calibri" w:hAnsi="Calibri"/>
                <w:color w:val="111827"/>
                <w:sz w:val="18"/>
              </w:rPr>
              <w:t>Cancel subscription</w:t>
            </w:r>
          </w:p>
        </w:tc>
        <w:tc>
          <w:tcPr>
            <w:tcW w:type="dxa" w:w="7160"/>
            <w:tcMar>
              <w:top w:w="80" w:type="dxa"/>
              <w:start w:w="120" w:type="dxa"/>
              <w:bottom w:w="80" w:type="dxa"/>
              <w:end w:w="120" w:type="dxa"/>
            </w:tcMar>
            <w:vAlign w:val="center"/>
          </w:tcPr>
          <w:p>
            <w:pPr>
              <w:spacing w:after="0" w:line="264" w:lineRule="auto"/>
            </w:pPr>
            <w:r>
              <w:rPr>
                <w:rFonts w:ascii="Calibri" w:hAnsi="Calibri"/>
                <w:color w:val="111827"/>
                <w:sz w:val="18"/>
              </w:rPr>
              <w:t>Marks the Stripe subscription to cancel at period end; access continues through the paid period.</w:t>
            </w:r>
          </w:p>
        </w:tc>
      </w:tr>
      <w:tr>
        <w:tc>
          <w:tcPr>
            <w:tcW w:type="dxa" w:w="2200"/>
            <w:tcMar>
              <w:top w:w="80" w:type="dxa"/>
              <w:start w:w="120" w:type="dxa"/>
              <w:bottom w:w="80" w:type="dxa"/>
              <w:end w:w="120" w:type="dxa"/>
            </w:tcMar>
            <w:vAlign w:val="center"/>
          </w:tcPr>
          <w:p>
            <w:pPr>
              <w:spacing w:after="0" w:line="264" w:lineRule="auto"/>
            </w:pPr>
            <w:r>
              <w:rPr>
                <w:rFonts w:ascii="Calibri" w:hAnsi="Calibri"/>
                <w:color w:val="111827"/>
                <w:sz w:val="18"/>
              </w:rPr>
              <w:t>Change an existing plan</w:t>
            </w:r>
          </w:p>
        </w:tc>
        <w:tc>
          <w:tcPr>
            <w:tcW w:type="dxa" w:w="7160"/>
            <w:tcMar>
              <w:top w:w="80" w:type="dxa"/>
              <w:start w:w="120" w:type="dxa"/>
              <w:bottom w:w="80" w:type="dxa"/>
              <w:end w:w="120" w:type="dxa"/>
            </w:tcMar>
            <w:vAlign w:val="center"/>
          </w:tcPr>
          <w:p>
            <w:pPr>
              <w:spacing w:after="0" w:line="264" w:lineRule="auto"/>
            </w:pPr>
            <w:r>
              <w:rPr>
                <w:rFonts w:ascii="Calibri" w:hAnsi="Calibri"/>
                <w:color w:val="111827"/>
                <w:sz w:val="18"/>
              </w:rPr>
              <w:t>The code directs existing Stripe subscribers to Manage billing rather than opening a second checkout.</w:t>
            </w:r>
          </w:p>
        </w:tc>
      </w:tr>
      <w:tr>
        <w:tc>
          <w:tcPr>
            <w:tcW w:type="dxa" w:w="2200"/>
            <w:tcMar>
              <w:top w:w="80" w:type="dxa"/>
              <w:start w:w="120" w:type="dxa"/>
              <w:bottom w:w="80" w:type="dxa"/>
              <w:end w:w="120" w:type="dxa"/>
            </w:tcMar>
            <w:vAlign w:val="center"/>
          </w:tcPr>
          <w:p>
            <w:pPr>
              <w:spacing w:after="0" w:line="264" w:lineRule="auto"/>
            </w:pPr>
            <w:r>
              <w:rPr>
                <w:rFonts w:ascii="Calibri" w:hAnsi="Calibri"/>
                <w:color w:val="111827"/>
                <w:sz w:val="18"/>
              </w:rPr>
              <w:t>Cross-provider protection</w:t>
            </w:r>
          </w:p>
        </w:tc>
        <w:tc>
          <w:tcPr>
            <w:tcW w:type="dxa" w:w="7160"/>
            <w:tcMar>
              <w:top w:w="80" w:type="dxa"/>
              <w:start w:w="120" w:type="dxa"/>
              <w:bottom w:w="80" w:type="dxa"/>
              <w:end w:w="120" w:type="dxa"/>
            </w:tcMar>
            <w:vAlign w:val="center"/>
          </w:tcPr>
          <w:p>
            <w:pPr>
              <w:spacing w:after="0" w:line="264" w:lineRule="auto"/>
            </w:pPr>
            <w:r>
              <w:rPr>
                <w:rFonts w:ascii="Calibri" w:hAnsi="Calibri"/>
                <w:color w:val="111827"/>
                <w:sz w:val="18"/>
              </w:rPr>
              <w:t>A Google-managed subscription cannot be replaced through a new Stripe checkout while active.</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5D9"/>
          </w:tcPr>
          <w:p>
            <w:pPr>
              <w:spacing w:after="0"/>
            </w:pPr>
            <w:r>
              <w:rPr>
                <w:rFonts w:ascii="Calibri" w:hAnsi="Calibri"/>
                <w:b/>
                <w:color w:val="1F4D78"/>
              </w:rPr>
              <w:t xml:space="preserve">Security boundary  </w:t>
            </w:r>
            <w:r>
              <w:rPr>
                <w:rFonts w:ascii="Calibri" w:hAnsi="Calibri"/>
                <w:color w:val="111827"/>
              </w:rPr>
              <w:t>The successful browser return is not the authority for upgrading an account. The signature-verified Stripe webhook is the authority.</w:t>
            </w:r>
          </w:p>
        </w:tc>
      </w:tr>
    </w:tbl>
    <w:p>
      <w:pPr>
        <w:spacing w:after="0"/>
      </w:pPr>
    </w:p>
    <w:p>
      <w:pPr>
        <w:pStyle w:val="Heading1"/>
      </w:pPr>
      <w:r>
        <w:t>4. Android Store download and mobile purchasing</w:t>
      </w:r>
    </w:p>
    <w:p>
      <w:r>
        <w:rPr>
          <w:rFonts w:ascii="Calibri" w:hAnsi="Calibri"/>
          <w:color w:val="111827"/>
        </w:rPr>
        <w:t>The Google Play listing presents ClearlySaid as a free Productivity download. Installing the app does not require a subscription. After installation, the person creates or signs into the same ClearlySaid account used on the website; a new account begins on Free after email verification.</w:t>
      </w:r>
    </w:p>
    <w:p>
      <w:pPr>
        <w:pStyle w:val="Heading2"/>
      </w:pPr>
      <w:r>
        <w:t>Website versus Android</w:t>
      </w:r>
    </w:p>
    <w:tbl>
      <w:tblPr>
        <w:tblStyle w:val="TableGrid"/>
        <w:tblW w:type="dxa" w:w="9360"/>
        <w:jc w:val="left"/>
        <w:tblLayout w:type="fixed"/>
        <w:tblLook w:firstColumn="1" w:firstRow="1" w:lastColumn="0" w:lastRow="0" w:noHBand="0" w:noVBand="1" w:val="04A0"/>
        <w:tblInd w:w="120" w:type="dxa"/>
      </w:tblPr>
      <w:tblGrid>
        <w:gridCol w:w="1600"/>
        <w:gridCol w:w="3880"/>
        <w:gridCol w:w="3880"/>
      </w:tblGrid>
      <w:tr>
        <w:trPr>
          <w:tblHeader/>
        </w:trPr>
        <w:tc>
          <w:tcPr>
            <w:tcW w:type="dxa" w:w="1600"/>
            <w:shd w:fill="E8EEF5"/>
            <w:tcMar>
              <w:top w:w="80" w:type="dxa"/>
              <w:start w:w="120" w:type="dxa"/>
              <w:bottom w:w="80" w:type="dxa"/>
              <w:end w:w="120" w:type="dxa"/>
            </w:tcMar>
            <w:vAlign w:val="center"/>
          </w:tcPr>
          <w:p>
            <w:pPr>
              <w:spacing w:after="0"/>
            </w:pPr>
            <w:r>
              <w:rPr>
                <w:rFonts w:ascii="Calibri" w:hAnsi="Calibri"/>
                <w:b/>
                <w:color w:val="17233C"/>
                <w:sz w:val="17"/>
              </w:rPr>
              <w:t>Topic</w:t>
            </w:r>
          </w:p>
        </w:tc>
        <w:tc>
          <w:tcPr>
            <w:tcW w:type="dxa" w:w="3880"/>
            <w:shd w:fill="E8EEF5"/>
            <w:tcMar>
              <w:top w:w="80" w:type="dxa"/>
              <w:start w:w="120" w:type="dxa"/>
              <w:bottom w:w="80" w:type="dxa"/>
              <w:end w:w="120" w:type="dxa"/>
            </w:tcMar>
            <w:vAlign w:val="center"/>
          </w:tcPr>
          <w:p>
            <w:pPr>
              <w:spacing w:after="0"/>
            </w:pPr>
            <w:r>
              <w:rPr>
                <w:rFonts w:ascii="Calibri" w:hAnsi="Calibri"/>
                <w:b/>
                <w:color w:val="17233C"/>
                <w:sz w:val="17"/>
              </w:rPr>
              <w:t>Website</w:t>
            </w:r>
          </w:p>
        </w:tc>
        <w:tc>
          <w:tcPr>
            <w:tcW w:type="dxa" w:w="3880"/>
            <w:shd w:fill="E8EEF5"/>
            <w:tcMar>
              <w:top w:w="80" w:type="dxa"/>
              <w:start w:w="120" w:type="dxa"/>
              <w:bottom w:w="80" w:type="dxa"/>
              <w:end w:w="120" w:type="dxa"/>
            </w:tcMar>
            <w:vAlign w:val="center"/>
          </w:tcPr>
          <w:p>
            <w:pPr>
              <w:spacing w:after="0"/>
            </w:pPr>
            <w:r>
              <w:rPr>
                <w:rFonts w:ascii="Calibri" w:hAnsi="Calibri"/>
                <w:b/>
                <w:color w:val="17233C"/>
                <w:sz w:val="17"/>
              </w:rPr>
              <w:t>Android app</w:t>
            </w:r>
          </w:p>
        </w:tc>
      </w:tr>
      <w:tr>
        <w:tc>
          <w:tcPr>
            <w:tcW w:type="dxa" w:w="1600"/>
            <w:tcMar>
              <w:top w:w="80" w:type="dxa"/>
              <w:start w:w="120" w:type="dxa"/>
              <w:bottom w:w="80" w:type="dxa"/>
              <w:end w:w="120" w:type="dxa"/>
            </w:tcMar>
            <w:vAlign w:val="center"/>
          </w:tcPr>
          <w:p>
            <w:pPr>
              <w:spacing w:after="0" w:line="264" w:lineRule="auto"/>
            </w:pPr>
            <w:r>
              <w:rPr>
                <w:rFonts w:ascii="Calibri" w:hAnsi="Calibri"/>
                <w:color w:val="111827"/>
                <w:sz w:val="17"/>
              </w:rPr>
              <w:t>Distribution</w:t>
            </w:r>
          </w:p>
        </w:tc>
        <w:tc>
          <w:tcPr>
            <w:tcW w:type="dxa" w:w="3880"/>
            <w:tcMar>
              <w:top w:w="80" w:type="dxa"/>
              <w:start w:w="120" w:type="dxa"/>
              <w:bottom w:w="80" w:type="dxa"/>
              <w:end w:w="120" w:type="dxa"/>
            </w:tcMar>
            <w:vAlign w:val="center"/>
          </w:tcPr>
          <w:p>
            <w:pPr>
              <w:spacing w:after="0" w:line="264" w:lineRule="auto"/>
            </w:pPr>
            <w:r>
              <w:rPr>
                <w:rFonts w:ascii="Calibri" w:hAnsi="Calibri"/>
                <w:color w:val="111827"/>
                <w:sz w:val="17"/>
              </w:rPr>
              <w:t>Opened at clearlysaid.ai</w:t>
            </w:r>
          </w:p>
        </w:tc>
        <w:tc>
          <w:tcPr>
            <w:tcW w:type="dxa" w:w="3880"/>
            <w:tcMar>
              <w:top w:w="80" w:type="dxa"/>
              <w:start w:w="120" w:type="dxa"/>
              <w:bottom w:w="80" w:type="dxa"/>
              <w:end w:w="120" w:type="dxa"/>
            </w:tcMar>
            <w:vAlign w:val="center"/>
          </w:tcPr>
          <w:p>
            <w:pPr>
              <w:spacing w:after="0" w:line="264" w:lineRule="auto"/>
            </w:pPr>
            <w:r>
              <w:rPr>
                <w:rFonts w:ascii="Calibri" w:hAnsi="Calibri"/>
                <w:color w:val="111827"/>
                <w:sz w:val="17"/>
              </w:rPr>
              <w:t>Downloaded from Google Play after store release; a separate test APK may be sideloaded for invited testing</w:t>
            </w:r>
          </w:p>
        </w:tc>
      </w:tr>
      <w:tr>
        <w:tc>
          <w:tcPr>
            <w:tcW w:type="dxa" w:w="1600"/>
            <w:tcMar>
              <w:top w:w="80" w:type="dxa"/>
              <w:start w:w="120" w:type="dxa"/>
              <w:bottom w:w="80" w:type="dxa"/>
              <w:end w:w="120" w:type="dxa"/>
            </w:tcMar>
            <w:vAlign w:val="center"/>
          </w:tcPr>
          <w:p>
            <w:pPr>
              <w:spacing w:after="0" w:line="264" w:lineRule="auto"/>
            </w:pPr>
            <w:r>
              <w:rPr>
                <w:rFonts w:ascii="Calibri" w:hAnsi="Calibri"/>
                <w:color w:val="111827"/>
                <w:sz w:val="17"/>
              </w:rPr>
              <w:t>Free signup</w:t>
            </w:r>
          </w:p>
        </w:tc>
        <w:tc>
          <w:tcPr>
            <w:tcW w:type="dxa" w:w="3880"/>
            <w:tcMar>
              <w:top w:w="80" w:type="dxa"/>
              <w:start w:w="120" w:type="dxa"/>
              <w:bottom w:w="80" w:type="dxa"/>
              <w:end w:w="120" w:type="dxa"/>
            </w:tcMar>
            <w:vAlign w:val="center"/>
          </w:tcPr>
          <w:p>
            <w:pPr>
              <w:spacing w:after="0" w:line="264" w:lineRule="auto"/>
            </w:pPr>
            <w:r>
              <w:rPr>
                <w:rFonts w:ascii="Calibri" w:hAnsi="Calibri"/>
                <w:color w:val="111827"/>
                <w:sz w:val="17"/>
              </w:rPr>
              <w:t>Inline account form and email verification</w:t>
            </w:r>
          </w:p>
        </w:tc>
        <w:tc>
          <w:tcPr>
            <w:tcW w:type="dxa" w:w="3880"/>
            <w:tcMar>
              <w:top w:w="80" w:type="dxa"/>
              <w:start w:w="120" w:type="dxa"/>
              <w:bottom w:w="80" w:type="dxa"/>
              <w:end w:w="120" w:type="dxa"/>
            </w:tcMar>
            <w:vAlign w:val="center"/>
          </w:tcPr>
          <w:p>
            <w:pPr>
              <w:spacing w:after="0" w:line="264" w:lineRule="auto"/>
            </w:pPr>
            <w:r>
              <w:rPr>
                <w:rFonts w:ascii="Calibri" w:hAnsi="Calibri"/>
                <w:color w:val="111827"/>
                <w:sz w:val="17"/>
              </w:rPr>
              <w:t>Shared Blazor account UI and the same Web01 registration API</w:t>
            </w:r>
          </w:p>
        </w:tc>
      </w:tr>
      <w:tr>
        <w:tc>
          <w:tcPr>
            <w:tcW w:type="dxa" w:w="1600"/>
            <w:tcMar>
              <w:top w:w="80" w:type="dxa"/>
              <w:start w:w="120" w:type="dxa"/>
              <w:bottom w:w="80" w:type="dxa"/>
              <w:end w:w="120" w:type="dxa"/>
            </w:tcMar>
            <w:vAlign w:val="center"/>
          </w:tcPr>
          <w:p>
            <w:pPr>
              <w:spacing w:after="0" w:line="264" w:lineRule="auto"/>
            </w:pPr>
            <w:r>
              <w:rPr>
                <w:rFonts w:ascii="Calibri" w:hAnsi="Calibri"/>
                <w:color w:val="111827"/>
                <w:sz w:val="17"/>
              </w:rPr>
              <w:t>Plan display</w:t>
            </w:r>
          </w:p>
        </w:tc>
        <w:tc>
          <w:tcPr>
            <w:tcW w:type="dxa" w:w="3880"/>
            <w:tcMar>
              <w:top w:w="80" w:type="dxa"/>
              <w:start w:w="120" w:type="dxa"/>
              <w:bottom w:w="80" w:type="dxa"/>
              <w:end w:w="120" w:type="dxa"/>
            </w:tcMar>
            <w:vAlign w:val="center"/>
          </w:tcPr>
          <w:p>
            <w:pPr>
              <w:spacing w:after="0" w:line="264" w:lineRule="auto"/>
            </w:pPr>
            <w:r>
              <w:rPr>
                <w:rFonts w:ascii="Calibri" w:hAnsi="Calibri"/>
                <w:color w:val="111827"/>
                <w:sz w:val="17"/>
              </w:rPr>
              <w:t>Standard and Pro cards with website catalog prices</w:t>
            </w:r>
          </w:p>
        </w:tc>
        <w:tc>
          <w:tcPr>
            <w:tcW w:type="dxa" w:w="3880"/>
            <w:tcMar>
              <w:top w:w="80" w:type="dxa"/>
              <w:start w:w="120" w:type="dxa"/>
              <w:bottom w:w="80" w:type="dxa"/>
              <w:end w:w="120" w:type="dxa"/>
            </w:tcMar>
            <w:vAlign w:val="center"/>
          </w:tcPr>
          <w:p>
            <w:pPr>
              <w:spacing w:after="0" w:line="264" w:lineRule="auto"/>
            </w:pPr>
            <w:r>
              <w:rPr>
                <w:rFonts w:ascii="Calibri" w:hAnsi="Calibri"/>
                <w:color w:val="111827"/>
                <w:sz w:val="17"/>
              </w:rPr>
              <w:t>Same plan cards, but purchase availability and final price come from Google Play</w:t>
            </w:r>
          </w:p>
        </w:tc>
      </w:tr>
      <w:tr>
        <w:tc>
          <w:tcPr>
            <w:tcW w:type="dxa" w:w="1600"/>
            <w:tcMar>
              <w:top w:w="80" w:type="dxa"/>
              <w:start w:w="120" w:type="dxa"/>
              <w:bottom w:w="80" w:type="dxa"/>
              <w:end w:w="120" w:type="dxa"/>
            </w:tcMar>
            <w:vAlign w:val="center"/>
          </w:tcPr>
          <w:p>
            <w:pPr>
              <w:spacing w:after="0" w:line="264" w:lineRule="auto"/>
            </w:pPr>
            <w:r>
              <w:rPr>
                <w:rFonts w:ascii="Calibri" w:hAnsi="Calibri"/>
                <w:color w:val="111827"/>
                <w:sz w:val="17"/>
              </w:rPr>
              <w:t>Checkout</w:t>
            </w:r>
          </w:p>
        </w:tc>
        <w:tc>
          <w:tcPr>
            <w:tcW w:type="dxa" w:w="3880"/>
            <w:tcMar>
              <w:top w:w="80" w:type="dxa"/>
              <w:start w:w="120" w:type="dxa"/>
              <w:bottom w:w="80" w:type="dxa"/>
              <w:end w:w="120" w:type="dxa"/>
            </w:tcMar>
            <w:vAlign w:val="center"/>
          </w:tcPr>
          <w:p>
            <w:pPr>
              <w:spacing w:after="0" w:line="264" w:lineRule="auto"/>
            </w:pPr>
            <w:r>
              <w:rPr>
                <w:rFonts w:ascii="Calibri" w:hAnsi="Calibri"/>
                <w:color w:val="111827"/>
                <w:sz w:val="17"/>
              </w:rPr>
              <w:t>Stripe-hosted Checkout</w:t>
            </w:r>
          </w:p>
        </w:tc>
        <w:tc>
          <w:tcPr>
            <w:tcW w:type="dxa" w:w="3880"/>
            <w:tcMar>
              <w:top w:w="80" w:type="dxa"/>
              <w:start w:w="120" w:type="dxa"/>
              <w:bottom w:w="80" w:type="dxa"/>
              <w:end w:w="120" w:type="dxa"/>
            </w:tcMar>
            <w:vAlign w:val="center"/>
          </w:tcPr>
          <w:p>
            <w:pPr>
              <w:spacing w:after="0" w:line="264" w:lineRule="auto"/>
            </w:pPr>
            <w:r>
              <w:rPr>
                <w:rFonts w:ascii="Calibri" w:hAnsi="Calibri"/>
                <w:color w:val="111827"/>
                <w:sz w:val="17"/>
              </w:rPr>
              <w:t>Native Google Play Billing purchase sheet</w:t>
            </w:r>
          </w:p>
        </w:tc>
      </w:tr>
      <w:tr>
        <w:tc>
          <w:tcPr>
            <w:tcW w:type="dxa" w:w="1600"/>
            <w:tcMar>
              <w:top w:w="80" w:type="dxa"/>
              <w:start w:w="120" w:type="dxa"/>
              <w:bottom w:w="80" w:type="dxa"/>
              <w:end w:w="120" w:type="dxa"/>
            </w:tcMar>
            <w:vAlign w:val="center"/>
          </w:tcPr>
          <w:p>
            <w:pPr>
              <w:spacing w:after="0" w:line="264" w:lineRule="auto"/>
            </w:pPr>
            <w:r>
              <w:rPr>
                <w:rFonts w:ascii="Calibri" w:hAnsi="Calibri"/>
                <w:color w:val="111827"/>
                <w:sz w:val="17"/>
              </w:rPr>
              <w:t>Billing management</w:t>
            </w:r>
          </w:p>
        </w:tc>
        <w:tc>
          <w:tcPr>
            <w:tcW w:type="dxa" w:w="3880"/>
            <w:tcMar>
              <w:top w:w="80" w:type="dxa"/>
              <w:start w:w="120" w:type="dxa"/>
              <w:bottom w:w="80" w:type="dxa"/>
              <w:end w:w="120" w:type="dxa"/>
            </w:tcMar>
            <w:vAlign w:val="center"/>
          </w:tcPr>
          <w:p>
            <w:pPr>
              <w:spacing w:after="0" w:line="264" w:lineRule="auto"/>
            </w:pPr>
            <w:r>
              <w:rPr>
                <w:rFonts w:ascii="Calibri" w:hAnsi="Calibri"/>
                <w:color w:val="111827"/>
                <w:sz w:val="17"/>
              </w:rPr>
              <w:t>Stripe Customer Portal and website cancellation control</w:t>
            </w:r>
          </w:p>
        </w:tc>
        <w:tc>
          <w:tcPr>
            <w:tcW w:type="dxa" w:w="3880"/>
            <w:tcMar>
              <w:top w:w="80" w:type="dxa"/>
              <w:start w:w="120" w:type="dxa"/>
              <w:bottom w:w="80" w:type="dxa"/>
              <w:end w:w="120" w:type="dxa"/>
            </w:tcMar>
            <w:vAlign w:val="center"/>
          </w:tcPr>
          <w:p>
            <w:pPr>
              <w:spacing w:after="0" w:line="264" w:lineRule="auto"/>
            </w:pPr>
            <w:r>
              <w:rPr>
                <w:rFonts w:ascii="Calibri" w:hAnsi="Calibri"/>
                <w:color w:val="111827"/>
                <w:sz w:val="17"/>
              </w:rPr>
              <w:t>Google Play subscriptions page; cancellation is confirmed in Google Play</w:t>
            </w:r>
          </w:p>
        </w:tc>
      </w:tr>
      <w:tr>
        <w:tc>
          <w:tcPr>
            <w:tcW w:type="dxa" w:w="1600"/>
            <w:tcMar>
              <w:top w:w="80" w:type="dxa"/>
              <w:start w:w="120" w:type="dxa"/>
              <w:bottom w:w="80" w:type="dxa"/>
              <w:end w:w="120" w:type="dxa"/>
            </w:tcMar>
            <w:vAlign w:val="center"/>
          </w:tcPr>
          <w:p>
            <w:pPr>
              <w:spacing w:after="0" w:line="264" w:lineRule="auto"/>
            </w:pPr>
            <w:r>
              <w:rPr>
                <w:rFonts w:ascii="Calibri" w:hAnsi="Calibri"/>
                <w:color w:val="111827"/>
                <w:sz w:val="17"/>
              </w:rPr>
              <w:t>Entitlement authority</w:t>
            </w:r>
          </w:p>
        </w:tc>
        <w:tc>
          <w:tcPr>
            <w:tcW w:type="dxa" w:w="3880"/>
            <w:tcMar>
              <w:top w:w="80" w:type="dxa"/>
              <w:start w:w="120" w:type="dxa"/>
              <w:bottom w:w="80" w:type="dxa"/>
              <w:end w:w="120" w:type="dxa"/>
            </w:tcMar>
            <w:vAlign w:val="center"/>
          </w:tcPr>
          <w:p>
            <w:pPr>
              <w:spacing w:after="0" w:line="264" w:lineRule="auto"/>
            </w:pPr>
            <w:r>
              <w:rPr>
                <w:rFonts w:ascii="Calibri" w:hAnsi="Calibri"/>
                <w:color w:val="111827"/>
                <w:sz w:val="17"/>
              </w:rPr>
              <w:t>Verified Stripe webhook</w:t>
            </w:r>
          </w:p>
        </w:tc>
        <w:tc>
          <w:tcPr>
            <w:tcW w:type="dxa" w:w="3880"/>
            <w:tcMar>
              <w:top w:w="80" w:type="dxa"/>
              <w:start w:w="120" w:type="dxa"/>
              <w:bottom w:w="80" w:type="dxa"/>
              <w:end w:w="120" w:type="dxa"/>
            </w:tcMar>
            <w:vAlign w:val="center"/>
          </w:tcPr>
          <w:p>
            <w:pPr>
              <w:spacing w:after="0" w:line="264" w:lineRule="auto"/>
            </w:pPr>
            <w:r>
              <w:rPr>
                <w:rFonts w:ascii="Calibri" w:hAnsi="Calibri"/>
                <w:color w:val="111827"/>
                <w:sz w:val="17"/>
              </w:rPr>
              <w:t>Server verification using Android Publisher API</w:t>
            </w:r>
          </w:p>
        </w:tc>
      </w:tr>
    </w:tbl>
    <w:p>
      <w:pPr>
        <w:spacing w:after="0"/>
      </w:pPr>
    </w:p>
    <w:p>
      <w:pPr>
        <w:pStyle w:val="Heading2"/>
      </w:pPr>
      <w:r>
        <w:t>Implemented Google Play purchase flow</w:t>
      </w:r>
    </w:p>
    <w:p>
      <w:pPr>
        <w:pStyle w:val="ListNumber"/>
        <w:spacing w:after="80" w:line="300" w:lineRule="auto"/>
        <w:ind w:left="540" w:hanging="271"/>
      </w:pPr>
      <w:r>
        <w:rPr>
          <w:rFonts w:ascii="Calibri" w:hAnsi="Calibri"/>
          <w:color w:val="111827"/>
          <w:sz w:val="22"/>
        </w:rPr>
        <w:t>The Android app queries Google Play for the selected Standard or Pro subscription and the requested monthly or annual base plan.</w:t>
      </w:r>
    </w:p>
    <w:p>
      <w:pPr>
        <w:pStyle w:val="ListNumber"/>
        <w:spacing w:after="80" w:line="300" w:lineRule="auto"/>
        <w:ind w:left="540" w:hanging="271"/>
      </w:pPr>
      <w:r>
        <w:rPr>
          <w:rFonts w:ascii="Calibri" w:hAnsi="Calibri"/>
          <w:color w:val="111827"/>
          <w:sz w:val="22"/>
        </w:rPr>
        <w:t>Google Play shows the native purchase sheet. ClearlySaid passes an obfuscated account identifier so the purchase can be bound to the signed-in account without transmitting the email address.</w:t>
      </w:r>
    </w:p>
    <w:p>
      <w:pPr>
        <w:pStyle w:val="ListNumber"/>
        <w:spacing w:after="80" w:line="300" w:lineRule="auto"/>
        <w:ind w:left="540" w:hanging="271"/>
      </w:pPr>
      <w:r>
        <w:rPr>
          <w:rFonts w:ascii="Calibri" w:hAnsi="Calibri"/>
          <w:color w:val="111827"/>
          <w:sz w:val="22"/>
        </w:rPr>
        <w:t>After purchase, the app sends the product ID, package name, and purchase token to Web01.</w:t>
      </w:r>
    </w:p>
    <w:p>
      <w:pPr>
        <w:pStyle w:val="ListNumber"/>
        <w:spacing w:after="80" w:line="300" w:lineRule="auto"/>
        <w:ind w:left="540" w:hanging="271"/>
      </w:pPr>
      <w:r>
        <w:rPr>
          <w:rFonts w:ascii="Calibri" w:hAnsi="Calibri"/>
          <w:color w:val="111827"/>
          <w:sz w:val="22"/>
        </w:rPr>
        <w:t>Web01 calls the Android Publisher API, verifies package, product, billing period, subscription state, expiration, and account ownership, then records the entitlement.</w:t>
      </w:r>
    </w:p>
    <w:p>
      <w:pPr>
        <w:pStyle w:val="ListNumber"/>
        <w:spacing w:after="80" w:line="300" w:lineRule="auto"/>
        <w:ind w:left="540" w:hanging="271"/>
      </w:pPr>
      <w:r>
        <w:rPr>
          <w:rFonts w:ascii="Calibri" w:hAnsi="Calibri"/>
          <w:color w:val="111827"/>
          <w:sz w:val="22"/>
        </w:rPr>
        <w:t>If acknowledgement is pending for a valid active or grace-period subscription, Web01 acknowledges it. The app refreshes the account and restores purchases automatically after sign-in.</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BEAEA"/>
          </w:tcPr>
          <w:p>
            <w:pPr>
              <w:spacing w:after="0"/>
            </w:pPr>
            <w:r>
              <w:rPr>
                <w:rFonts w:ascii="Calibri" w:hAnsi="Calibri"/>
                <w:b/>
                <w:color w:val="1F4D78"/>
              </w:rPr>
              <w:t xml:space="preserve">Important operational distinction  </w:t>
            </w:r>
            <w:r>
              <w:rPr>
                <w:rFonts w:ascii="Calibri" w:hAnsi="Calibri"/>
                <w:color w:val="111827"/>
              </w:rPr>
              <w:t>The mobile billing code is implemented, but live purchasing also requires an active Play listing, activated Standard and Pro products/base plans, correct Play Console permissions, and a working service-account connection on Web01. If any dependency is missing, the purchase fails closed rather than granting access.</w:t>
            </w:r>
          </w:p>
        </w:tc>
      </w:tr>
    </w:tbl>
    <w:p>
      <w:pPr>
        <w:spacing w:after="0"/>
      </w:pPr>
    </w:p>
    <w:p>
      <w:pPr>
        <w:pStyle w:val="Heading1"/>
      </w:pPr>
      <w:r>
        <w:t>5. Product IDs, ownership, and entitlement lifecycle</w:t>
      </w:r>
    </w:p>
    <w:p>
      <w:pPr>
        <w:pStyle w:val="Heading2"/>
      </w:pPr>
      <w:r>
        <w:t>Google Play catalog model</w:t>
      </w:r>
    </w:p>
    <w:tbl>
      <w:tblPr>
        <w:tblStyle w:val="TableGrid"/>
        <w:tblW w:type="dxa" w:w="9360"/>
        <w:jc w:val="left"/>
        <w:tblLayout w:type="fixed"/>
        <w:tblLook w:firstColumn="1" w:firstRow="1" w:lastColumn="0" w:lastRow="0" w:noHBand="0" w:noVBand="1" w:val="04A0"/>
        <w:tblInd w:w="120" w:type="dxa"/>
      </w:tblPr>
      <w:tblGrid>
        <w:gridCol w:w="3300"/>
        <w:gridCol w:w="2200"/>
        <w:gridCol w:w="3860"/>
      </w:tblGrid>
      <w:tr>
        <w:trPr>
          <w:tblHeader/>
        </w:trPr>
        <w:tc>
          <w:tcPr>
            <w:tcW w:type="dxa" w:w="3300"/>
            <w:shd w:fill="E8EEF5"/>
            <w:tcMar>
              <w:top w:w="80" w:type="dxa"/>
              <w:start w:w="120" w:type="dxa"/>
              <w:bottom w:w="80" w:type="dxa"/>
              <w:end w:w="120" w:type="dxa"/>
            </w:tcMar>
            <w:vAlign w:val="center"/>
          </w:tcPr>
          <w:p>
            <w:pPr>
              <w:spacing w:after="0"/>
            </w:pPr>
            <w:r>
              <w:rPr>
                <w:rFonts w:ascii="Calibri" w:hAnsi="Calibri"/>
                <w:b/>
                <w:color w:val="17233C"/>
                <w:sz w:val="18"/>
              </w:rPr>
              <w:t>Product</w:t>
            </w:r>
          </w:p>
        </w:tc>
        <w:tc>
          <w:tcPr>
            <w:tcW w:type="dxa" w:w="2200"/>
            <w:shd w:fill="E8EEF5"/>
            <w:tcMar>
              <w:top w:w="80" w:type="dxa"/>
              <w:start w:w="120" w:type="dxa"/>
              <w:bottom w:w="80" w:type="dxa"/>
              <w:end w:w="120" w:type="dxa"/>
            </w:tcMar>
            <w:vAlign w:val="center"/>
          </w:tcPr>
          <w:p>
            <w:pPr>
              <w:spacing w:after="0"/>
            </w:pPr>
            <w:r>
              <w:rPr>
                <w:rFonts w:ascii="Calibri" w:hAnsi="Calibri"/>
                <w:b/>
                <w:color w:val="17233C"/>
                <w:sz w:val="18"/>
              </w:rPr>
              <w:t>Base plans</w:t>
            </w:r>
          </w:p>
        </w:tc>
        <w:tc>
          <w:tcPr>
            <w:tcW w:type="dxa" w:w="3860"/>
            <w:shd w:fill="E8EEF5"/>
            <w:tcMar>
              <w:top w:w="80" w:type="dxa"/>
              <w:start w:w="120" w:type="dxa"/>
              <w:bottom w:w="80" w:type="dxa"/>
              <w:end w:w="120" w:type="dxa"/>
            </w:tcMar>
            <w:vAlign w:val="center"/>
          </w:tcPr>
          <w:p>
            <w:pPr>
              <w:spacing w:after="0"/>
            </w:pPr>
            <w:r>
              <w:rPr>
                <w:rFonts w:ascii="Calibri" w:hAnsi="Calibri"/>
                <w:b/>
                <w:color w:val="17233C"/>
                <w:sz w:val="18"/>
              </w:rPr>
              <w:t>Entitlement</w:t>
            </w:r>
          </w:p>
        </w:tc>
      </w:tr>
      <w:tr>
        <w:tc>
          <w:tcPr>
            <w:tcW w:type="dxa" w:w="3300"/>
            <w:tcMar>
              <w:top w:w="80" w:type="dxa"/>
              <w:start w:w="120" w:type="dxa"/>
              <w:bottom w:w="80" w:type="dxa"/>
              <w:end w:w="120" w:type="dxa"/>
            </w:tcMar>
            <w:vAlign w:val="center"/>
          </w:tcPr>
          <w:p>
            <w:pPr>
              <w:spacing w:after="0" w:line="264" w:lineRule="auto"/>
            </w:pPr>
            <w:r>
              <w:rPr>
                <w:rFonts w:ascii="Calibri" w:hAnsi="Calibri"/>
                <w:color w:val="111827"/>
                <w:sz w:val="18"/>
              </w:rPr>
              <w:t>clearlysaid_standard</w:t>
            </w:r>
          </w:p>
        </w:tc>
        <w:tc>
          <w:tcPr>
            <w:tcW w:type="dxa" w:w="2200"/>
            <w:tcMar>
              <w:top w:w="80" w:type="dxa"/>
              <w:start w:w="120" w:type="dxa"/>
              <w:bottom w:w="80" w:type="dxa"/>
              <w:end w:w="120" w:type="dxa"/>
            </w:tcMar>
            <w:vAlign w:val="center"/>
          </w:tcPr>
          <w:p>
            <w:pPr>
              <w:spacing w:after="0" w:line="264" w:lineRule="auto"/>
            </w:pPr>
            <w:r>
              <w:rPr>
                <w:rFonts w:ascii="Calibri" w:hAnsi="Calibri"/>
                <w:color w:val="111827"/>
                <w:sz w:val="18"/>
              </w:rPr>
              <w:t>monthly; annual</w:t>
            </w:r>
          </w:p>
        </w:tc>
        <w:tc>
          <w:tcPr>
            <w:tcW w:type="dxa" w:w="3860"/>
            <w:tcMar>
              <w:top w:w="80" w:type="dxa"/>
              <w:start w:w="120" w:type="dxa"/>
              <w:bottom w:w="80" w:type="dxa"/>
              <w:end w:w="120" w:type="dxa"/>
            </w:tcMar>
            <w:vAlign w:val="center"/>
          </w:tcPr>
          <w:p>
            <w:pPr>
              <w:spacing w:after="0" w:line="264" w:lineRule="auto"/>
            </w:pPr>
            <w:r>
              <w:rPr>
                <w:rFonts w:ascii="Calibri" w:hAnsi="Calibri"/>
                <w:color w:val="111827"/>
                <w:sz w:val="18"/>
              </w:rPr>
              <w:t>Standard — 300 refinements/month</w:t>
            </w:r>
          </w:p>
        </w:tc>
      </w:tr>
      <w:tr>
        <w:tc>
          <w:tcPr>
            <w:tcW w:type="dxa" w:w="3300"/>
            <w:tcMar>
              <w:top w:w="80" w:type="dxa"/>
              <w:start w:w="120" w:type="dxa"/>
              <w:bottom w:w="80" w:type="dxa"/>
              <w:end w:w="120" w:type="dxa"/>
            </w:tcMar>
            <w:vAlign w:val="center"/>
          </w:tcPr>
          <w:p>
            <w:pPr>
              <w:spacing w:after="0" w:line="264" w:lineRule="auto"/>
            </w:pPr>
            <w:r>
              <w:rPr>
                <w:rFonts w:ascii="Calibri" w:hAnsi="Calibri"/>
                <w:color w:val="111827"/>
                <w:sz w:val="18"/>
              </w:rPr>
              <w:t>clearlysaid_pro</w:t>
            </w:r>
          </w:p>
        </w:tc>
        <w:tc>
          <w:tcPr>
            <w:tcW w:type="dxa" w:w="2200"/>
            <w:tcMar>
              <w:top w:w="80" w:type="dxa"/>
              <w:start w:w="120" w:type="dxa"/>
              <w:bottom w:w="80" w:type="dxa"/>
              <w:end w:w="120" w:type="dxa"/>
            </w:tcMar>
            <w:vAlign w:val="center"/>
          </w:tcPr>
          <w:p>
            <w:pPr>
              <w:spacing w:after="0" w:line="264" w:lineRule="auto"/>
            </w:pPr>
            <w:r>
              <w:rPr>
                <w:rFonts w:ascii="Calibri" w:hAnsi="Calibri"/>
                <w:color w:val="111827"/>
                <w:sz w:val="18"/>
              </w:rPr>
              <w:t>monthly; annual</w:t>
            </w:r>
          </w:p>
        </w:tc>
        <w:tc>
          <w:tcPr>
            <w:tcW w:type="dxa" w:w="3860"/>
            <w:tcMar>
              <w:top w:w="80" w:type="dxa"/>
              <w:start w:w="120" w:type="dxa"/>
              <w:bottom w:w="80" w:type="dxa"/>
              <w:end w:w="120" w:type="dxa"/>
            </w:tcMar>
            <w:vAlign w:val="center"/>
          </w:tcPr>
          <w:p>
            <w:pPr>
              <w:spacing w:after="0" w:line="264" w:lineRule="auto"/>
            </w:pPr>
            <w:r>
              <w:rPr>
                <w:rFonts w:ascii="Calibri" w:hAnsi="Calibri"/>
                <w:color w:val="111827"/>
                <w:sz w:val="18"/>
              </w:rPr>
              <w:t>Pro — 1,000 refinements/month</w:t>
            </w:r>
          </w:p>
        </w:tc>
      </w:tr>
    </w:tbl>
    <w:p>
      <w:pPr>
        <w:spacing w:after="0"/>
      </w:pPr>
    </w:p>
    <w:p>
      <w:r>
        <w:rPr>
          <w:rFonts w:ascii="Calibri" w:hAnsi="Calibri"/>
          <w:color w:val="111827"/>
        </w:rPr>
        <w:t>Repository documentation also lists interval-specific labels for administrative/reference purposes. The implemented Android Billing client queries the base product IDs above and selects a monthly or annual base plan.</w:t>
      </w:r>
    </w:p>
    <w:p>
      <w:pPr>
        <w:pStyle w:val="Heading2"/>
      </w:pPr>
      <w:r>
        <w:t>How the server chooses the effective plan</w:t>
      </w:r>
    </w:p>
    <w:p>
      <w:pPr>
        <w:pStyle w:val="ListBullet"/>
        <w:spacing w:after="80" w:line="300" w:lineRule="auto"/>
        <w:ind w:left="540" w:hanging="271"/>
      </w:pPr>
      <w:r>
        <w:rPr>
          <w:rFonts w:ascii="Calibri" w:hAnsi="Calibri"/>
          <w:color w:val="111827"/>
          <w:sz w:val="22"/>
        </w:rPr>
        <w:t>Active, trialing, or past-due provider subscriptions with unexpired periods are eligible.</w:t>
      </w:r>
    </w:p>
    <w:p>
      <w:pPr>
        <w:pStyle w:val="ListBullet"/>
        <w:spacing w:after="80" w:line="300" w:lineRule="auto"/>
        <w:ind w:left="540" w:hanging="271"/>
      </w:pPr>
      <w:r>
        <w:rPr>
          <w:rFonts w:ascii="Calibri" w:hAnsi="Calibri"/>
          <w:color w:val="111827"/>
          <w:sz w:val="22"/>
        </w:rPr>
        <w:t>If more than one qualifying source exists, Pro outranks Standard, then the later period end is preferred.</w:t>
      </w:r>
    </w:p>
    <w:p>
      <w:pPr>
        <w:pStyle w:val="ListBullet"/>
        <w:spacing w:after="80" w:line="300" w:lineRule="auto"/>
        <w:ind w:left="540" w:hanging="271"/>
      </w:pPr>
      <w:r>
        <w:rPr>
          <w:rFonts w:ascii="Calibri" w:hAnsi="Calibri"/>
          <w:color w:val="111827"/>
          <w:sz w:val="22"/>
        </w:rPr>
        <w:t>When no provider subscription qualifies, a non-admin account returns to Free unless an administrator has explicitly assigned the entitlement.</w:t>
      </w:r>
    </w:p>
    <w:p>
      <w:pPr>
        <w:pStyle w:val="ListBullet"/>
        <w:spacing w:after="80" w:line="300" w:lineRule="auto"/>
        <w:ind w:left="540" w:hanging="271"/>
      </w:pPr>
      <w:r>
        <w:rPr>
          <w:rFonts w:ascii="Calibri" w:hAnsi="Calibri"/>
          <w:color w:val="111827"/>
          <w:sz w:val="22"/>
        </w:rPr>
        <w:t>Administrator-assigned entitlements use the admin provider and are not overwritten by the normal provider reconciliation path.</w:t>
      </w:r>
    </w:p>
    <w:p>
      <w:pPr>
        <w:pStyle w:val="Heading2"/>
      </w:pPr>
      <w:r>
        <w:t>Account-bound commerce</w:t>
      </w:r>
    </w:p>
    <w:tbl>
      <w:tblPr>
        <w:tblStyle w:val="TableGrid"/>
        <w:tblW w:type="dxa" w:w="9360"/>
        <w:jc w:val="left"/>
        <w:tblLayout w:type="fixed"/>
        <w:tblLook w:firstColumn="1" w:firstRow="1" w:lastColumn="0" w:lastRow="0" w:noHBand="0" w:noVBand="1" w:val="04A0"/>
        <w:tblInd w:w="120" w:type="dxa"/>
      </w:tblPr>
      <w:tblGrid>
        <w:gridCol w:w="2650"/>
        <w:gridCol w:w="6710"/>
      </w:tblGrid>
      <w:tr>
        <w:trPr>
          <w:tblHeader/>
        </w:trPr>
        <w:tc>
          <w:tcPr>
            <w:tcW w:type="dxa" w:w="2650"/>
            <w:shd w:fill="E8EEF5"/>
            <w:tcMar>
              <w:top w:w="80" w:type="dxa"/>
              <w:start w:w="120" w:type="dxa"/>
              <w:bottom w:w="80" w:type="dxa"/>
              <w:end w:w="120" w:type="dxa"/>
            </w:tcMar>
            <w:vAlign w:val="center"/>
          </w:tcPr>
          <w:p>
            <w:pPr>
              <w:spacing w:after="0"/>
            </w:pPr>
            <w:r>
              <w:rPr>
                <w:rFonts w:ascii="Calibri" w:hAnsi="Calibri"/>
                <w:b/>
                <w:color w:val="17233C"/>
                <w:sz w:val="18"/>
              </w:rPr>
              <w:t>Safeguard</w:t>
            </w:r>
          </w:p>
        </w:tc>
        <w:tc>
          <w:tcPr>
            <w:tcW w:type="dxa" w:w="6710"/>
            <w:shd w:fill="E8EEF5"/>
            <w:tcMar>
              <w:top w:w="80" w:type="dxa"/>
              <w:start w:w="120" w:type="dxa"/>
              <w:bottom w:w="80" w:type="dxa"/>
              <w:end w:w="120" w:type="dxa"/>
            </w:tcMar>
            <w:vAlign w:val="center"/>
          </w:tcPr>
          <w:p>
            <w:pPr>
              <w:spacing w:after="0"/>
            </w:pPr>
            <w:r>
              <w:rPr>
                <w:rFonts w:ascii="Calibri" w:hAnsi="Calibri"/>
                <w:b/>
                <w:color w:val="17233C"/>
                <w:sz w:val="18"/>
              </w:rPr>
              <w:t>Purpose</w:t>
            </w:r>
          </w:p>
        </w:tc>
      </w:tr>
      <w:tr>
        <w:tc>
          <w:tcPr>
            <w:tcW w:type="dxa" w:w="2650"/>
            <w:tcMar>
              <w:top w:w="80" w:type="dxa"/>
              <w:start w:w="120" w:type="dxa"/>
              <w:bottom w:w="80" w:type="dxa"/>
              <w:end w:w="120" w:type="dxa"/>
            </w:tcMar>
            <w:vAlign w:val="center"/>
          </w:tcPr>
          <w:p>
            <w:pPr>
              <w:spacing w:after="0" w:line="264" w:lineRule="auto"/>
            </w:pPr>
            <w:r>
              <w:rPr>
                <w:rFonts w:ascii="Calibri" w:hAnsi="Calibri"/>
                <w:color w:val="111827"/>
                <w:sz w:val="18"/>
              </w:rPr>
              <w:t>Stripe user metadata</w:t>
            </w:r>
          </w:p>
        </w:tc>
        <w:tc>
          <w:tcPr>
            <w:tcW w:type="dxa" w:w="6710"/>
            <w:tcMar>
              <w:top w:w="80" w:type="dxa"/>
              <w:start w:w="120" w:type="dxa"/>
              <w:bottom w:w="80" w:type="dxa"/>
              <w:end w:w="120" w:type="dxa"/>
            </w:tcMar>
            <w:vAlign w:val="center"/>
          </w:tcPr>
          <w:p>
            <w:pPr>
              <w:spacing w:after="0" w:line="264" w:lineRule="auto"/>
            </w:pPr>
            <w:r>
              <w:rPr>
                <w:rFonts w:ascii="Calibri" w:hAnsi="Calibri"/>
                <w:color w:val="111827"/>
                <w:sz w:val="18"/>
              </w:rPr>
              <w:t>Links Checkout/subscription webhook records to the server user ID.</w:t>
            </w:r>
          </w:p>
        </w:tc>
      </w:tr>
      <w:tr>
        <w:tc>
          <w:tcPr>
            <w:tcW w:type="dxa" w:w="2650"/>
            <w:tcMar>
              <w:top w:w="80" w:type="dxa"/>
              <w:start w:w="120" w:type="dxa"/>
              <w:bottom w:w="80" w:type="dxa"/>
              <w:end w:w="120" w:type="dxa"/>
            </w:tcMar>
            <w:vAlign w:val="center"/>
          </w:tcPr>
          <w:p>
            <w:pPr>
              <w:spacing w:after="0" w:line="264" w:lineRule="auto"/>
            </w:pPr>
            <w:r>
              <w:rPr>
                <w:rFonts w:ascii="Calibri" w:hAnsi="Calibri"/>
                <w:color w:val="111827"/>
                <w:sz w:val="18"/>
              </w:rPr>
              <w:t>Google obfuscated account ID</w:t>
            </w:r>
          </w:p>
        </w:tc>
        <w:tc>
          <w:tcPr>
            <w:tcW w:type="dxa" w:w="6710"/>
            <w:tcMar>
              <w:top w:w="80" w:type="dxa"/>
              <w:start w:w="120" w:type="dxa"/>
              <w:bottom w:w="80" w:type="dxa"/>
              <w:end w:w="120" w:type="dxa"/>
            </w:tcMar>
            <w:vAlign w:val="center"/>
          </w:tcPr>
          <w:p>
            <w:pPr>
              <w:spacing w:after="0" w:line="264" w:lineRule="auto"/>
            </w:pPr>
            <w:r>
              <w:rPr>
                <w:rFonts w:ascii="Calibri" w:hAnsi="Calibri"/>
                <w:color w:val="111827"/>
                <w:sz w:val="18"/>
              </w:rPr>
              <w:t>Binds a Play purchase to the signed-in ClearlySaid account without sending the email address.</w:t>
            </w:r>
          </w:p>
        </w:tc>
      </w:tr>
      <w:tr>
        <w:tc>
          <w:tcPr>
            <w:tcW w:type="dxa" w:w="2650"/>
            <w:tcMar>
              <w:top w:w="80" w:type="dxa"/>
              <w:start w:w="120" w:type="dxa"/>
              <w:bottom w:w="80" w:type="dxa"/>
              <w:end w:w="120" w:type="dxa"/>
            </w:tcMar>
            <w:vAlign w:val="center"/>
          </w:tcPr>
          <w:p>
            <w:pPr>
              <w:spacing w:after="0" w:line="264" w:lineRule="auto"/>
            </w:pPr>
            <w:r>
              <w:rPr>
                <w:rFonts w:ascii="Calibri" w:hAnsi="Calibri"/>
                <w:color w:val="111827"/>
                <w:sz w:val="18"/>
              </w:rPr>
              <w:t>Purchase-token ownership check</w:t>
            </w:r>
          </w:p>
        </w:tc>
        <w:tc>
          <w:tcPr>
            <w:tcW w:type="dxa" w:w="6710"/>
            <w:tcMar>
              <w:top w:w="80" w:type="dxa"/>
              <w:start w:w="120" w:type="dxa"/>
              <w:bottom w:w="80" w:type="dxa"/>
              <w:end w:w="120" w:type="dxa"/>
            </w:tcMar>
            <w:vAlign w:val="center"/>
          </w:tcPr>
          <w:p>
            <w:pPr>
              <w:spacing w:after="0" w:line="264" w:lineRule="auto"/>
            </w:pPr>
            <w:r>
              <w:rPr>
                <w:rFonts w:ascii="Calibri" w:hAnsi="Calibri"/>
                <w:color w:val="111827"/>
                <w:sz w:val="18"/>
              </w:rPr>
              <w:t>Prevents one Google purchase token from being claimed by a different account.</w:t>
            </w:r>
          </w:p>
        </w:tc>
      </w:tr>
      <w:tr>
        <w:tc>
          <w:tcPr>
            <w:tcW w:type="dxa" w:w="2650"/>
            <w:tcMar>
              <w:top w:w="80" w:type="dxa"/>
              <w:start w:w="120" w:type="dxa"/>
              <w:bottom w:w="80" w:type="dxa"/>
              <w:end w:w="120" w:type="dxa"/>
            </w:tcMar>
            <w:vAlign w:val="center"/>
          </w:tcPr>
          <w:p>
            <w:pPr>
              <w:spacing w:after="0" w:line="264" w:lineRule="auto"/>
            </w:pPr>
            <w:r>
              <w:rPr>
                <w:rFonts w:ascii="Calibri" w:hAnsi="Calibri"/>
                <w:color w:val="111827"/>
                <w:sz w:val="18"/>
              </w:rPr>
              <w:t>Provider source record</w:t>
            </w:r>
          </w:p>
        </w:tc>
        <w:tc>
          <w:tcPr>
            <w:tcW w:type="dxa" w:w="6710"/>
            <w:tcMar>
              <w:top w:w="80" w:type="dxa"/>
              <w:start w:w="120" w:type="dxa"/>
              <w:bottom w:w="80" w:type="dxa"/>
              <w:end w:w="120" w:type="dxa"/>
            </w:tcMar>
            <w:vAlign w:val="center"/>
          </w:tcPr>
          <w:p>
            <w:pPr>
              <w:spacing w:after="0" w:line="264" w:lineRule="auto"/>
            </w:pPr>
            <w:r>
              <w:rPr>
                <w:rFonts w:ascii="Calibri" w:hAnsi="Calibri"/>
                <w:color w:val="111827"/>
                <w:sz w:val="18"/>
              </w:rPr>
              <w:t>Preserves provider, reference, status, period, and event identity for server-side reconciliation.</w:t>
            </w:r>
          </w:p>
        </w:tc>
      </w:tr>
      <w:tr>
        <w:tc>
          <w:tcPr>
            <w:tcW w:type="dxa" w:w="2650"/>
            <w:tcMar>
              <w:top w:w="80" w:type="dxa"/>
              <w:start w:w="120" w:type="dxa"/>
              <w:bottom w:w="80" w:type="dxa"/>
              <w:end w:w="120" w:type="dxa"/>
            </w:tcMar>
            <w:vAlign w:val="center"/>
          </w:tcPr>
          <w:p>
            <w:pPr>
              <w:spacing w:after="0" w:line="264" w:lineRule="auto"/>
            </w:pPr>
            <w:r>
              <w:rPr>
                <w:rFonts w:ascii="Calibri" w:hAnsi="Calibri"/>
                <w:color w:val="111827"/>
                <w:sz w:val="18"/>
              </w:rPr>
              <w:t>No client-selected allowance</w:t>
            </w:r>
          </w:p>
        </w:tc>
        <w:tc>
          <w:tcPr>
            <w:tcW w:type="dxa" w:w="6710"/>
            <w:tcMar>
              <w:top w:w="80" w:type="dxa"/>
              <w:start w:w="120" w:type="dxa"/>
              <w:bottom w:w="80" w:type="dxa"/>
              <w:end w:w="120" w:type="dxa"/>
            </w:tcMar>
            <w:vAlign w:val="center"/>
          </w:tcPr>
          <w:p>
            <w:pPr>
              <w:spacing w:after="0" w:line="264" w:lineRule="auto"/>
            </w:pPr>
            <w:r>
              <w:rPr>
                <w:rFonts w:ascii="Calibri" w:hAnsi="Calibri"/>
                <w:color w:val="111827"/>
                <w:sz w:val="18"/>
              </w:rPr>
              <w:t>Prevents a modified browser or app from granting itself more messages.</w:t>
            </w:r>
          </w:p>
        </w:tc>
      </w:tr>
    </w:tbl>
    <w:p>
      <w:pPr>
        <w:spacing w:after="0"/>
      </w:pPr>
    </w:p>
    <w:p>
      <w:pPr>
        <w:pStyle w:val="Heading2"/>
      </w:pPr>
      <w:r>
        <w:t>External website links in Android</w:t>
      </w:r>
    </w:p>
    <w:p>
      <w:r>
        <w:rPr>
          <w:rFonts w:ascii="Calibri" w:hAnsi="Calibri"/>
          <w:color w:val="111827"/>
        </w:rPr>
        <w:t>The normal Google Play build does not direct users to website checkout. The code can build a special external-link variant, but only after ClearlySaid has been accepted into the applicable Google Play program and has completed the relevant country, disclosure, API, reporting, and fee requirements. Without that approval, the Android experience should use Google Play Billing.</w:t>
      </w:r>
    </w:p>
    <w:p>
      <w:pPr>
        <w:pStyle w:val="Heading1"/>
      </w:pPr>
      <w:r>
        <w:t>6. Administrator user management</w:t>
      </w:r>
    </w:p>
    <w:p>
      <w:r>
        <w:rPr>
          <w:rFonts w:ascii="Calibri" w:hAnsi="Calibri"/>
          <w:color w:val="111827"/>
        </w:rPr>
        <w:t>Authorized administrators use the User administration page at /admin/users. Authorization is checked against the current server-side role, and the interface is not available to an ordinary user.</w:t>
      </w:r>
    </w:p>
    <w:p>
      <w:pPr>
        <w:pStyle w:val="Heading2"/>
      </w:pPr>
      <w:r>
        <w:t>Account list</w:t>
      </w:r>
    </w:p>
    <w:p>
      <w:r>
        <w:rPr>
          <w:rFonts w:ascii="Calibri" w:hAnsi="Calibri"/>
          <w:color w:val="111827"/>
        </w:rPr>
        <w:t>The page lists non-deleted accounts with email, role, plan, current-period usage, subscription status/provider, active or disabled status, period end, and creation date. Administrators can refresh and select an account for editing.</w:t>
      </w:r>
    </w:p>
    <w:p>
      <w:pPr>
        <w:pStyle w:val="Heading2"/>
      </w:pPr>
      <w:r>
        <w:t>Available administrative actions</w:t>
      </w:r>
    </w:p>
    <w:tbl>
      <w:tblPr>
        <w:tblStyle w:val="TableGrid"/>
        <w:tblW w:type="dxa" w:w="9360"/>
        <w:jc w:val="left"/>
        <w:tblLayout w:type="fixed"/>
        <w:tblLook w:firstColumn="1" w:firstRow="1" w:lastColumn="0" w:lastRow="0" w:noHBand="0" w:noVBand="1" w:val="04A0"/>
        <w:tblInd w:w="120" w:type="dxa"/>
      </w:tblPr>
      <w:tblGrid>
        <w:gridCol w:w="1650"/>
        <w:gridCol w:w="4260"/>
        <w:gridCol w:w="3450"/>
      </w:tblGrid>
      <w:tr>
        <w:trPr>
          <w:tblHeader/>
        </w:trPr>
        <w:tc>
          <w:tcPr>
            <w:tcW w:type="dxa" w:w="1650"/>
            <w:shd w:fill="E8EEF5"/>
            <w:tcMar>
              <w:top w:w="80" w:type="dxa"/>
              <w:start w:w="120" w:type="dxa"/>
              <w:bottom w:w="80" w:type="dxa"/>
              <w:end w:w="120" w:type="dxa"/>
            </w:tcMar>
            <w:vAlign w:val="center"/>
          </w:tcPr>
          <w:p>
            <w:pPr>
              <w:spacing w:after="0"/>
            </w:pPr>
            <w:r>
              <w:rPr>
                <w:rFonts w:ascii="Calibri" w:hAnsi="Calibri"/>
                <w:b/>
                <w:color w:val="17233C"/>
                <w:sz w:val="16"/>
              </w:rPr>
              <w:t>Action</w:t>
            </w:r>
          </w:p>
        </w:tc>
        <w:tc>
          <w:tcPr>
            <w:tcW w:type="dxa" w:w="4260"/>
            <w:shd w:fill="E8EEF5"/>
            <w:tcMar>
              <w:top w:w="80" w:type="dxa"/>
              <w:start w:w="120" w:type="dxa"/>
              <w:bottom w:w="80" w:type="dxa"/>
              <w:end w:w="120" w:type="dxa"/>
            </w:tcMar>
            <w:vAlign w:val="center"/>
          </w:tcPr>
          <w:p>
            <w:pPr>
              <w:spacing w:after="0"/>
            </w:pPr>
            <w:r>
              <w:rPr>
                <w:rFonts w:ascii="Calibri" w:hAnsi="Calibri"/>
                <w:b/>
                <w:color w:val="17233C"/>
                <w:sz w:val="16"/>
              </w:rPr>
              <w:t>What it does</w:t>
            </w:r>
          </w:p>
        </w:tc>
        <w:tc>
          <w:tcPr>
            <w:tcW w:type="dxa" w:w="3450"/>
            <w:shd w:fill="E8EEF5"/>
            <w:tcMar>
              <w:top w:w="80" w:type="dxa"/>
              <w:start w:w="120" w:type="dxa"/>
              <w:bottom w:w="80" w:type="dxa"/>
              <w:end w:w="120" w:type="dxa"/>
            </w:tcMar>
            <w:vAlign w:val="center"/>
          </w:tcPr>
          <w:p>
            <w:pPr>
              <w:spacing w:after="0"/>
            </w:pPr>
            <w:r>
              <w:rPr>
                <w:rFonts w:ascii="Calibri" w:hAnsi="Calibri"/>
                <w:b/>
                <w:color w:val="17233C"/>
                <w:sz w:val="16"/>
              </w:rPr>
              <w:t>Important consequence</w:t>
            </w:r>
          </w:p>
        </w:tc>
      </w:tr>
      <w:tr>
        <w:tc>
          <w:tcPr>
            <w:tcW w:type="dxa" w:w="1650"/>
            <w:tcMar>
              <w:top w:w="80" w:type="dxa"/>
              <w:start w:w="120" w:type="dxa"/>
              <w:bottom w:w="80" w:type="dxa"/>
              <w:end w:w="120" w:type="dxa"/>
            </w:tcMar>
            <w:vAlign w:val="center"/>
          </w:tcPr>
          <w:p>
            <w:pPr>
              <w:spacing w:after="0" w:line="264" w:lineRule="auto"/>
            </w:pPr>
            <w:r>
              <w:rPr>
                <w:rFonts w:ascii="Calibri" w:hAnsi="Calibri"/>
                <w:color w:val="111827"/>
                <w:sz w:val="16"/>
              </w:rPr>
              <w:t>Invite user</w:t>
            </w:r>
          </w:p>
        </w:tc>
        <w:tc>
          <w:tcPr>
            <w:tcW w:type="dxa" w:w="4260"/>
            <w:tcMar>
              <w:top w:w="80" w:type="dxa"/>
              <w:start w:w="120" w:type="dxa"/>
              <w:bottom w:w="80" w:type="dxa"/>
              <w:end w:w="120" w:type="dxa"/>
            </w:tcMar>
            <w:vAlign w:val="center"/>
          </w:tcPr>
          <w:p>
            <w:pPr>
              <w:spacing w:after="0" w:line="264" w:lineRule="auto"/>
            </w:pPr>
            <w:r>
              <w:rPr>
                <w:rFonts w:ascii="Calibri" w:hAnsi="Calibri"/>
                <w:color w:val="111827"/>
                <w:sz w:val="16"/>
              </w:rPr>
              <w:t>Creates an unverified account with selected User/Admin role and Free, Development, Standard, or Pro plan, then emails a time-limited invitation.</w:t>
            </w:r>
          </w:p>
        </w:tc>
        <w:tc>
          <w:tcPr>
            <w:tcW w:type="dxa" w:w="3450"/>
            <w:tcMar>
              <w:top w:w="80" w:type="dxa"/>
              <w:start w:w="120" w:type="dxa"/>
              <w:bottom w:w="80" w:type="dxa"/>
              <w:end w:w="120" w:type="dxa"/>
            </w:tcMar>
            <w:vAlign w:val="center"/>
          </w:tcPr>
          <w:p>
            <w:pPr>
              <w:spacing w:after="0" w:line="264" w:lineRule="auto"/>
            </w:pPr>
            <w:r>
              <w:rPr>
                <w:rFonts w:ascii="Calibri" w:hAnsi="Calibri"/>
                <w:color w:val="111827"/>
                <w:sz w:val="16"/>
              </w:rPr>
              <w:t>The invited person chooses the password; no reusable temporary password is sent.</w:t>
            </w:r>
          </w:p>
        </w:tc>
      </w:tr>
      <w:tr>
        <w:tc>
          <w:tcPr>
            <w:tcW w:type="dxa" w:w="1650"/>
            <w:tcMar>
              <w:top w:w="80" w:type="dxa"/>
              <w:start w:w="120" w:type="dxa"/>
              <w:bottom w:w="80" w:type="dxa"/>
              <w:end w:w="120" w:type="dxa"/>
            </w:tcMar>
            <w:vAlign w:val="center"/>
          </w:tcPr>
          <w:p>
            <w:pPr>
              <w:spacing w:after="0" w:line="264" w:lineRule="auto"/>
            </w:pPr>
            <w:r>
              <w:rPr>
                <w:rFonts w:ascii="Calibri" w:hAnsi="Calibri"/>
                <w:color w:val="111827"/>
                <w:sz w:val="16"/>
              </w:rPr>
              <w:t>Edit account</w:t>
            </w:r>
          </w:p>
        </w:tc>
        <w:tc>
          <w:tcPr>
            <w:tcW w:type="dxa" w:w="4260"/>
            <w:tcMar>
              <w:top w:w="80" w:type="dxa"/>
              <w:start w:w="120" w:type="dxa"/>
              <w:bottom w:w="80" w:type="dxa"/>
              <w:end w:w="120" w:type="dxa"/>
            </w:tcMar>
            <w:vAlign w:val="center"/>
          </w:tcPr>
          <w:p>
            <w:pPr>
              <w:spacing w:after="0" w:line="264" w:lineRule="auto"/>
            </w:pPr>
            <w:r>
              <w:rPr>
                <w:rFonts w:ascii="Calibri" w:hAnsi="Calibri"/>
                <w:color w:val="111827"/>
                <w:sz w:val="16"/>
              </w:rPr>
              <w:t>Changes email, role, plan, or disabled status.</w:t>
            </w:r>
          </w:p>
        </w:tc>
        <w:tc>
          <w:tcPr>
            <w:tcW w:type="dxa" w:w="3450"/>
            <w:tcMar>
              <w:top w:w="80" w:type="dxa"/>
              <w:start w:w="120" w:type="dxa"/>
              <w:bottom w:w="80" w:type="dxa"/>
              <w:end w:w="120" w:type="dxa"/>
            </w:tcMar>
            <w:vAlign w:val="center"/>
          </w:tcPr>
          <w:p>
            <w:pPr>
              <w:spacing w:after="0" w:line="264" w:lineRule="auto"/>
            </w:pPr>
            <w:r>
              <w:rPr>
                <w:rFonts w:ascii="Calibri" w:hAnsi="Calibri"/>
                <w:color w:val="111827"/>
                <w:sz w:val="16"/>
              </w:rPr>
              <w:t>Admin assignment becomes the effective entitlement source; disabling revokes active sessions.</w:t>
            </w:r>
          </w:p>
        </w:tc>
      </w:tr>
      <w:tr>
        <w:tc>
          <w:tcPr>
            <w:tcW w:type="dxa" w:w="1650"/>
            <w:tcMar>
              <w:top w:w="80" w:type="dxa"/>
              <w:start w:w="120" w:type="dxa"/>
              <w:bottom w:w="80" w:type="dxa"/>
              <w:end w:w="120" w:type="dxa"/>
            </w:tcMar>
            <w:vAlign w:val="center"/>
          </w:tcPr>
          <w:p>
            <w:pPr>
              <w:spacing w:after="0" w:line="264" w:lineRule="auto"/>
            </w:pPr>
            <w:r>
              <w:rPr>
                <w:rFonts w:ascii="Calibri" w:hAnsi="Calibri"/>
                <w:color w:val="111827"/>
                <w:sz w:val="16"/>
              </w:rPr>
              <w:t>Reset password</w:t>
            </w:r>
          </w:p>
        </w:tc>
        <w:tc>
          <w:tcPr>
            <w:tcW w:type="dxa" w:w="4260"/>
            <w:tcMar>
              <w:top w:w="80" w:type="dxa"/>
              <w:start w:w="120" w:type="dxa"/>
              <w:bottom w:w="80" w:type="dxa"/>
              <w:end w:w="120" w:type="dxa"/>
            </w:tcMar>
            <w:vAlign w:val="center"/>
          </w:tcPr>
          <w:p>
            <w:pPr>
              <w:spacing w:after="0" w:line="264" w:lineRule="auto"/>
            </w:pPr>
            <w:r>
              <w:rPr>
                <w:rFonts w:ascii="Calibri" w:hAnsi="Calibri"/>
                <w:color w:val="111827"/>
                <w:sz w:val="16"/>
              </w:rPr>
              <w:t>Hashes a new temporary password selected by the administrator.</w:t>
            </w:r>
          </w:p>
        </w:tc>
        <w:tc>
          <w:tcPr>
            <w:tcW w:type="dxa" w:w="3450"/>
            <w:tcMar>
              <w:top w:w="80" w:type="dxa"/>
              <w:start w:w="120" w:type="dxa"/>
              <w:bottom w:w="80" w:type="dxa"/>
              <w:end w:w="120" w:type="dxa"/>
            </w:tcMar>
            <w:vAlign w:val="center"/>
          </w:tcPr>
          <w:p>
            <w:pPr>
              <w:spacing w:after="0" w:line="264" w:lineRule="auto"/>
            </w:pPr>
            <w:r>
              <w:rPr>
                <w:rFonts w:ascii="Calibri" w:hAnsi="Calibri"/>
                <w:color w:val="111827"/>
                <w:sz w:val="16"/>
              </w:rPr>
              <w:t>All current sessions are revoked; password policy still applies.</w:t>
            </w:r>
          </w:p>
        </w:tc>
      </w:tr>
      <w:tr>
        <w:tc>
          <w:tcPr>
            <w:tcW w:type="dxa" w:w="1650"/>
            <w:tcMar>
              <w:top w:w="80" w:type="dxa"/>
              <w:start w:w="120" w:type="dxa"/>
              <w:bottom w:w="80" w:type="dxa"/>
              <w:end w:w="120" w:type="dxa"/>
            </w:tcMar>
            <w:vAlign w:val="center"/>
          </w:tcPr>
          <w:p>
            <w:pPr>
              <w:spacing w:after="0" w:line="264" w:lineRule="auto"/>
            </w:pPr>
            <w:r>
              <w:rPr>
                <w:rFonts w:ascii="Calibri" w:hAnsi="Calibri"/>
                <w:color w:val="111827"/>
                <w:sz w:val="16"/>
              </w:rPr>
              <w:t>Disable / re-enable</w:t>
            </w:r>
          </w:p>
        </w:tc>
        <w:tc>
          <w:tcPr>
            <w:tcW w:type="dxa" w:w="4260"/>
            <w:tcMar>
              <w:top w:w="80" w:type="dxa"/>
              <w:start w:w="120" w:type="dxa"/>
              <w:bottom w:w="80" w:type="dxa"/>
              <w:end w:w="120" w:type="dxa"/>
            </w:tcMar>
            <w:vAlign w:val="center"/>
          </w:tcPr>
          <w:p>
            <w:pPr>
              <w:spacing w:after="0" w:line="264" w:lineRule="auto"/>
            </w:pPr>
            <w:r>
              <w:rPr>
                <w:rFonts w:ascii="Calibri" w:hAnsi="Calibri"/>
                <w:color w:val="111827"/>
                <w:sz w:val="16"/>
              </w:rPr>
              <w:t>Blocks or restores login and authenticated access.</w:t>
            </w:r>
          </w:p>
        </w:tc>
        <w:tc>
          <w:tcPr>
            <w:tcW w:type="dxa" w:w="3450"/>
            <w:tcMar>
              <w:top w:w="80" w:type="dxa"/>
              <w:start w:w="120" w:type="dxa"/>
              <w:bottom w:w="80" w:type="dxa"/>
              <w:end w:w="120" w:type="dxa"/>
            </w:tcMar>
            <w:vAlign w:val="center"/>
          </w:tcPr>
          <w:p>
            <w:pPr>
              <w:spacing w:after="0" w:line="264" w:lineRule="auto"/>
            </w:pPr>
            <w:r>
              <w:rPr>
                <w:rFonts w:ascii="Calibri" w:hAnsi="Calibri"/>
                <w:color w:val="111827"/>
                <w:sz w:val="16"/>
              </w:rPr>
              <w:t>Disabling also marks the entitlement disabled and revokes sessions.</w:t>
            </w:r>
          </w:p>
        </w:tc>
      </w:tr>
      <w:tr>
        <w:tc>
          <w:tcPr>
            <w:tcW w:type="dxa" w:w="1650"/>
            <w:tcMar>
              <w:top w:w="80" w:type="dxa"/>
              <w:start w:w="120" w:type="dxa"/>
              <w:bottom w:w="80" w:type="dxa"/>
              <w:end w:w="120" w:type="dxa"/>
            </w:tcMar>
            <w:vAlign w:val="center"/>
          </w:tcPr>
          <w:p>
            <w:pPr>
              <w:spacing w:after="0" w:line="264" w:lineRule="auto"/>
            </w:pPr>
            <w:r>
              <w:rPr>
                <w:rFonts w:ascii="Calibri" w:hAnsi="Calibri"/>
                <w:color w:val="111827"/>
                <w:sz w:val="16"/>
              </w:rPr>
              <w:t>Delete account</w:t>
            </w:r>
          </w:p>
        </w:tc>
        <w:tc>
          <w:tcPr>
            <w:tcW w:type="dxa" w:w="4260"/>
            <w:tcMar>
              <w:top w:w="80" w:type="dxa"/>
              <w:start w:w="120" w:type="dxa"/>
              <w:bottom w:w="80" w:type="dxa"/>
              <w:end w:w="120" w:type="dxa"/>
            </w:tcMar>
            <w:vAlign w:val="center"/>
          </w:tcPr>
          <w:p>
            <w:pPr>
              <w:spacing w:after="0" w:line="264" w:lineRule="auto"/>
            </w:pPr>
            <w:r>
              <w:rPr>
                <w:rFonts w:ascii="Calibri" w:hAnsi="Calibri"/>
                <w:color w:val="111827"/>
                <w:sz w:val="16"/>
              </w:rPr>
              <w:t>Anonymizes identity, disables the entitlement, changes the role to User, and revokes sessions.</w:t>
            </w:r>
          </w:p>
        </w:tc>
        <w:tc>
          <w:tcPr>
            <w:tcW w:type="dxa" w:w="3450"/>
            <w:tcMar>
              <w:top w:w="80" w:type="dxa"/>
              <w:start w:w="120" w:type="dxa"/>
              <w:bottom w:w="80" w:type="dxa"/>
              <w:end w:w="120" w:type="dxa"/>
            </w:tcMar>
            <w:vAlign w:val="center"/>
          </w:tcPr>
          <w:p>
            <w:pPr>
              <w:spacing w:after="0" w:line="264" w:lineRule="auto"/>
            </w:pPr>
            <w:r>
              <w:rPr>
                <w:rFonts w:ascii="Calibri" w:hAnsi="Calibri"/>
                <w:color w:val="111827"/>
                <w:sz w:val="16"/>
              </w:rPr>
              <w:t>This is an application-level deletion/anonymization; external subscriptions may still require provider cancellation.</w:t>
            </w:r>
          </w:p>
        </w:tc>
      </w:tr>
    </w:tbl>
    <w:p>
      <w:pPr>
        <w:spacing w:after="0"/>
      </w:pPr>
    </w:p>
    <w:p>
      <w:pPr>
        <w:pStyle w:val="Heading2"/>
        <w:keepNext/>
      </w:pPr>
      <w:r>
        <w:t>Administrative safeguards</w:t>
      </w:r>
    </w:p>
    <w:p>
      <w:pPr>
        <w:pStyle w:val="ListBullet"/>
        <w:keepNext/>
        <w:spacing w:after="80" w:line="300" w:lineRule="auto"/>
        <w:ind w:left="540" w:hanging="271"/>
      </w:pPr>
      <w:r>
        <w:rPr>
          <w:rFonts w:ascii="Calibri" w:hAnsi="Calibri"/>
          <w:color w:val="111827"/>
          <w:sz w:val="22"/>
        </w:rPr>
        <w:t>The final active administrator cannot be demoted, disabled, or deleted.</w:t>
      </w:r>
    </w:p>
    <w:p>
      <w:pPr>
        <w:pStyle w:val="ListBullet"/>
        <w:keepNext/>
        <w:spacing w:after="80" w:line="300" w:lineRule="auto"/>
        <w:ind w:left="540" w:hanging="271"/>
      </w:pPr>
      <w:r>
        <w:rPr>
          <w:rFonts w:ascii="Calibri" w:hAnsi="Calibri"/>
          <w:color w:val="111827"/>
          <w:sz w:val="22"/>
        </w:rPr>
        <w:t>Role and plan values are validated against fixed server catalogs.</w:t>
      </w:r>
    </w:p>
    <w:p>
      <w:pPr>
        <w:pStyle w:val="ListBullet"/>
        <w:keepNext/>
        <w:spacing w:after="80" w:line="300" w:lineRule="auto"/>
        <w:ind w:left="540" w:hanging="271"/>
      </w:pPr>
      <w:r>
        <w:rPr>
          <w:rFonts w:ascii="Calibri" w:hAnsi="Calibri"/>
          <w:color w:val="111827"/>
          <w:sz w:val="22"/>
        </w:rPr>
        <w:t>Passwords must meet the same minimum length and character-class policy.</w:t>
      </w:r>
    </w:p>
    <w:p>
      <w:pPr>
        <w:pStyle w:val="ListBullet"/>
        <w:keepNext/>
        <w:spacing w:after="80" w:line="300" w:lineRule="auto"/>
        <w:ind w:left="540" w:hanging="271"/>
      </w:pPr>
      <w:r>
        <w:rPr>
          <w:rFonts w:ascii="Calibri" w:hAnsi="Calibri"/>
          <w:color w:val="111827"/>
          <w:sz w:val="22"/>
        </w:rPr>
        <w:t>Administrative create, update, password reset, and delete actions are recorded as diagnostic audit events.</w:t>
      </w:r>
    </w:p>
    <w:p>
      <w:pPr>
        <w:pStyle w:val="ListBullet"/>
        <w:spacing w:after="80" w:line="300" w:lineRule="auto"/>
        <w:ind w:left="540" w:hanging="271"/>
      </w:pPr>
      <w:r>
        <w:rPr>
          <w:rFonts w:ascii="Calibri" w:hAnsi="Calibri"/>
          <w:color w:val="111827"/>
          <w:sz w:val="22"/>
        </w:rPr>
        <w:t>Deleted identities are removed from the normal administration listing because their normalized email is replaced with a DELETED marker.</w:t>
      </w:r>
    </w:p>
    <w:p>
      <w:pPr>
        <w:pStyle w:val="Heading1"/>
      </w:pPr>
      <w:r>
        <w:t>7. Responsibilities and operational checks</w:t>
      </w:r>
    </w:p>
    <w:p>
      <w:pPr>
        <w:pStyle w:val="Heading2"/>
      </w:pPr>
      <w:r>
        <w:t>Business and operations responsibilities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trPr>
        <w:tc>
          <w:tcPr>
            <w:tcW w:type="dxa" w:w="2100"/>
            <w:shd w:fill="E8EEF5"/>
            <w:tcMar>
              <w:top w:w="80" w:type="dxa"/>
              <w:start w:w="120" w:type="dxa"/>
              <w:bottom w:w="80" w:type="dxa"/>
              <w:end w:w="120" w:type="dxa"/>
            </w:tcMar>
            <w:vAlign w:val="center"/>
          </w:tcPr>
          <w:p>
            <w:pPr>
              <w:spacing w:after="0"/>
            </w:pPr>
            <w:r>
              <w:rPr>
                <w:rFonts w:ascii="Calibri" w:hAnsi="Calibri"/>
                <w:b/>
                <w:color w:val="17233C"/>
                <w:sz w:val="18"/>
              </w:rPr>
              <w:t>Owner area</w:t>
            </w:r>
          </w:p>
        </w:tc>
        <w:tc>
          <w:tcPr>
            <w:tcW w:type="dxa" w:w="7260"/>
            <w:shd w:fill="E8EEF5"/>
            <w:tcMar>
              <w:top w:w="80" w:type="dxa"/>
              <w:start w:w="120" w:type="dxa"/>
              <w:bottom w:w="80" w:type="dxa"/>
              <w:end w:w="120" w:type="dxa"/>
            </w:tcMar>
            <w:vAlign w:val="center"/>
          </w:tcPr>
          <w:p>
            <w:pPr>
              <w:spacing w:after="0"/>
            </w:pPr>
            <w:r>
              <w:rPr>
                <w:rFonts w:ascii="Calibri" w:hAnsi="Calibri"/>
                <w:b/>
                <w:color w:val="17233C"/>
                <w:sz w:val="18"/>
              </w:rPr>
              <w:t>Required upkeep</w:t>
            </w:r>
          </w:p>
        </w:tc>
      </w:tr>
      <w:tr>
        <w:tc>
          <w:tcPr>
            <w:tcW w:type="dxa" w:w="2100"/>
            <w:tcMar>
              <w:top w:w="80" w:type="dxa"/>
              <w:start w:w="120" w:type="dxa"/>
              <w:bottom w:w="80" w:type="dxa"/>
              <w:end w:w="120" w:type="dxa"/>
            </w:tcMar>
            <w:vAlign w:val="center"/>
          </w:tcPr>
          <w:p>
            <w:pPr>
              <w:spacing w:after="0" w:line="264" w:lineRule="auto"/>
            </w:pPr>
            <w:r>
              <w:rPr>
                <w:rFonts w:ascii="Calibri" w:hAnsi="Calibri"/>
                <w:color w:val="111827"/>
                <w:sz w:val="18"/>
              </w:rPr>
              <w:t>Website billing</w:t>
            </w:r>
          </w:p>
        </w:tc>
        <w:tc>
          <w:tcPr>
            <w:tcW w:type="dxa" w:w="7260"/>
            <w:tcMar>
              <w:top w:w="80" w:type="dxa"/>
              <w:start w:w="120" w:type="dxa"/>
              <w:bottom w:w="80" w:type="dxa"/>
              <w:end w:w="120" w:type="dxa"/>
            </w:tcMar>
            <w:vAlign w:val="center"/>
          </w:tcPr>
          <w:p>
            <w:pPr>
              <w:spacing w:after="0" w:line="264" w:lineRule="auto"/>
            </w:pPr>
            <w:r>
              <w:rPr>
                <w:rFonts w:ascii="Calibri" w:hAnsi="Calibri"/>
                <w:color w:val="111827"/>
                <w:sz w:val="18"/>
              </w:rPr>
              <w:t>Maintain Stripe secret key, webhook secret, four recurring Price IDs, Customer Portal configuration, and webhook event subscriptions.</w:t>
            </w:r>
          </w:p>
        </w:tc>
      </w:tr>
      <w:tr>
        <w:tc>
          <w:tcPr>
            <w:tcW w:type="dxa" w:w="2100"/>
            <w:tcMar>
              <w:top w:w="80" w:type="dxa"/>
              <w:start w:w="120" w:type="dxa"/>
              <w:bottom w:w="80" w:type="dxa"/>
              <w:end w:w="120" w:type="dxa"/>
            </w:tcMar>
            <w:vAlign w:val="center"/>
          </w:tcPr>
          <w:p>
            <w:pPr>
              <w:spacing w:after="0" w:line="264" w:lineRule="auto"/>
            </w:pPr>
            <w:r>
              <w:rPr>
                <w:rFonts w:ascii="Calibri" w:hAnsi="Calibri"/>
                <w:color w:val="111827"/>
                <w:sz w:val="18"/>
              </w:rPr>
              <w:t>Google Play</w:t>
            </w:r>
          </w:p>
        </w:tc>
        <w:tc>
          <w:tcPr>
            <w:tcW w:type="dxa" w:w="7260"/>
            <w:tcMar>
              <w:top w:w="80" w:type="dxa"/>
              <w:start w:w="120" w:type="dxa"/>
              <w:bottom w:w="80" w:type="dxa"/>
              <w:end w:w="120" w:type="dxa"/>
            </w:tcMar>
            <w:vAlign w:val="center"/>
          </w:tcPr>
          <w:p>
            <w:pPr>
              <w:spacing w:after="0" w:line="264" w:lineRule="auto"/>
            </w:pPr>
            <w:r>
              <w:rPr>
                <w:rFonts w:ascii="Calibri" w:hAnsi="Calibri"/>
                <w:color w:val="111827"/>
                <w:sz w:val="18"/>
              </w:rPr>
              <w:t>Maintain the app listing, app signing, products, monthly/annual base plans, localized pricing, testing tracks, service-account access, and policy declarations.</w:t>
            </w:r>
          </w:p>
        </w:tc>
      </w:tr>
      <w:tr>
        <w:tc>
          <w:tcPr>
            <w:tcW w:type="dxa" w:w="2100"/>
            <w:tcMar>
              <w:top w:w="80" w:type="dxa"/>
              <w:start w:w="120" w:type="dxa"/>
              <w:bottom w:w="80" w:type="dxa"/>
              <w:end w:w="120" w:type="dxa"/>
            </w:tcMar>
            <w:vAlign w:val="center"/>
          </w:tcPr>
          <w:p>
            <w:pPr>
              <w:spacing w:after="0" w:line="264" w:lineRule="auto"/>
            </w:pPr>
            <w:r>
              <w:rPr>
                <w:rFonts w:ascii="Calibri" w:hAnsi="Calibri"/>
                <w:color w:val="111827"/>
                <w:sz w:val="18"/>
              </w:rPr>
              <w:t>Customer support</w:t>
            </w:r>
          </w:p>
        </w:tc>
        <w:tc>
          <w:tcPr>
            <w:tcW w:type="dxa" w:w="7260"/>
            <w:tcMar>
              <w:top w:w="80" w:type="dxa"/>
              <w:start w:w="120" w:type="dxa"/>
              <w:bottom w:w="80" w:type="dxa"/>
              <w:end w:w="120" w:type="dxa"/>
            </w:tcMar>
            <w:vAlign w:val="center"/>
          </w:tcPr>
          <w:p>
            <w:pPr>
              <w:spacing w:after="0" w:line="264" w:lineRule="auto"/>
            </w:pPr>
            <w:r>
              <w:rPr>
                <w:rFonts w:ascii="Calibri" w:hAnsi="Calibri"/>
                <w:color w:val="111827"/>
                <w:sz w:val="18"/>
              </w:rPr>
              <w:t>Monitor support email; assist with verification, password resets, provider-specific cancellation, and entitlement refresh.</w:t>
            </w:r>
          </w:p>
        </w:tc>
      </w:tr>
      <w:tr>
        <w:tc>
          <w:tcPr>
            <w:tcW w:type="dxa" w:w="2100"/>
            <w:tcMar>
              <w:top w:w="80" w:type="dxa"/>
              <w:start w:w="120" w:type="dxa"/>
              <w:bottom w:w="80" w:type="dxa"/>
              <w:end w:w="120" w:type="dxa"/>
            </w:tcMar>
            <w:vAlign w:val="center"/>
          </w:tcPr>
          <w:p>
            <w:pPr>
              <w:spacing w:after="0" w:line="264" w:lineRule="auto"/>
            </w:pPr>
            <w:r>
              <w:rPr>
                <w:rFonts w:ascii="Calibri" w:hAnsi="Calibri"/>
                <w:color w:val="111827"/>
                <w:sz w:val="18"/>
              </w:rPr>
              <w:t>Administration</w:t>
            </w:r>
          </w:p>
        </w:tc>
        <w:tc>
          <w:tcPr>
            <w:tcW w:type="dxa" w:w="7260"/>
            <w:tcMar>
              <w:top w:w="80" w:type="dxa"/>
              <w:start w:w="120" w:type="dxa"/>
              <w:bottom w:w="80" w:type="dxa"/>
              <w:end w:w="120" w:type="dxa"/>
            </w:tcMar>
            <w:vAlign w:val="center"/>
          </w:tcPr>
          <w:p>
            <w:pPr>
              <w:spacing w:after="0" w:line="264" w:lineRule="auto"/>
            </w:pPr>
            <w:r>
              <w:rPr>
                <w:rFonts w:ascii="Calibri" w:hAnsi="Calibri"/>
                <w:color w:val="111827"/>
                <w:sz w:val="18"/>
              </w:rPr>
              <w:t>Review user roles and manual plan assignments; preserve at least one active administrator; avoid using Development for customers.</w:t>
            </w:r>
          </w:p>
        </w:tc>
      </w:tr>
      <w:tr>
        <w:tc>
          <w:tcPr>
            <w:tcW w:type="dxa" w:w="2100"/>
            <w:tcMar>
              <w:top w:w="80" w:type="dxa"/>
              <w:start w:w="120" w:type="dxa"/>
              <w:bottom w:w="80" w:type="dxa"/>
              <w:end w:w="120" w:type="dxa"/>
            </w:tcMar>
            <w:vAlign w:val="center"/>
          </w:tcPr>
          <w:p>
            <w:pPr>
              <w:spacing w:after="0" w:line="264" w:lineRule="auto"/>
            </w:pPr>
            <w:r>
              <w:rPr>
                <w:rFonts w:ascii="Calibri" w:hAnsi="Calibri"/>
                <w:color w:val="111827"/>
                <w:sz w:val="18"/>
              </w:rPr>
              <w:t>Release management</w:t>
            </w:r>
          </w:p>
        </w:tc>
        <w:tc>
          <w:tcPr>
            <w:tcW w:type="dxa" w:w="7260"/>
            <w:tcMar>
              <w:top w:w="80" w:type="dxa"/>
              <w:start w:w="120" w:type="dxa"/>
              <w:bottom w:w="80" w:type="dxa"/>
              <w:end w:w="120" w:type="dxa"/>
            </w:tcMar>
            <w:vAlign w:val="center"/>
          </w:tcPr>
          <w:p>
            <w:pPr>
              <w:spacing w:after="0" w:line="264" w:lineRule="auto"/>
            </w:pPr>
            <w:r>
              <w:rPr>
                <w:rFonts w:ascii="Calibri" w:hAnsi="Calibri"/>
                <w:color w:val="111827"/>
                <w:sz w:val="18"/>
              </w:rPr>
              <w:t>Increment Android ApplicationVersion for every Play upload and test signup, login, billing, restoration, quota, and account deletion.</w:t>
            </w:r>
          </w:p>
        </w:tc>
      </w:tr>
    </w:tbl>
    <w:p>
      <w:pPr>
        <w:spacing w:after="0"/>
      </w:pPr>
    </w:p>
    <w:p>
      <w:pPr>
        <w:pStyle w:val="Heading2"/>
      </w:pPr>
      <w:r>
        <w:t>Recommended release verification</w:t>
      </w:r>
    </w:p>
    <w:p>
      <w:pPr>
        <w:pStyle w:val="ListBullet"/>
        <w:spacing w:after="80" w:line="300" w:lineRule="auto"/>
        <w:ind w:left="540" w:hanging="271"/>
      </w:pPr>
      <w:r>
        <w:rPr>
          <w:rFonts w:ascii="Calibri" w:hAnsi="Calibri"/>
          <w:color w:val="111827"/>
          <w:sz w:val="22"/>
        </w:rPr>
        <w:t>Create a new account, verify the email, and confirm the initial Free allowance is 20.</w:t>
      </w:r>
    </w:p>
    <w:p>
      <w:pPr>
        <w:pStyle w:val="ListBullet"/>
        <w:spacing w:after="80" w:line="300" w:lineRule="auto"/>
        <w:ind w:left="540" w:hanging="271"/>
      </w:pPr>
      <w:r>
        <w:rPr>
          <w:rFonts w:ascii="Calibri" w:hAnsi="Calibri"/>
          <w:color w:val="111827"/>
          <w:sz w:val="22"/>
        </w:rPr>
        <w:t>Confirm a Free user cannot see or forge paid style controls and receives a clear quota message at the limit.</w:t>
      </w:r>
    </w:p>
    <w:p>
      <w:pPr>
        <w:pStyle w:val="ListBullet"/>
        <w:spacing w:after="80" w:line="300" w:lineRule="auto"/>
        <w:ind w:left="540" w:hanging="271"/>
      </w:pPr>
      <w:r>
        <w:rPr>
          <w:rFonts w:ascii="Calibri" w:hAnsi="Calibri"/>
          <w:color w:val="111827"/>
          <w:sz w:val="22"/>
        </w:rPr>
        <w:t>Complete one Stripe test purchase for each plan/interval path and verify webhook-driven entitlement changes.</w:t>
      </w:r>
    </w:p>
    <w:p>
      <w:pPr>
        <w:pStyle w:val="ListBullet"/>
        <w:spacing w:after="80" w:line="300" w:lineRule="auto"/>
        <w:ind w:left="540" w:hanging="271"/>
      </w:pPr>
      <w:r>
        <w:rPr>
          <w:rFonts w:ascii="Calibri" w:hAnsi="Calibri"/>
          <w:color w:val="111827"/>
          <w:sz w:val="22"/>
        </w:rPr>
        <w:t>Complete Google Play internal-track purchases, including cancellation, grace period, restore after reinstall, and signing into the wrong account.</w:t>
      </w:r>
    </w:p>
    <w:p>
      <w:pPr>
        <w:pStyle w:val="ListBullet"/>
        <w:spacing w:after="80" w:line="300" w:lineRule="auto"/>
        <w:ind w:left="540" w:hanging="271"/>
      </w:pPr>
      <w:r>
        <w:rPr>
          <w:rFonts w:ascii="Calibri" w:hAnsi="Calibri"/>
          <w:color w:val="111827"/>
          <w:sz w:val="22"/>
        </w:rPr>
        <w:t>Verify plan state appears consistently on web and Android after Refresh plan.</w:t>
      </w:r>
    </w:p>
    <w:p>
      <w:pPr>
        <w:pStyle w:val="ListBullet"/>
        <w:spacing w:after="80" w:line="300" w:lineRule="auto"/>
        <w:ind w:left="540" w:hanging="271"/>
      </w:pPr>
      <w:r>
        <w:rPr>
          <w:rFonts w:ascii="Calibri" w:hAnsi="Calibri"/>
          <w:color w:val="111827"/>
          <w:sz w:val="22"/>
        </w:rPr>
        <w:t>Exercise admin invitation, role/plan edit, disable/re-enable, reset, delete, and last-admin protection.</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5D9"/>
          </w:tcPr>
          <w:p>
            <w:pPr>
              <w:spacing w:after="0"/>
            </w:pPr>
            <w:r>
              <w:rPr>
                <w:rFonts w:ascii="Calibri" w:hAnsi="Calibri"/>
                <w:b/>
                <w:color w:val="1F4D78"/>
              </w:rPr>
              <w:t xml:space="preserve">Current-state caution  </w:t>
            </w:r>
            <w:r>
              <w:rPr>
                <w:rFonts w:ascii="Calibri" w:hAnsi="Calibri"/>
                <w:color w:val="111827"/>
              </w:rPr>
              <w:t>This guide describes the repository implementation as of August 19, 2026. It does not itself prove that every Stripe price, Google Play product, testing track, policy approval, or merchant setting is active in production. Those external configurations should be verified before advertising purchase availability.</w:t>
            </w:r>
          </w:p>
        </w:tc>
      </w:tr>
    </w:tbl>
    <w:p>
      <w:pPr>
        <w:spacing w:after="0"/>
      </w:pPr>
    </w:p>
    <w:p>
      <w:pPr>
        <w:pStyle w:val="Heading1"/>
      </w:pPr>
      <w:r>
        <w:t>8. Source map</w:t>
      </w:r>
    </w:p>
    <w:p>
      <w:r>
        <w:rPr>
          <w:rFonts w:ascii="Calibri" w:hAnsi="Calibri"/>
          <w:color w:val="111827"/>
        </w:rPr>
        <w:t>The guide was prepared from the current ClearlySaid repository. The principal implementation and operating references are:</w:t>
      </w:r>
    </w:p>
    <w:p>
      <w:pPr>
        <w:pStyle w:val="ListBullet"/>
        <w:spacing w:after="80" w:line="300" w:lineRule="auto"/>
        <w:ind w:left="540" w:hanging="271"/>
      </w:pPr>
      <w:r>
        <w:rPr>
          <w:rFonts w:ascii="Calibri" w:hAnsi="Calibri"/>
          <w:color w:val="111827"/>
          <w:sz w:val="22"/>
        </w:rPr>
        <w:t>src/ClearlySaid.Shared/Models/AccountModels.cs — plan catalog and billing models</w:t>
      </w:r>
    </w:p>
    <w:p>
      <w:pPr>
        <w:pStyle w:val="ListBullet"/>
        <w:spacing w:after="80" w:line="300" w:lineRule="auto"/>
        <w:ind w:left="540" w:hanging="271"/>
      </w:pPr>
      <w:r>
        <w:rPr>
          <w:rFonts w:ascii="Calibri" w:hAnsi="Calibri"/>
          <w:color w:val="111827"/>
          <w:sz w:val="22"/>
        </w:rPr>
        <w:t>src/ClearlySaid.Shared/Components/Pages/Home.razor — signup, account summary, pricing, and billing presentation</w:t>
      </w:r>
    </w:p>
    <w:p>
      <w:pPr>
        <w:pStyle w:val="ListBullet"/>
        <w:spacing w:after="80" w:line="300" w:lineRule="auto"/>
        <w:ind w:left="540" w:hanging="271"/>
      </w:pPr>
      <w:r>
        <w:rPr>
          <w:rFonts w:ascii="Calibri" w:hAnsi="Calibri"/>
          <w:color w:val="111827"/>
          <w:sz w:val="22"/>
        </w:rPr>
        <w:t>src/ClearlySaid.Web/Endpoints/AccountEndpoints.cs and BillingEndpoints.cs — account and billing APIs</w:t>
      </w:r>
    </w:p>
    <w:p>
      <w:pPr>
        <w:pStyle w:val="ListBullet"/>
        <w:spacing w:after="80" w:line="300" w:lineRule="auto"/>
        <w:ind w:left="540" w:hanging="271"/>
      </w:pPr>
      <w:r>
        <w:rPr>
          <w:rFonts w:ascii="Calibri" w:hAnsi="Calibri"/>
          <w:color w:val="111827"/>
          <w:sz w:val="22"/>
        </w:rPr>
        <w:t>src/ClearlySaid.Web/Services/StripeBillingService.cs — Stripe Checkout, Portal, cancellation, and webhooks</w:t>
      </w:r>
    </w:p>
    <w:p>
      <w:pPr>
        <w:pStyle w:val="ListBullet"/>
        <w:spacing w:after="80" w:line="300" w:lineRule="auto"/>
        <w:ind w:left="540" w:hanging="271"/>
      </w:pPr>
      <w:r>
        <w:rPr>
          <w:rFonts w:ascii="Calibri" w:hAnsi="Calibri"/>
          <w:color w:val="111827"/>
          <w:sz w:val="22"/>
        </w:rPr>
        <w:t>src/ClearlySaid.App/Services/GooglePlayBillingService.cs — Android Billing client and purchase restoration</w:t>
      </w:r>
    </w:p>
    <w:p>
      <w:pPr>
        <w:pStyle w:val="ListBullet"/>
        <w:spacing w:after="80" w:line="300" w:lineRule="auto"/>
        <w:ind w:left="540" w:hanging="271"/>
      </w:pPr>
      <w:r>
        <w:rPr>
          <w:rFonts w:ascii="Calibri" w:hAnsi="Calibri"/>
          <w:color w:val="111827"/>
          <w:sz w:val="22"/>
        </w:rPr>
        <w:t>src/ClearlySaid.Web/Services/GooglePlayBillingService.cs — server-side Play verification and acknowledgement</w:t>
      </w:r>
    </w:p>
    <w:p>
      <w:pPr>
        <w:pStyle w:val="ListBullet"/>
        <w:spacing w:after="80" w:line="300" w:lineRule="auto"/>
        <w:ind w:left="540" w:hanging="271"/>
      </w:pPr>
      <w:r>
        <w:rPr>
          <w:rFonts w:ascii="Calibri" w:hAnsi="Calibri"/>
          <w:color w:val="111827"/>
          <w:sz w:val="22"/>
        </w:rPr>
        <w:t>src/ClearlySaid.Shared/Components/Pages/AdminUsers.razor and src/ClearlySaid.Web/Endpoints/AdminEndpoints.cs — user administration</w:t>
      </w:r>
    </w:p>
    <w:p>
      <w:pPr>
        <w:pStyle w:val="ListBullet"/>
        <w:spacing w:after="80" w:line="300" w:lineRule="auto"/>
        <w:ind w:left="540" w:hanging="271"/>
      </w:pPr>
      <w:r>
        <w:rPr>
          <w:rFonts w:ascii="Calibri" w:hAnsi="Calibri"/>
          <w:color w:val="111827"/>
          <w:sz w:val="22"/>
        </w:rPr>
        <w:t>src/ClearlySaid.Web/Data/ClearlySaidDatabase.cs — identities, entitlements, sessions, usage, and deletion semantics</w:t>
      </w:r>
    </w:p>
    <w:p>
      <w:pPr>
        <w:pStyle w:val="ListBullet"/>
        <w:spacing w:after="80" w:line="300" w:lineRule="auto"/>
        <w:ind w:left="540" w:hanging="271"/>
      </w:pPr>
      <w:r>
        <w:rPr>
          <w:rFonts w:ascii="Calibri" w:hAnsi="Calibri"/>
          <w:color w:val="111827"/>
          <w:sz w:val="22"/>
        </w:rPr>
        <w:t>docs/Subscription-Plans.md, docs/Google-Play-Release.md, and docs/Google-Play-Store-Listing.md — operating and store guidance</w:t>
      </w:r>
    </w:p>
    <w:sectPr w:rsidR="00FC693F" w:rsidRPr="0006063C" w:rsidSect="00034616">
      <w:headerReference w:type="default" r:id="rId9"/>
      <w:footerReference w:type="default" r:id="rId10"/>
      <w:pgSz w:w="12240" w:h="15840"/>
      <w:pgMar w:top="1123"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675"/>
        <w:sz w:val="17"/>
      </w:rPr>
      <w:t xml:space="preserve">ClearlySaid  •  Internal project documentation  •  August 19,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5C6675"/>
        <w:sz w:val="17"/>
      </w:rPr>
      <w:t>ClearlySaid | Account, Billing &amp; User Management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ClearlySaid Accounts, Billing, and User Management</dc:title>
  <dc:subject>Project documentation for signup, plans, website and Android billing, and user administration</dc:subject>
  <dc:creator>ClearlySaid</dc:creator>
  <cp:keywords>ClearlySaid, subscriptions, Stripe, Google Play, user management</cp:keywords>
  <dc:description>generated by python-docx</dc:description>
  <cp:lastModifiedBy/>
  <cp:revision>1</cp:revision>
  <dcterms:created xsi:type="dcterms:W3CDTF">2013-12-23T23:15:00Z</dcterms:created>
  <dcterms:modified xsi:type="dcterms:W3CDTF">2013-12-23T23:15:00Z</dcterms:modified>
  <cp:category/>
</cp:coreProperties>
</file>