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spacing w:after="240"/>
        <w:jc w:val="center"/>
      </w:pPr>
      <w:r>
        <w:rPr>
          <w:rFonts w:ascii="Calibri" w:hAnsi="Calibri"/>
          <w:b/>
          <w:color w:val="2E74B5"/>
          <w:sz w:val="22"/>
        </w:rPr>
        <w:t>TECHNICAL DESIGN SPECIFICATION</w:t>
      </w:r>
    </w:p>
    <w:p>
      <w:pPr>
        <w:spacing w:after="200"/>
        <w:jc w:val="center"/>
      </w:pPr>
      <w:r>
        <w:rPr>
          <w:rFonts w:ascii="Calibri" w:hAnsi="Calibri"/>
          <w:b/>
          <w:color w:val="17233C"/>
          <w:sz w:val="64"/>
        </w:rPr>
        <w:t>ClearlySaid</w:t>
      </w:r>
    </w:p>
    <w:p>
      <w:pPr>
        <w:spacing w:after="360"/>
        <w:jc w:val="center"/>
      </w:pPr>
      <w:r>
        <w:rPr>
          <w:rFonts w:ascii="Calibri" w:hAnsi="Calibri"/>
          <w:color w:val="1F4D78"/>
          <w:sz w:val="34"/>
        </w:rPr>
        <w:t>Architecture, Builds, Deployment, Releases,</w:t>
        <w:br/>
        <w:t>and Git Delivery Practices</w:t>
      </w:r>
    </w:p>
    <w:p>
      <w:pPr>
        <w:spacing w:after="1100"/>
        <w:jc w:val="center"/>
      </w:pPr>
      <w:r>
        <w:rPr>
          <w:rFonts w:ascii="Calibri" w:hAnsi="Calibri"/>
          <w:i/>
          <w:color w:val="5C6675"/>
          <w:sz w:val="23"/>
        </w:rPr>
        <w:t>.NET 10 • ASP.NET Core • Blazor • .NET MAUI Blazor Hybrid</w:t>
      </w:r>
    </w:p>
    <w:tbl>
      <w:tblPr>
        <w:tblStyle w:val="TableGrid"/>
        <w:tblW w:type="dxa" w:w="9360"/>
        <w:jc w:val="left"/>
        <w:tblLayout w:type="fixed"/>
        <w:tblLook w:firstColumn="1" w:firstRow="1" w:lastColumn="0" w:lastRow="0" w:noHBand="0" w:noVBand="1" w:val="04A0"/>
        <w:tblInd w:w="120" w:type="dxa"/>
      </w:tblPr>
      <w:tblGrid>
        <w:gridCol w:w="3400"/>
        <w:gridCol w:w="3160"/>
        <w:gridCol w:w="2800"/>
      </w:tblGrid>
      <w:tr>
        <w:trPr>
          <w:tblHeader/>
          <w:cantSplit/>
        </w:trPr>
        <w:tc>
          <w:tcPr>
            <w:tcW w:type="dxa" w:w="3400"/>
            <w:shd w:fill="E8EEF5"/>
            <w:tcMar>
              <w:top w:w="80" w:type="dxa"/>
              <w:bottom w:w="80" w:type="dxa"/>
              <w:start w:w="120" w:type="dxa"/>
              <w:end w:w="120" w:type="dxa"/>
            </w:tcMar>
            <w:vAlign w:val="center"/>
          </w:tcPr>
          <w:p>
            <w:pPr>
              <w:spacing w:after="0"/>
            </w:pPr>
            <w:r>
              <w:rPr>
                <w:rFonts w:ascii="Calibri" w:hAnsi="Calibri"/>
                <w:b/>
                <w:color w:val="17233C"/>
                <w:sz w:val="18"/>
              </w:rPr>
              <w:t>Specification basis</w:t>
            </w:r>
          </w:p>
        </w:tc>
        <w:tc>
          <w:tcPr>
            <w:tcW w:type="dxa" w:w="3160"/>
            <w:shd w:fill="E8EEF5"/>
            <w:tcMar>
              <w:top w:w="80" w:type="dxa"/>
              <w:bottom w:w="80" w:type="dxa"/>
              <w:start w:w="120" w:type="dxa"/>
              <w:end w:w="120" w:type="dxa"/>
            </w:tcMar>
            <w:vAlign w:val="center"/>
          </w:tcPr>
          <w:p>
            <w:pPr>
              <w:spacing w:after="0"/>
            </w:pPr>
            <w:r>
              <w:rPr>
                <w:rFonts w:ascii="Calibri" w:hAnsi="Calibri"/>
                <w:b/>
                <w:color w:val="17233C"/>
                <w:sz w:val="18"/>
              </w:rPr>
              <w:t>Current mobile version</w:t>
            </w:r>
          </w:p>
        </w:tc>
        <w:tc>
          <w:tcPr>
            <w:tcW w:type="dxa" w:w="2800"/>
            <w:shd w:fill="E8EEF5"/>
            <w:tcMar>
              <w:top w:w="80" w:type="dxa"/>
              <w:bottom w:w="80" w:type="dxa"/>
              <w:start w:w="120" w:type="dxa"/>
              <w:end w:w="120" w:type="dxa"/>
            </w:tcMar>
            <w:vAlign w:val="center"/>
          </w:tcPr>
          <w:p>
            <w:pPr>
              <w:spacing w:after="0"/>
            </w:pPr>
            <w:r>
              <w:rPr>
                <w:rFonts w:ascii="Calibri" w:hAnsi="Calibri"/>
                <w:b/>
                <w:color w:val="17233C"/>
                <w:sz w:val="18"/>
              </w:rPr>
              <w:t>Prepared</w:t>
            </w:r>
          </w:p>
        </w:tc>
      </w:tr>
      <w:tr>
        <w:trPr>
          <w:cantSplit/>
        </w:trPr>
        <w:tc>
          <w:tcPr>
            <w:tcW w:type="dxa" w:w="3400"/>
            <w:tcMar>
              <w:top w:w="80" w:type="dxa"/>
              <w:bottom w:w="80" w:type="dxa"/>
              <w:start w:w="120" w:type="dxa"/>
              <w:end w:w="120" w:type="dxa"/>
            </w:tcMar>
            <w:vAlign w:val="center"/>
          </w:tcPr>
          <w:p>
            <w:pPr>
              <w:spacing w:after="0" w:line="259" w:lineRule="auto"/>
            </w:pPr>
            <w:r>
              <w:rPr>
                <w:rFonts w:ascii="Calibri" w:hAnsi="Calibri"/>
                <w:color w:val="111827"/>
                <w:sz w:val="18"/>
              </w:rPr>
              <w:t>Current repository implementation</w:t>
            </w:r>
          </w:p>
        </w:tc>
        <w:tc>
          <w:tcPr>
            <w:tcW w:type="dxa" w:w="3160"/>
            <w:tcMar>
              <w:top w:w="80" w:type="dxa"/>
              <w:bottom w:w="80" w:type="dxa"/>
              <w:start w:w="120" w:type="dxa"/>
              <w:end w:w="120" w:type="dxa"/>
            </w:tcMar>
            <w:vAlign w:val="center"/>
          </w:tcPr>
          <w:p>
            <w:pPr>
              <w:spacing w:after="0" w:line="259" w:lineRule="auto"/>
            </w:pPr>
            <w:r>
              <w:rPr>
                <w:rFonts w:ascii="Calibri" w:hAnsi="Calibri"/>
                <w:color w:val="111827"/>
                <w:sz w:val="18"/>
              </w:rPr>
              <w:t>Display 1.3 / build 5</w:t>
            </w:r>
          </w:p>
        </w:tc>
        <w:tc>
          <w:tcPr>
            <w:tcW w:type="dxa" w:w="2800"/>
            <w:tcMar>
              <w:top w:w="80" w:type="dxa"/>
              <w:bottom w:w="80" w:type="dxa"/>
              <w:start w:w="120" w:type="dxa"/>
              <w:end w:w="120" w:type="dxa"/>
            </w:tcMar>
            <w:vAlign w:val="center"/>
          </w:tcPr>
          <w:p>
            <w:pPr>
              <w:spacing w:after="0" w:line="259" w:lineRule="auto"/>
            </w:pPr>
            <w:r>
              <w:rPr>
                <w:rFonts w:ascii="Calibri" w:hAnsi="Calibri"/>
                <w:color w:val="111827"/>
                <w:sz w:val="18"/>
              </w:rPr>
              <w:t>August 19, 2026</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FF5D9"/>
          </w:tcPr>
          <w:p>
            <w:pPr>
              <w:spacing w:after="0"/>
            </w:pPr>
            <w:r>
              <w:rPr>
                <w:rFonts w:ascii="Calibri" w:hAnsi="Calibri"/>
                <w:b/>
                <w:color w:val="1F4D78"/>
              </w:rPr>
              <w:t xml:space="preserve">Scope  </w:t>
            </w:r>
            <w:r>
              <w:rPr>
                <w:rFonts w:ascii="Calibri" w:hAnsi="Calibri"/>
                <w:color w:val="111827"/>
              </w:rPr>
              <w:t>The current web, API, Android, and shared-code design; the intended iPhone/iOS path; and the general engineering process from source control through verified release.</w:t>
            </w:r>
          </w:p>
        </w:tc>
      </w:tr>
    </w:tbl>
    <w:p>
      <w:pPr>
        <w:spacing w:after="0"/>
      </w:pPr>
    </w:p>
    <w:p>
      <w:r>
        <w:br w:type="page"/>
      </w:r>
    </w:p>
    <w:p>
      <w:pPr>
        <w:pStyle w:val="Heading1"/>
      </w:pPr>
      <w:r>
        <w:t>1. System purpose and design principles</w:t>
      </w:r>
    </w:p>
    <w:p>
      <w:r>
        <w:rPr>
          <w:rFonts w:ascii="Calibri" w:hAnsi="Calibri"/>
          <w:color w:val="111827"/>
        </w:rPr>
        <w:t>ClearlySaid turns dictated or typed thoughts into a clearer message. The project is designed as a shared-product system: browser and native clients present substantially the same Razor experience, while security, identity, quotas, billing entitlements, and model routing remain server-controlled.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AF4EA"/>
          </w:tcPr>
          <w:p>
            <w:pPr>
              <w:spacing w:after="0"/>
            </w:pPr>
            <w:r>
              <w:rPr>
                <w:rFonts w:ascii="Calibri" w:hAnsi="Calibri"/>
                <w:b/>
                <w:color w:val="1F4D78"/>
              </w:rPr>
              <w:t xml:space="preserve">Primary design decision  </w:t>
            </w:r>
            <w:r>
              <w:rPr>
                <w:rFonts w:ascii="Calibri" w:hAnsi="Calibri"/>
                <w:color w:val="111827"/>
              </w:rPr>
              <w:t>Use one shared Blazor component library across the ASP.NET Core website and the .NET MAUI Blazor Hybrid app. Native hosts provide device capabilities and packaging; Web01 remains the public account and policy authority.</w:t>
            </w:r>
          </w:p>
        </w:tc>
      </w:tr>
    </w:tbl>
    <w:p>
      <w:pPr>
        <w:spacing w:after="0"/>
      </w:pPr>
    </w:p>
    <w:p>
      <w:pPr>
        <w:pStyle w:val="Heading2"/>
      </w:pPr>
      <w:r>
        <w:t>Design goals</w:t>
      </w:r>
    </w:p>
    <w:p>
      <w:pPr>
        <w:pStyle w:val="ListBullet"/>
        <w:spacing w:after="80" w:line="300" w:lineRule="auto"/>
        <w:ind w:left="540" w:hanging="271"/>
      </w:pPr>
      <w:r>
        <w:rPr>
          <w:rFonts w:ascii="Calibri" w:hAnsi="Calibri"/>
          <w:color w:val="111827"/>
        </w:rPr>
        <w:t>Reuse user interface, models, and service contracts across web and mobile.</w:t>
      </w:r>
    </w:p>
    <w:p>
      <w:pPr>
        <w:pStyle w:val="ListBullet"/>
        <w:spacing w:after="80" w:line="300" w:lineRule="auto"/>
        <w:ind w:left="540" w:hanging="271"/>
      </w:pPr>
      <w:r>
        <w:rPr>
          <w:rFonts w:ascii="Calibri" w:hAnsi="Calibri"/>
          <w:color w:val="111827"/>
        </w:rPr>
        <w:t>Keep public account and business rules on Web01, separate from AI provider secrets and routing on private API01.</w:t>
      </w:r>
    </w:p>
    <w:p>
      <w:pPr>
        <w:pStyle w:val="ListBullet"/>
        <w:spacing w:after="80" w:line="300" w:lineRule="auto"/>
        <w:ind w:left="540" w:hanging="271"/>
      </w:pPr>
      <w:r>
        <w:rPr>
          <w:rFonts w:ascii="Calibri" w:hAnsi="Calibri"/>
          <w:color w:val="111827"/>
        </w:rPr>
        <w:t>Use native speech recognition on mobile and browser speech APIs on the website.</w:t>
      </w:r>
    </w:p>
    <w:p>
      <w:pPr>
        <w:pStyle w:val="ListBullet"/>
        <w:spacing w:after="80" w:line="300" w:lineRule="auto"/>
        <w:ind w:left="540" w:hanging="271"/>
      </w:pPr>
      <w:r>
        <w:rPr>
          <w:rFonts w:ascii="Calibri" w:hAnsi="Calibri"/>
          <w:color w:val="111827"/>
        </w:rPr>
        <w:t>Fail closed for authentication, quotas, billing verification, and provider ambiguity.</w:t>
      </w:r>
    </w:p>
    <w:p>
      <w:pPr>
        <w:pStyle w:val="ListBullet"/>
        <w:spacing w:after="80" w:line="300" w:lineRule="auto"/>
        <w:ind w:left="540" w:hanging="271"/>
      </w:pPr>
      <w:r>
        <w:rPr>
          <w:rFonts w:ascii="Calibri" w:hAnsi="Calibri"/>
          <w:color w:val="111827"/>
        </w:rPr>
        <w:t>Produce independently releasable server containers and signed store/mobile artifacts.</w:t>
      </w:r>
    </w:p>
    <w:p>
      <w:pPr>
        <w:pStyle w:val="ListBullet"/>
        <w:spacing w:after="80" w:line="300" w:lineRule="auto"/>
        <w:ind w:left="540" w:hanging="271"/>
      </w:pPr>
      <w:r>
        <w:rPr>
          <w:rFonts w:ascii="Calibri" w:hAnsi="Calibri"/>
          <w:color w:val="111827"/>
        </w:rPr>
        <w:t>Preserve rollback capability and verify health before declaring a deployment complete.</w:t>
      </w:r>
    </w:p>
    <w:p>
      <w:pPr>
        <w:pStyle w:val="Heading2"/>
      </w:pPr>
      <w:r>
        <w:t>Terminology</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cantSplit/>
        </w:trPr>
        <w:tc>
          <w:tcPr>
            <w:tcW w:type="dxa" w:w="1700"/>
            <w:shd w:fill="E8EEF5"/>
            <w:tcMar>
              <w:top w:w="80" w:type="dxa"/>
              <w:bottom w:w="80" w:type="dxa"/>
              <w:start w:w="120" w:type="dxa"/>
              <w:end w:w="120" w:type="dxa"/>
            </w:tcMar>
            <w:vAlign w:val="center"/>
          </w:tcPr>
          <w:p>
            <w:pPr>
              <w:spacing w:after="0"/>
            </w:pPr>
            <w:r>
              <w:rPr>
                <w:rFonts w:ascii="Calibri" w:hAnsi="Calibri"/>
                <w:b/>
                <w:color w:val="17233C"/>
                <w:sz w:val="18"/>
              </w:rPr>
              <w:t>Term</w:t>
            </w:r>
          </w:p>
        </w:tc>
        <w:tc>
          <w:tcPr>
            <w:tcW w:type="dxa" w:w="7660"/>
            <w:shd w:fill="E8EEF5"/>
            <w:tcMar>
              <w:top w:w="80" w:type="dxa"/>
              <w:bottom w:w="80" w:type="dxa"/>
              <w:start w:w="120" w:type="dxa"/>
              <w:end w:w="120" w:type="dxa"/>
            </w:tcMar>
            <w:vAlign w:val="center"/>
          </w:tcPr>
          <w:p>
            <w:pPr>
              <w:spacing w:after="0"/>
            </w:pPr>
            <w:r>
              <w:rPr>
                <w:rFonts w:ascii="Calibri" w:hAnsi="Calibri"/>
                <w:b/>
                <w:color w:val="17233C"/>
                <w:sz w:val="18"/>
              </w:rPr>
              <w:t>Meaning in ClearlySaid</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111827"/>
                <w:sz w:val="18"/>
              </w:rPr>
              <w:t>Build</w:t>
            </w:r>
          </w:p>
        </w:tc>
        <w:tc>
          <w:tcPr>
            <w:tcW w:type="dxa" w:w="7660"/>
            <w:tcMar>
              <w:top w:w="80" w:type="dxa"/>
              <w:bottom w:w="80" w:type="dxa"/>
              <w:start w:w="120" w:type="dxa"/>
              <w:end w:w="120" w:type="dxa"/>
            </w:tcMar>
            <w:vAlign w:val="center"/>
          </w:tcPr>
          <w:p>
            <w:pPr>
              <w:spacing w:after="0" w:line="259" w:lineRule="auto"/>
            </w:pPr>
            <w:r>
              <w:rPr>
                <w:rFonts w:ascii="Calibri" w:hAnsi="Calibri"/>
                <w:color w:val="111827"/>
                <w:sz w:val="18"/>
              </w:rPr>
              <w:t>Compile source and validate dependencies for a specific target and configuration.</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111827"/>
                <w:sz w:val="18"/>
              </w:rPr>
              <w:t>Publish</w:t>
            </w:r>
          </w:p>
        </w:tc>
        <w:tc>
          <w:tcPr>
            <w:tcW w:type="dxa" w:w="7660"/>
            <w:tcMar>
              <w:top w:w="80" w:type="dxa"/>
              <w:bottom w:w="80" w:type="dxa"/>
              <w:start w:w="120" w:type="dxa"/>
              <w:end w:w="120" w:type="dxa"/>
            </w:tcMar>
            <w:vAlign w:val="center"/>
          </w:tcPr>
          <w:p>
            <w:pPr>
              <w:spacing w:after="0" w:line="259" w:lineRule="auto"/>
            </w:pPr>
            <w:r>
              <w:rPr>
                <w:rFonts w:ascii="Calibri" w:hAnsi="Calibri"/>
                <w:color w:val="111827"/>
                <w:sz w:val="18"/>
              </w:rPr>
              <w:t>Create deployable output: server publish directory, Docker image input, APK, or signed AAB.</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111827"/>
                <w:sz w:val="18"/>
              </w:rPr>
              <w:t>Deploy</w:t>
            </w:r>
          </w:p>
        </w:tc>
        <w:tc>
          <w:tcPr>
            <w:tcW w:type="dxa" w:w="7660"/>
            <w:tcMar>
              <w:top w:w="80" w:type="dxa"/>
              <w:bottom w:w="80" w:type="dxa"/>
              <w:start w:w="120" w:type="dxa"/>
              <w:end w:w="120" w:type="dxa"/>
            </w:tcMar>
            <w:vAlign w:val="center"/>
          </w:tcPr>
          <w:p>
            <w:pPr>
              <w:spacing w:after="0" w:line="259" w:lineRule="auto"/>
            </w:pPr>
            <w:r>
              <w:rPr>
                <w:rFonts w:ascii="Calibri" w:hAnsi="Calibri"/>
                <w:color w:val="111827"/>
                <w:sz w:val="18"/>
              </w:rPr>
              <w:t>Install or activate a server build on API01 or Web01.</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111827"/>
                <w:sz w:val="18"/>
              </w:rPr>
              <w:t>Release</w:t>
            </w:r>
          </w:p>
        </w:tc>
        <w:tc>
          <w:tcPr>
            <w:tcW w:type="dxa" w:w="7660"/>
            <w:tcMar>
              <w:top w:w="80" w:type="dxa"/>
              <w:bottom w:w="80" w:type="dxa"/>
              <w:start w:w="120" w:type="dxa"/>
              <w:end w:w="120" w:type="dxa"/>
            </w:tcMar>
            <w:vAlign w:val="center"/>
          </w:tcPr>
          <w:p>
            <w:pPr>
              <w:spacing w:after="0" w:line="259" w:lineRule="auto"/>
            </w:pPr>
            <w:r>
              <w:rPr>
                <w:rFonts w:ascii="Calibri" w:hAnsi="Calibri"/>
                <w:color w:val="111827"/>
                <w:sz w:val="18"/>
              </w:rPr>
              <w:t>A coordinated, verified delivery of the relevant components, including mobile artifacts or store submission state.</w:t>
            </w:r>
          </w:p>
        </w:tc>
      </w:tr>
      <w:tr>
        <w:trPr>
          <w:cantSplit/>
        </w:trPr>
        <w:tc>
          <w:tcPr>
            <w:tcW w:type="dxa" w:w="1700"/>
            <w:tcMar>
              <w:top w:w="80" w:type="dxa"/>
              <w:bottom w:w="80" w:type="dxa"/>
              <w:start w:w="120" w:type="dxa"/>
              <w:end w:w="120" w:type="dxa"/>
            </w:tcMar>
            <w:vAlign w:val="center"/>
          </w:tcPr>
          <w:p>
            <w:pPr>
              <w:spacing w:after="0" w:line="259" w:lineRule="auto"/>
            </w:pPr>
            <w:r>
              <w:rPr>
                <w:rFonts w:ascii="Calibri" w:hAnsi="Calibri"/>
                <w:color w:val="111827"/>
                <w:sz w:val="18"/>
              </w:rPr>
              <w:t>Git push</w:t>
            </w:r>
          </w:p>
        </w:tc>
        <w:tc>
          <w:tcPr>
            <w:tcW w:type="dxa" w:w="7660"/>
            <w:tcMar>
              <w:top w:w="80" w:type="dxa"/>
              <w:bottom w:w="80" w:type="dxa"/>
              <w:start w:w="120" w:type="dxa"/>
              <w:end w:w="120" w:type="dxa"/>
            </w:tcMar>
            <w:vAlign w:val="center"/>
          </w:tcPr>
          <w:p>
            <w:pPr>
              <w:spacing w:after="0" w:line="259" w:lineRule="auto"/>
            </w:pPr>
            <w:r>
              <w:rPr>
                <w:rFonts w:ascii="Calibri" w:hAnsi="Calibri"/>
                <w:color w:val="111827"/>
                <w:sz w:val="18"/>
              </w:rPr>
              <w:t>Transfer reviewed local commits to the configured remote repository; it does not itself deploy production.</w:t>
            </w:r>
          </w:p>
        </w:tc>
      </w:tr>
    </w:tbl>
    <w:p>
      <w:pPr>
        <w:spacing w:after="0"/>
      </w:pPr>
    </w:p>
    <w:p>
      <w:pPr>
        <w:pStyle w:val="Heading1"/>
      </w:pPr>
      <w:r>
        <w:t>2. Solution architecture</w:t>
      </w:r>
    </w:p>
    <w:p>
      <w:pPr>
        <w:pStyle w:val="Heading2"/>
      </w:pPr>
      <w:r>
        <w:t>Projects and responsibilities</w:t>
      </w:r>
    </w:p>
    <w:tbl>
      <w:tblPr>
        <w:tblStyle w:val="TableGrid"/>
        <w:tblW w:type="dxa" w:w="9360"/>
        <w:jc w:val="left"/>
        <w:tblLayout w:type="fixed"/>
        <w:tblLook w:firstColumn="1" w:firstRow="1" w:lastColumn="0" w:lastRow="0" w:noHBand="0" w:noVBand="1" w:val="04A0"/>
        <w:tblInd w:w="120" w:type="dxa"/>
      </w:tblPr>
      <w:tblGrid>
        <w:gridCol w:w="1900"/>
        <w:gridCol w:w="2700"/>
        <w:gridCol w:w="4760"/>
      </w:tblGrid>
      <w:tr>
        <w:trPr>
          <w:tblHeader/>
          <w:cantSplit/>
        </w:trPr>
        <w:tc>
          <w:tcPr>
            <w:tcW w:type="dxa" w:w="1900"/>
            <w:shd w:fill="E8EEF5"/>
            <w:tcMar>
              <w:top w:w="80" w:type="dxa"/>
              <w:bottom w:w="80" w:type="dxa"/>
              <w:start w:w="120" w:type="dxa"/>
              <w:end w:w="120" w:type="dxa"/>
            </w:tcMar>
            <w:vAlign w:val="center"/>
          </w:tcPr>
          <w:p>
            <w:pPr>
              <w:spacing w:after="0"/>
            </w:pPr>
            <w:r>
              <w:rPr>
                <w:rFonts w:ascii="Calibri" w:hAnsi="Calibri"/>
                <w:b/>
                <w:color w:val="17233C"/>
                <w:sz w:val="17"/>
              </w:rPr>
              <w:t>Project</w:t>
            </w:r>
          </w:p>
        </w:tc>
        <w:tc>
          <w:tcPr>
            <w:tcW w:type="dxa" w:w="2700"/>
            <w:shd w:fill="E8EEF5"/>
            <w:tcMar>
              <w:top w:w="80" w:type="dxa"/>
              <w:bottom w:w="80" w:type="dxa"/>
              <w:start w:w="120" w:type="dxa"/>
              <w:end w:w="120" w:type="dxa"/>
            </w:tcMar>
            <w:vAlign w:val="center"/>
          </w:tcPr>
          <w:p>
            <w:pPr>
              <w:spacing w:after="0"/>
            </w:pPr>
            <w:r>
              <w:rPr>
                <w:rFonts w:ascii="Calibri" w:hAnsi="Calibri"/>
                <w:b/>
                <w:color w:val="17233C"/>
                <w:sz w:val="17"/>
              </w:rPr>
              <w:t>SDK / target</w:t>
            </w:r>
          </w:p>
        </w:tc>
        <w:tc>
          <w:tcPr>
            <w:tcW w:type="dxa" w:w="4760"/>
            <w:shd w:fill="E8EEF5"/>
            <w:tcMar>
              <w:top w:w="80" w:type="dxa"/>
              <w:bottom w:w="80" w:type="dxa"/>
              <w:start w:w="120" w:type="dxa"/>
              <w:end w:w="120" w:type="dxa"/>
            </w:tcMar>
            <w:vAlign w:val="center"/>
          </w:tcPr>
          <w:p>
            <w:pPr>
              <w:spacing w:after="0"/>
            </w:pPr>
            <w:r>
              <w:rPr>
                <w:rFonts w:ascii="Calibri" w:hAnsi="Calibri"/>
                <w:b/>
                <w:color w:val="17233C"/>
                <w:sz w:val="17"/>
              </w:rPr>
              <w:t>Responsibility</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ClearlySaid.Shared</w:t>
            </w:r>
          </w:p>
        </w:tc>
        <w:tc>
          <w:tcPr>
            <w:tcW w:type="dxa" w:w="2700"/>
            <w:tcMar>
              <w:top w:w="80" w:type="dxa"/>
              <w:bottom w:w="80" w:type="dxa"/>
              <w:start w:w="120" w:type="dxa"/>
              <w:end w:w="120" w:type="dxa"/>
            </w:tcMar>
            <w:vAlign w:val="center"/>
          </w:tcPr>
          <w:p>
            <w:pPr>
              <w:spacing w:after="0" w:line="259" w:lineRule="auto"/>
            </w:pPr>
            <w:r>
              <w:rPr>
                <w:rFonts w:ascii="Calibri" w:hAnsi="Calibri"/>
                <w:color w:val="111827"/>
                <w:sz w:val="17"/>
              </w:rPr>
              <w:t>Microsoft.NET.Sdk.Razor / net10.0</w:t>
            </w:r>
          </w:p>
        </w:tc>
        <w:tc>
          <w:tcPr>
            <w:tcW w:type="dxa" w:w="4760"/>
            <w:tcMar>
              <w:top w:w="80" w:type="dxa"/>
              <w:bottom w:w="80" w:type="dxa"/>
              <w:start w:w="120" w:type="dxa"/>
              <w:end w:w="120" w:type="dxa"/>
            </w:tcMar>
            <w:vAlign w:val="center"/>
          </w:tcPr>
          <w:p>
            <w:pPr>
              <w:spacing w:after="0" w:line="259" w:lineRule="auto"/>
            </w:pPr>
            <w:r>
              <w:rPr>
                <w:rFonts w:ascii="Calibri" w:hAnsi="Calibri"/>
                <w:color w:val="111827"/>
                <w:sz w:val="17"/>
              </w:rPr>
              <w:t>Reusable Razor routes and pages, CSS, request/response models, service interfaces, plan/style catalogs, and cross-client UI behavior.</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ClearlySaid.Web</w:t>
            </w:r>
          </w:p>
        </w:tc>
        <w:tc>
          <w:tcPr>
            <w:tcW w:type="dxa" w:w="2700"/>
            <w:tcMar>
              <w:top w:w="80" w:type="dxa"/>
              <w:bottom w:w="80" w:type="dxa"/>
              <w:start w:w="120" w:type="dxa"/>
              <w:end w:w="120" w:type="dxa"/>
            </w:tcMar>
            <w:vAlign w:val="center"/>
          </w:tcPr>
          <w:p>
            <w:pPr>
              <w:spacing w:after="0" w:line="259" w:lineRule="auto"/>
            </w:pPr>
            <w:r>
              <w:rPr>
                <w:rFonts w:ascii="Calibri" w:hAnsi="Calibri"/>
                <w:color w:val="111827"/>
                <w:sz w:val="17"/>
              </w:rPr>
              <w:t>Microsoft.NET.Sdk.Web / net10.0</w:t>
            </w:r>
          </w:p>
        </w:tc>
        <w:tc>
          <w:tcPr>
            <w:tcW w:type="dxa" w:w="4760"/>
            <w:tcMar>
              <w:top w:w="80" w:type="dxa"/>
              <w:bottom w:w="80" w:type="dxa"/>
              <w:start w:w="120" w:type="dxa"/>
              <w:end w:w="120" w:type="dxa"/>
            </w:tcMar>
            <w:vAlign w:val="center"/>
          </w:tcPr>
          <w:p>
            <w:pPr>
              <w:spacing w:after="0" w:line="259" w:lineRule="auto"/>
            </w:pPr>
            <w:r>
              <w:rPr>
                <w:rFonts w:ascii="Calibri" w:hAnsi="Calibri"/>
                <w:color w:val="111827"/>
                <w:sz w:val="17"/>
              </w:rPr>
              <w:t>Public interactive-server Blazor website, mobile gateway, accounts, PostgreSQL persistence, quotas, Stripe, Google Play verification, administration, email, diagnostics, and API01 proxy.</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ClearlySaid.Api</w:t>
            </w:r>
          </w:p>
        </w:tc>
        <w:tc>
          <w:tcPr>
            <w:tcW w:type="dxa" w:w="2700"/>
            <w:tcMar>
              <w:top w:w="80" w:type="dxa"/>
              <w:bottom w:w="80" w:type="dxa"/>
              <w:start w:w="120" w:type="dxa"/>
              <w:end w:w="120" w:type="dxa"/>
            </w:tcMar>
            <w:vAlign w:val="center"/>
          </w:tcPr>
          <w:p>
            <w:pPr>
              <w:spacing w:after="0" w:line="259" w:lineRule="auto"/>
            </w:pPr>
            <w:r>
              <w:rPr>
                <w:rFonts w:ascii="Calibri" w:hAnsi="Calibri"/>
                <w:color w:val="111827"/>
                <w:sz w:val="17"/>
              </w:rPr>
              <w:t>Microsoft.NET.Sdk.Web / net10.0</w:t>
            </w:r>
          </w:p>
        </w:tc>
        <w:tc>
          <w:tcPr>
            <w:tcW w:type="dxa" w:w="4760"/>
            <w:tcMar>
              <w:top w:w="80" w:type="dxa"/>
              <w:bottom w:w="80" w:type="dxa"/>
              <w:start w:w="120" w:type="dxa"/>
              <w:end w:w="120" w:type="dxa"/>
            </w:tcMar>
            <w:vAlign w:val="center"/>
          </w:tcPr>
          <w:p>
            <w:pPr>
              <w:spacing w:after="0" w:line="259" w:lineRule="auto"/>
            </w:pPr>
            <w:r>
              <w:rPr>
                <w:rFonts w:ascii="Calibri" w:hAnsi="Calibri"/>
                <w:color w:val="111827"/>
                <w:sz w:val="17"/>
              </w:rPr>
              <w:t>Private model-routing control plane. Calls on-prem Ollama first and OpenAI only for eligible definite failures.</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ClearlySaid.App</w:t>
            </w:r>
          </w:p>
        </w:tc>
        <w:tc>
          <w:tcPr>
            <w:tcW w:type="dxa" w:w="2700"/>
            <w:tcMar>
              <w:top w:w="80" w:type="dxa"/>
              <w:bottom w:w="80" w:type="dxa"/>
              <w:start w:w="120" w:type="dxa"/>
              <w:end w:w="120" w:type="dxa"/>
            </w:tcMar>
            <w:vAlign w:val="center"/>
          </w:tcPr>
          <w:p>
            <w:pPr>
              <w:spacing w:after="0" w:line="259" w:lineRule="auto"/>
            </w:pPr>
            <w:r>
              <w:rPr>
                <w:rFonts w:ascii="Calibri" w:hAnsi="Calibri"/>
                <w:color w:val="111827"/>
                <w:sz w:val="17"/>
              </w:rPr>
              <w:t>Microsoft.NET.Sdk.Razor + UseMaui / net10.0-android; net10.0-ios; Windows target on Windows</w:t>
            </w:r>
          </w:p>
        </w:tc>
        <w:tc>
          <w:tcPr>
            <w:tcW w:type="dxa" w:w="4760"/>
            <w:tcMar>
              <w:top w:w="80" w:type="dxa"/>
              <w:bottom w:w="80" w:type="dxa"/>
              <w:start w:w="120" w:type="dxa"/>
              <w:end w:w="120" w:type="dxa"/>
            </w:tcMar>
            <w:vAlign w:val="center"/>
          </w:tcPr>
          <w:p>
            <w:pPr>
              <w:spacing w:after="0" w:line="259" w:lineRule="auto"/>
            </w:pPr>
            <w:r>
              <w:rPr>
                <w:rFonts w:ascii="Calibri" w:hAnsi="Calibri"/>
                <w:color w:val="111827"/>
                <w:sz w:val="17"/>
              </w:rPr>
              <w:t>Native .NET MAUI Blazor Hybrid host. Renders Shared locally, provides native dictation/token storage, and connects to Web01.</w:t>
            </w:r>
          </w:p>
        </w:tc>
      </w:tr>
    </w:tbl>
    <w:p>
      <w:pPr>
        <w:spacing w:after="0"/>
      </w:pPr>
    </w:p>
    <w:p>
      <w:pPr>
        <w:pStyle w:val="Heading2"/>
      </w:pPr>
      <w:r>
        <w:t>Runtime request path</w:t>
      </w:r>
    </w:p>
    <w:p>
      <w:pPr>
        <w:numPr>
          <w:ilvl w:val="0"/>
          <w:numId w:val="10"/>
        </w:numPr>
        <w:spacing w:after="80" w:line="300" w:lineRule="auto"/>
        <w:ind w:left="540" w:hanging="271"/>
      </w:pPr>
      <w:r>
        <w:rPr>
          <w:rFonts w:ascii="Calibri" w:hAnsi="Calibri"/>
          <w:color w:val="111827"/>
        </w:rPr>
        <w:t>Browser or installed mobile app sends account/refinement requests to https://clearlysaid.ai.</w:t>
      </w:r>
    </w:p>
    <w:p>
      <w:pPr>
        <w:numPr>
          <w:ilvl w:val="0"/>
          <w:numId w:val="10"/>
        </w:numPr>
        <w:spacing w:after="80" w:line="300" w:lineRule="auto"/>
        <w:ind w:left="540" w:hanging="271"/>
      </w:pPr>
      <w:r>
        <w:rPr>
          <w:rFonts w:ascii="Calibri" w:hAnsi="Calibri"/>
          <w:color w:val="111827"/>
        </w:rPr>
        <w:t>Cloudflare Tunnel routes the public host to Nginx Proxy Manager on Web01.</w:t>
      </w:r>
    </w:p>
    <w:p>
      <w:pPr>
        <w:numPr>
          <w:ilvl w:val="0"/>
          <w:numId w:val="10"/>
        </w:numPr>
        <w:spacing w:after="80" w:line="300" w:lineRule="auto"/>
        <w:ind w:left="540" w:hanging="271"/>
      </w:pPr>
      <w:r>
        <w:rPr>
          <w:rFonts w:ascii="Calibri" w:hAnsi="Calibri"/>
          <w:color w:val="111827"/>
        </w:rPr>
        <w:t>Nginx forwards to the clearlysaid-web container on port 5102; Web01 authenticates the user, validates policy, reserves quota, and records request identity.</w:t>
      </w:r>
    </w:p>
    <w:p>
      <w:pPr>
        <w:numPr>
          <w:ilvl w:val="0"/>
          <w:numId w:val="10"/>
        </w:numPr>
        <w:spacing w:after="80" w:line="300" w:lineRule="auto"/>
        <w:ind w:left="540" w:hanging="271"/>
      </w:pPr>
      <w:r>
        <w:rPr>
          <w:rFonts w:ascii="Calibri" w:hAnsi="Calibri"/>
          <w:color w:val="111827"/>
        </w:rPr>
        <w:t>Web01 sends an internal-token-authenticated request to API01 at 10.168.168.7:5103.</w:t>
      </w:r>
    </w:p>
    <w:p>
      <w:pPr>
        <w:numPr>
          <w:ilvl w:val="0"/>
          <w:numId w:val="10"/>
        </w:numPr>
        <w:spacing w:after="80" w:line="300" w:lineRule="auto"/>
        <w:ind w:left="540" w:hanging="271"/>
      </w:pPr>
      <w:r>
        <w:rPr>
          <w:rFonts w:ascii="Calibri" w:hAnsi="Calibri"/>
          <w:color w:val="111827"/>
        </w:rPr>
        <w:t>API01 calls on-prem Ollama at 10.168.168.5:11434 and uses the OpenAI Responses API only after a definite primary failure when fallback is enabled.</w:t>
      </w:r>
    </w:p>
    <w:p>
      <w:pPr>
        <w:numPr>
          <w:ilvl w:val="0"/>
          <w:numId w:val="10"/>
        </w:numPr>
        <w:spacing w:after="80" w:line="300" w:lineRule="auto"/>
        <w:ind w:left="540" w:hanging="271"/>
      </w:pPr>
      <w:r>
        <w:rPr>
          <w:rFonts w:ascii="Calibri" w:hAnsi="Calibri"/>
          <w:color w:val="111827"/>
        </w:rPr>
        <w:t>Web01 completes usage accounting and returns the result. PostgreSQL at 10.168.168.9:5432 stores account and operational metadata, not message text.</w:t>
      </w:r>
    </w:p>
    <w:p>
      <w:pPr>
        <w:pStyle w:val="Heading2"/>
      </w:pPr>
      <w:r>
        <w:t>Trust boundaries</w:t>
      </w:r>
    </w:p>
    <w:tbl>
      <w:tblPr>
        <w:tblStyle w:val="TableGrid"/>
        <w:tblW w:type="dxa" w:w="9360"/>
        <w:jc w:val="left"/>
        <w:tblLayout w:type="fixed"/>
        <w:tblLook w:firstColumn="1" w:firstRow="1" w:lastColumn="0" w:lastRow="0" w:noHBand="0" w:noVBand="1" w:val="04A0"/>
        <w:tblInd w:w="120" w:type="dxa"/>
      </w:tblPr>
      <w:tblGrid>
        <w:gridCol w:w="2400"/>
        <w:gridCol w:w="1100"/>
        <w:gridCol w:w="5860"/>
      </w:tblGrid>
      <w:tr>
        <w:trPr>
          <w:tblHeader/>
          <w:cantSplit/>
        </w:trPr>
        <w:tc>
          <w:tcPr>
            <w:tcW w:type="dxa" w:w="2400"/>
            <w:shd w:fill="E8EEF5"/>
            <w:tcMar>
              <w:top w:w="80" w:type="dxa"/>
              <w:bottom w:w="80" w:type="dxa"/>
              <w:start w:w="120" w:type="dxa"/>
              <w:end w:w="120" w:type="dxa"/>
            </w:tcMar>
            <w:vAlign w:val="center"/>
          </w:tcPr>
          <w:p>
            <w:pPr>
              <w:spacing w:after="0"/>
            </w:pPr>
            <w:r>
              <w:rPr>
                <w:rFonts w:ascii="Calibri" w:hAnsi="Calibri"/>
                <w:b/>
                <w:color w:val="17233C"/>
                <w:sz w:val="17"/>
              </w:rPr>
              <w:t>Boundary</w:t>
            </w:r>
          </w:p>
        </w:tc>
        <w:tc>
          <w:tcPr>
            <w:tcW w:type="dxa" w:w="1100"/>
            <w:shd w:fill="E8EEF5"/>
            <w:tcMar>
              <w:top w:w="80" w:type="dxa"/>
              <w:bottom w:w="80" w:type="dxa"/>
              <w:start w:w="120" w:type="dxa"/>
              <w:end w:w="120" w:type="dxa"/>
            </w:tcMar>
            <w:vAlign w:val="center"/>
          </w:tcPr>
          <w:p>
            <w:pPr>
              <w:spacing w:after="0"/>
            </w:pPr>
            <w:r>
              <w:rPr>
                <w:rFonts w:ascii="Calibri" w:hAnsi="Calibri"/>
                <w:b/>
                <w:color w:val="17233C"/>
                <w:sz w:val="17"/>
              </w:rPr>
              <w:t>Public?</w:t>
            </w:r>
          </w:p>
        </w:tc>
        <w:tc>
          <w:tcPr>
            <w:tcW w:type="dxa" w:w="5860"/>
            <w:shd w:fill="E8EEF5"/>
            <w:tcMar>
              <w:top w:w="80" w:type="dxa"/>
              <w:bottom w:w="80" w:type="dxa"/>
              <w:start w:w="120" w:type="dxa"/>
              <w:end w:w="120" w:type="dxa"/>
            </w:tcMar>
            <w:vAlign w:val="center"/>
          </w:tcPr>
          <w:p>
            <w:pPr>
              <w:spacing w:after="0"/>
            </w:pPr>
            <w:r>
              <w:rPr>
                <w:rFonts w:ascii="Calibri" w:hAnsi="Calibri"/>
                <w:b/>
                <w:color w:val="17233C"/>
                <w:sz w:val="17"/>
              </w:rPr>
              <w:t>Key rule</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7"/>
              </w:rPr>
              <w:t>Browser/mobile → Web01</w:t>
            </w:r>
          </w:p>
        </w:tc>
        <w:tc>
          <w:tcPr>
            <w:tcW w:type="dxa" w:w="1100"/>
            <w:tcMar>
              <w:top w:w="80" w:type="dxa"/>
              <w:bottom w:w="80" w:type="dxa"/>
              <w:start w:w="120" w:type="dxa"/>
              <w:end w:w="120" w:type="dxa"/>
            </w:tcMar>
            <w:vAlign w:val="center"/>
          </w:tcPr>
          <w:p>
            <w:pPr>
              <w:spacing w:after="0" w:line="259" w:lineRule="auto"/>
            </w:pPr>
            <w:r>
              <w:rPr>
                <w:rFonts w:ascii="Calibri" w:hAnsi="Calibri"/>
                <w:color w:val="111827"/>
                <w:sz w:val="17"/>
              </w:rPr>
              <w:t>Yes</w:t>
            </w:r>
          </w:p>
        </w:tc>
        <w:tc>
          <w:tcPr>
            <w:tcW w:type="dxa" w:w="5860"/>
            <w:tcMar>
              <w:top w:w="80" w:type="dxa"/>
              <w:bottom w:w="80" w:type="dxa"/>
              <w:start w:w="120" w:type="dxa"/>
              <w:end w:w="120" w:type="dxa"/>
            </w:tcMar>
            <w:vAlign w:val="center"/>
          </w:tcPr>
          <w:p>
            <w:pPr>
              <w:spacing w:after="0" w:line="259" w:lineRule="auto"/>
            </w:pPr>
            <w:r>
              <w:rPr>
                <w:rFonts w:ascii="Calibri" w:hAnsi="Calibri"/>
                <w:color w:val="111827"/>
                <w:sz w:val="17"/>
              </w:rPr>
              <w:t>HTTPS, authentication, rate limiting, quotas, validation, and no client-selected entitlements.</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7"/>
              </w:rPr>
              <w:t>Web01 → API01</w:t>
            </w:r>
          </w:p>
        </w:tc>
        <w:tc>
          <w:tcPr>
            <w:tcW w:type="dxa" w:w="1100"/>
            <w:tcMar>
              <w:top w:w="80" w:type="dxa"/>
              <w:bottom w:w="80" w:type="dxa"/>
              <w:start w:w="120" w:type="dxa"/>
              <w:end w:w="120" w:type="dxa"/>
            </w:tcMar>
            <w:vAlign w:val="center"/>
          </w:tcPr>
          <w:p>
            <w:pPr>
              <w:spacing w:after="0" w:line="259" w:lineRule="auto"/>
            </w:pPr>
            <w:r>
              <w:rPr>
                <w:rFonts w:ascii="Calibri" w:hAnsi="Calibri"/>
                <w:color w:val="111827"/>
                <w:sz w:val="17"/>
              </w:rPr>
              <w:t>Private LAN</w:t>
            </w:r>
          </w:p>
        </w:tc>
        <w:tc>
          <w:tcPr>
            <w:tcW w:type="dxa" w:w="5860"/>
            <w:tcMar>
              <w:top w:w="80" w:type="dxa"/>
              <w:bottom w:w="80" w:type="dxa"/>
              <w:start w:w="120" w:type="dxa"/>
              <w:end w:w="120" w:type="dxa"/>
            </w:tcMar>
            <w:vAlign w:val="center"/>
          </w:tcPr>
          <w:p>
            <w:pPr>
              <w:spacing w:after="0" w:line="259" w:lineRule="auto"/>
            </w:pPr>
            <w:r>
              <w:rPr>
                <w:rFonts w:ascii="Calibri" w:hAnsi="Calibri"/>
                <w:color w:val="111827"/>
                <w:sz w:val="17"/>
              </w:rPr>
              <w:t>Shared internal service token; API01 is not placed in public DNS or Cloudflare.</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7"/>
              </w:rPr>
              <w:t>API01 → Ollama</w:t>
            </w:r>
          </w:p>
        </w:tc>
        <w:tc>
          <w:tcPr>
            <w:tcW w:type="dxa" w:w="1100"/>
            <w:tcMar>
              <w:top w:w="80" w:type="dxa"/>
              <w:bottom w:w="80" w:type="dxa"/>
              <w:start w:w="120" w:type="dxa"/>
              <w:end w:w="120" w:type="dxa"/>
            </w:tcMar>
            <w:vAlign w:val="center"/>
          </w:tcPr>
          <w:p>
            <w:pPr>
              <w:spacing w:after="0" w:line="259" w:lineRule="auto"/>
            </w:pPr>
            <w:r>
              <w:rPr>
                <w:rFonts w:ascii="Calibri" w:hAnsi="Calibri"/>
                <w:color w:val="111827"/>
                <w:sz w:val="17"/>
              </w:rPr>
              <w:t>Private LAN</w:t>
            </w:r>
          </w:p>
        </w:tc>
        <w:tc>
          <w:tcPr>
            <w:tcW w:type="dxa" w:w="5860"/>
            <w:tcMar>
              <w:top w:w="80" w:type="dxa"/>
              <w:bottom w:w="80" w:type="dxa"/>
              <w:start w:w="120" w:type="dxa"/>
              <w:end w:w="120" w:type="dxa"/>
            </w:tcMar>
            <w:vAlign w:val="center"/>
          </w:tcPr>
          <w:p>
            <w:pPr>
              <w:spacing w:after="0" w:line="259" w:lineRule="auto"/>
            </w:pPr>
            <w:r>
              <w:rPr>
                <w:rFonts w:ascii="Calibri" w:hAnsi="Calibri"/>
                <w:color w:val="111827"/>
                <w:sz w:val="17"/>
              </w:rPr>
              <w:t>Primary model stays on-premises and is warmed at startup.</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7"/>
              </w:rPr>
              <w:t>API01 → OpenAI</w:t>
            </w:r>
          </w:p>
        </w:tc>
        <w:tc>
          <w:tcPr>
            <w:tcW w:type="dxa" w:w="1100"/>
            <w:tcMar>
              <w:top w:w="80" w:type="dxa"/>
              <w:bottom w:w="80" w:type="dxa"/>
              <w:start w:w="120" w:type="dxa"/>
              <w:end w:w="120" w:type="dxa"/>
            </w:tcMar>
            <w:vAlign w:val="center"/>
          </w:tcPr>
          <w:p>
            <w:pPr>
              <w:spacing w:after="0" w:line="259" w:lineRule="auto"/>
            </w:pPr>
            <w:r>
              <w:rPr>
                <w:rFonts w:ascii="Calibri" w:hAnsi="Calibri"/>
                <w:color w:val="111827"/>
                <w:sz w:val="17"/>
              </w:rPr>
              <w:t>Outbound HTTPS</w:t>
            </w:r>
          </w:p>
        </w:tc>
        <w:tc>
          <w:tcPr>
            <w:tcW w:type="dxa" w:w="5860"/>
            <w:tcMar>
              <w:top w:w="80" w:type="dxa"/>
              <w:bottom w:w="80" w:type="dxa"/>
              <w:start w:w="120" w:type="dxa"/>
              <w:end w:w="120" w:type="dxa"/>
            </w:tcMar>
            <w:vAlign w:val="center"/>
          </w:tcPr>
          <w:p>
            <w:pPr>
              <w:spacing w:after="0" w:line="259" w:lineRule="auto"/>
            </w:pPr>
            <w:r>
              <w:rPr>
                <w:rFonts w:ascii="Calibri" w:hAnsi="Calibri"/>
                <w:color w:val="111827"/>
                <w:sz w:val="17"/>
              </w:rPr>
              <w:t>Only API01 holds OPENAI_API_KEY; fallback is conditional and logged.</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7"/>
              </w:rPr>
              <w:t>Web01 → PostgreSQL</w:t>
            </w:r>
          </w:p>
        </w:tc>
        <w:tc>
          <w:tcPr>
            <w:tcW w:type="dxa" w:w="1100"/>
            <w:tcMar>
              <w:top w:w="80" w:type="dxa"/>
              <w:bottom w:w="80" w:type="dxa"/>
              <w:start w:w="120" w:type="dxa"/>
              <w:end w:w="120" w:type="dxa"/>
            </w:tcMar>
            <w:vAlign w:val="center"/>
          </w:tcPr>
          <w:p>
            <w:pPr>
              <w:spacing w:after="0" w:line="259" w:lineRule="auto"/>
            </w:pPr>
            <w:r>
              <w:rPr>
                <w:rFonts w:ascii="Calibri" w:hAnsi="Calibri"/>
                <w:color w:val="111827"/>
                <w:sz w:val="17"/>
              </w:rPr>
              <w:t>Private LAN</w:t>
            </w:r>
          </w:p>
        </w:tc>
        <w:tc>
          <w:tcPr>
            <w:tcW w:type="dxa" w:w="5860"/>
            <w:tcMar>
              <w:top w:w="80" w:type="dxa"/>
              <w:bottom w:w="80" w:type="dxa"/>
              <w:start w:w="120" w:type="dxa"/>
              <w:end w:w="120" w:type="dxa"/>
            </w:tcMar>
            <w:vAlign w:val="center"/>
          </w:tcPr>
          <w:p>
            <w:pPr>
              <w:spacing w:after="0" w:line="259" w:lineRule="auto"/>
            </w:pPr>
            <w:r>
              <w:rPr>
                <w:rFonts w:ascii="Calibri" w:hAnsi="Calibri"/>
                <w:color w:val="111827"/>
                <w:sz w:val="17"/>
              </w:rPr>
              <w:t>Protected connection string; account, entitlement, session hash, usage, and diagnostic data.</w:t>
            </w:r>
          </w:p>
        </w:tc>
      </w:tr>
    </w:tbl>
    <w:p>
      <w:pPr>
        <w:spacing w:after="0"/>
      </w:pPr>
    </w:p>
    <w:p>
      <w:pPr>
        <w:pStyle w:val="Heading1"/>
      </w:pPr>
      <w:r>
        <w:t>3. Client and shared-UI design</w:t>
      </w:r>
    </w:p>
    <w:p>
      <w:pPr>
        <w:pStyle w:val="Heading2"/>
      </w:pPr>
      <w:r>
        <w:t>Blazor Web App</w:t>
      </w:r>
    </w:p>
    <w:p>
      <w:r>
        <w:rPr>
          <w:rFonts w:ascii="Calibri" w:hAnsi="Calibri"/>
          <w:color w:val="111827"/>
        </w:rPr>
        <w:t>ClearlySaid.Web uses ASP.NET Core interactive server components. It maps static assets, adds the Shared Razor assembly, persists ASP.NET Core Data Protection keys in a Docker volume, and exposes account, billing, admin, refinement, and health endpoints from the same public application.</w:t>
      </w:r>
    </w:p>
    <w:p>
      <w:pPr>
        <w:pStyle w:val="Heading2"/>
      </w:pPr>
      <w:r>
        <w:t>.NET MAUI Blazor Hybrid</w:t>
      </w:r>
    </w:p>
    <w:p>
      <w:r>
        <w:rPr>
          <w:rFonts w:ascii="Calibri" w:hAnsi="Calibri"/>
          <w:color w:val="111827"/>
        </w:rPr>
        <w:t>ClearlySaid.App is a .NET MAUI single-project application. MainPage hosts a BlazorWebView whose root component is the Shared Routes component. The app therefore packages the UI locally; it does not download the website's UI at runtime. Platform services are supplied through dependency injection.</w:t>
      </w: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cantSplit/>
        </w:trPr>
        <w:tc>
          <w:tcPr>
            <w:tcW w:type="dxa" w:w="1900"/>
            <w:shd w:fill="E8EEF5"/>
            <w:tcMar>
              <w:top w:w="80" w:type="dxa"/>
              <w:bottom w:w="80" w:type="dxa"/>
              <w:start w:w="120" w:type="dxa"/>
              <w:end w:w="120" w:type="dxa"/>
            </w:tcMar>
            <w:vAlign w:val="center"/>
          </w:tcPr>
          <w:p>
            <w:pPr>
              <w:spacing w:after="0"/>
            </w:pPr>
            <w:r>
              <w:rPr>
                <w:rFonts w:ascii="Calibri" w:hAnsi="Calibri"/>
                <w:b/>
                <w:color w:val="17233C"/>
                <w:sz w:val="17"/>
              </w:rPr>
              <w:t>Concern</w:t>
            </w:r>
          </w:p>
        </w:tc>
        <w:tc>
          <w:tcPr>
            <w:tcW w:type="dxa" w:w="3730"/>
            <w:shd w:fill="E8EEF5"/>
            <w:tcMar>
              <w:top w:w="80" w:type="dxa"/>
              <w:bottom w:w="80" w:type="dxa"/>
              <w:start w:w="120" w:type="dxa"/>
              <w:end w:w="120" w:type="dxa"/>
            </w:tcMar>
            <w:vAlign w:val="center"/>
          </w:tcPr>
          <w:p>
            <w:pPr>
              <w:spacing w:after="0"/>
            </w:pPr>
            <w:r>
              <w:rPr>
                <w:rFonts w:ascii="Calibri" w:hAnsi="Calibri"/>
                <w:b/>
                <w:color w:val="17233C"/>
                <w:sz w:val="17"/>
              </w:rPr>
              <w:t>Website implementation</w:t>
            </w:r>
          </w:p>
        </w:tc>
        <w:tc>
          <w:tcPr>
            <w:tcW w:type="dxa" w:w="3730"/>
            <w:shd w:fill="E8EEF5"/>
            <w:tcMar>
              <w:top w:w="80" w:type="dxa"/>
              <w:bottom w:w="80" w:type="dxa"/>
              <w:start w:w="120" w:type="dxa"/>
              <w:end w:w="120" w:type="dxa"/>
            </w:tcMar>
            <w:vAlign w:val="center"/>
          </w:tcPr>
          <w:p>
            <w:pPr>
              <w:spacing w:after="0"/>
            </w:pPr>
            <w:r>
              <w:rPr>
                <w:rFonts w:ascii="Calibri" w:hAnsi="Calibri"/>
                <w:b/>
                <w:color w:val="17233C"/>
                <w:sz w:val="17"/>
              </w:rPr>
              <w:t>MAUI implementation</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UI</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Shared Razor components rendered by Interactive Server</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Shared Razor components rendered inside native BlazorWebView</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Dictation</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BrowserDictationService / browser speech capability</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MauiDictationService using CommunityToolkit speech-to-text</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Access token</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BrowserAccessTokenStore</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MauiAccessTokenStore</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Account/refinement API</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ClearlySaidApiClient via public HttpClient</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Same client contract to https://clearlysaid.ai/</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Billing</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StripeWebBillingService</w:t>
            </w:r>
          </w:p>
        </w:tc>
        <w:tc>
          <w:tcPr>
            <w:tcW w:type="dxa" w:w="3730"/>
            <w:tcMar>
              <w:top w:w="80" w:type="dxa"/>
              <w:bottom w:w="80" w:type="dxa"/>
              <w:start w:w="120" w:type="dxa"/>
              <w:end w:w="120" w:type="dxa"/>
            </w:tcMar>
            <w:vAlign w:val="center"/>
          </w:tcPr>
          <w:p>
            <w:pPr>
              <w:spacing w:after="0" w:line="259" w:lineRule="auto"/>
            </w:pPr>
            <w:r>
              <w:rPr>
                <w:rFonts w:ascii="Calibri" w:hAnsi="Calibri"/>
                <w:color w:val="111827"/>
                <w:sz w:val="17"/>
              </w:rPr>
              <w:t>Android: GooglePlayBillingService; non-Android currently uses MauiWebsiteBillingService</w:t>
            </w:r>
          </w:p>
        </w:tc>
      </w:tr>
    </w:tbl>
    <w:p>
      <w:pPr>
        <w:spacing w:after="0"/>
      </w:pPr>
    </w:p>
    <w:p>
      <w:pPr>
        <w:pStyle w:val="Heading2"/>
      </w:pPr>
      <w:r>
        <w:t>Platform target specifications</w:t>
      </w:r>
    </w:p>
    <w:tbl>
      <w:tblPr>
        <w:tblStyle w:val="TableGrid"/>
        <w:tblW w:type="dxa" w:w="9360"/>
        <w:jc w:val="left"/>
        <w:tblLayout w:type="fixed"/>
        <w:tblLook w:firstColumn="1" w:firstRow="1" w:lastColumn="0" w:lastRow="0" w:noHBand="0" w:noVBand="1" w:val="04A0"/>
        <w:tblInd w:w="120" w:type="dxa"/>
      </w:tblPr>
      <w:tblGrid>
        <w:gridCol w:w="1600"/>
        <w:gridCol w:w="3150"/>
        <w:gridCol w:w="4610"/>
      </w:tblGrid>
      <w:tr>
        <w:trPr>
          <w:tblHeader/>
          <w:cantSplit/>
        </w:trPr>
        <w:tc>
          <w:tcPr>
            <w:tcW w:type="dxa" w:w="1600"/>
            <w:shd w:fill="E8EEF5"/>
            <w:tcMar>
              <w:top w:w="80" w:type="dxa"/>
              <w:bottom w:w="80" w:type="dxa"/>
              <w:start w:w="120" w:type="dxa"/>
              <w:end w:w="120" w:type="dxa"/>
            </w:tcMar>
            <w:vAlign w:val="center"/>
          </w:tcPr>
          <w:p>
            <w:pPr>
              <w:spacing w:after="0"/>
            </w:pPr>
            <w:r>
              <w:rPr>
                <w:rFonts w:ascii="Calibri" w:hAnsi="Calibri"/>
                <w:b/>
                <w:color w:val="17233C"/>
                <w:sz w:val="17"/>
              </w:rPr>
              <w:t>Target</w:t>
            </w:r>
          </w:p>
        </w:tc>
        <w:tc>
          <w:tcPr>
            <w:tcW w:type="dxa" w:w="3150"/>
            <w:shd w:fill="E8EEF5"/>
            <w:tcMar>
              <w:top w:w="80" w:type="dxa"/>
              <w:bottom w:w="80" w:type="dxa"/>
              <w:start w:w="120" w:type="dxa"/>
              <w:end w:w="120" w:type="dxa"/>
            </w:tcMar>
            <w:vAlign w:val="center"/>
          </w:tcPr>
          <w:p>
            <w:pPr>
              <w:spacing w:after="0"/>
            </w:pPr>
            <w:r>
              <w:rPr>
                <w:rFonts w:ascii="Calibri" w:hAnsi="Calibri"/>
                <w:b/>
                <w:color w:val="17233C"/>
                <w:sz w:val="17"/>
              </w:rPr>
              <w:t>Minimum / target</w:t>
            </w:r>
          </w:p>
        </w:tc>
        <w:tc>
          <w:tcPr>
            <w:tcW w:type="dxa" w:w="4610"/>
            <w:shd w:fill="E8EEF5"/>
            <w:tcMar>
              <w:top w:w="80" w:type="dxa"/>
              <w:bottom w:w="80" w:type="dxa"/>
              <w:start w:w="120" w:type="dxa"/>
              <w:end w:w="120" w:type="dxa"/>
            </w:tcMar>
            <w:vAlign w:val="center"/>
          </w:tcPr>
          <w:p>
            <w:pPr>
              <w:spacing w:after="0"/>
            </w:pPr>
            <w:r>
              <w:rPr>
                <w:rFonts w:ascii="Calibri" w:hAnsi="Calibri"/>
                <w:b/>
                <w:color w:val="17233C"/>
                <w:sz w:val="17"/>
              </w:rPr>
              <w:t>Current status</w:t>
            </w:r>
          </w:p>
        </w:tc>
      </w:tr>
      <w:tr>
        <w:trPr>
          <w:cantSplit/>
        </w:trPr>
        <w:tc>
          <w:tcPr>
            <w:tcW w:type="dxa" w:w="1600"/>
            <w:tcMar>
              <w:top w:w="80" w:type="dxa"/>
              <w:bottom w:w="80" w:type="dxa"/>
              <w:start w:w="120" w:type="dxa"/>
              <w:end w:w="120" w:type="dxa"/>
            </w:tcMar>
            <w:vAlign w:val="center"/>
          </w:tcPr>
          <w:p>
            <w:pPr>
              <w:spacing w:after="0" w:line="259" w:lineRule="auto"/>
            </w:pPr>
            <w:r>
              <w:rPr>
                <w:rFonts w:ascii="Calibri" w:hAnsi="Calibri"/>
                <w:color w:val="111827"/>
                <w:sz w:val="17"/>
              </w:rPr>
              <w:t>Android</w:t>
            </w:r>
          </w:p>
        </w:tc>
        <w:tc>
          <w:tcPr>
            <w:tcW w:type="dxa" w:w="3150"/>
            <w:tcMar>
              <w:top w:w="80" w:type="dxa"/>
              <w:bottom w:w="80" w:type="dxa"/>
              <w:start w:w="120" w:type="dxa"/>
              <w:end w:w="120" w:type="dxa"/>
            </w:tcMar>
            <w:vAlign w:val="center"/>
          </w:tcPr>
          <w:p>
            <w:pPr>
              <w:spacing w:after="0" w:line="259" w:lineRule="auto"/>
            </w:pPr>
            <w:r>
              <w:rPr>
                <w:rFonts w:ascii="Calibri" w:hAnsi="Calibri"/>
                <w:color w:val="111827"/>
                <w:sz w:val="17"/>
              </w:rPr>
              <w:t>Minimum API 24; target SDK 36; application ID com.clearlysaid.app</w:t>
            </w:r>
          </w:p>
        </w:tc>
        <w:tc>
          <w:tcPr>
            <w:tcW w:type="dxa" w:w="4610"/>
            <w:tcMar>
              <w:top w:w="80" w:type="dxa"/>
              <w:bottom w:w="80" w:type="dxa"/>
              <w:start w:w="120" w:type="dxa"/>
              <w:end w:w="120" w:type="dxa"/>
            </w:tcMar>
            <w:vAlign w:val="center"/>
          </w:tcPr>
          <w:p>
            <w:pPr>
              <w:spacing w:after="0" w:line="259" w:lineRule="auto"/>
            </w:pPr>
            <w:r>
              <w:rPr>
                <w:rFonts w:ascii="Calibri" w:hAnsi="Calibri"/>
                <w:color w:val="111827"/>
                <w:sz w:val="17"/>
              </w:rPr>
              <w:t>Implemented, buildable, signed APK/AAB workflows, Google Play Billing integration.</w:t>
            </w:r>
          </w:p>
        </w:tc>
      </w:tr>
      <w:tr>
        <w:trPr>
          <w:cantSplit/>
        </w:trPr>
        <w:tc>
          <w:tcPr>
            <w:tcW w:type="dxa" w:w="1600"/>
            <w:tcMar>
              <w:top w:w="80" w:type="dxa"/>
              <w:bottom w:w="80" w:type="dxa"/>
              <w:start w:w="120" w:type="dxa"/>
              <w:end w:w="120" w:type="dxa"/>
            </w:tcMar>
            <w:vAlign w:val="center"/>
          </w:tcPr>
          <w:p>
            <w:pPr>
              <w:spacing w:after="0" w:line="259" w:lineRule="auto"/>
            </w:pPr>
            <w:r>
              <w:rPr>
                <w:rFonts w:ascii="Calibri" w:hAnsi="Calibri"/>
                <w:color w:val="111827"/>
                <w:sz w:val="17"/>
              </w:rPr>
              <w:t>iPhone / iOS</w:t>
            </w:r>
          </w:p>
        </w:tc>
        <w:tc>
          <w:tcPr>
            <w:tcW w:type="dxa" w:w="3150"/>
            <w:tcMar>
              <w:top w:w="80" w:type="dxa"/>
              <w:bottom w:w="80" w:type="dxa"/>
              <w:start w:w="120" w:type="dxa"/>
              <w:end w:w="120" w:type="dxa"/>
            </w:tcMar>
            <w:vAlign w:val="center"/>
          </w:tcPr>
          <w:p>
            <w:pPr>
              <w:spacing w:after="0" w:line="259" w:lineRule="auto"/>
            </w:pPr>
            <w:r>
              <w:rPr>
                <w:rFonts w:ascii="Calibri" w:hAnsi="Calibri"/>
                <w:color w:val="111827"/>
                <w:sz w:val="17"/>
              </w:rPr>
              <w:t>Minimum iOS 15.0; net10.0-ios</w:t>
            </w:r>
          </w:p>
        </w:tc>
        <w:tc>
          <w:tcPr>
            <w:tcW w:type="dxa" w:w="4610"/>
            <w:tcMar>
              <w:top w:w="80" w:type="dxa"/>
              <w:bottom w:w="80" w:type="dxa"/>
              <w:start w:w="120" w:type="dxa"/>
              <w:end w:w="120" w:type="dxa"/>
            </w:tcMar>
            <w:vAlign w:val="center"/>
          </w:tcPr>
          <w:p>
            <w:pPr>
              <w:spacing w:after="0" w:line="259" w:lineRule="auto"/>
            </w:pPr>
            <w:r>
              <w:rPr>
                <w:rFonts w:ascii="Calibri" w:hAnsi="Calibri"/>
                <w:color w:val="111827"/>
                <w:sz w:val="17"/>
              </w:rPr>
              <w:t>Declared and structurally supported by MAUI shared UI. Requires Mac/Xcode, Apple signing/provisioning, App Store Connect setup, and Apple in-app purchase implementation/validation before commercial release.</w:t>
            </w:r>
          </w:p>
        </w:tc>
      </w:tr>
      <w:tr>
        <w:trPr>
          <w:cantSplit/>
        </w:trPr>
        <w:tc>
          <w:tcPr>
            <w:tcW w:type="dxa" w:w="1600"/>
            <w:tcMar>
              <w:top w:w="80" w:type="dxa"/>
              <w:bottom w:w="80" w:type="dxa"/>
              <w:start w:w="120" w:type="dxa"/>
              <w:end w:w="120" w:type="dxa"/>
            </w:tcMar>
            <w:vAlign w:val="center"/>
          </w:tcPr>
          <w:p>
            <w:pPr>
              <w:spacing w:after="0" w:line="259" w:lineRule="auto"/>
            </w:pPr>
            <w:r>
              <w:rPr>
                <w:rFonts w:ascii="Calibri" w:hAnsi="Calibri"/>
                <w:color w:val="111827"/>
                <w:sz w:val="17"/>
              </w:rPr>
              <w:t>Windows</w:t>
            </w:r>
          </w:p>
        </w:tc>
        <w:tc>
          <w:tcPr>
            <w:tcW w:type="dxa" w:w="3150"/>
            <w:tcMar>
              <w:top w:w="80" w:type="dxa"/>
              <w:bottom w:w="80" w:type="dxa"/>
              <w:start w:w="120" w:type="dxa"/>
              <w:end w:w="120" w:type="dxa"/>
            </w:tcMar>
            <w:vAlign w:val="center"/>
          </w:tcPr>
          <w:p>
            <w:pPr>
              <w:spacing w:after="0" w:line="259" w:lineRule="auto"/>
            </w:pPr>
            <w:r>
              <w:rPr>
                <w:rFonts w:ascii="Calibri" w:hAnsi="Calibri"/>
                <w:color w:val="111827"/>
                <w:sz w:val="17"/>
              </w:rPr>
              <w:t>net10.0-windows10.0.19041.0 on Windows; minimum 10.0.17763.0; unpackaged</w:t>
            </w:r>
          </w:p>
        </w:tc>
        <w:tc>
          <w:tcPr>
            <w:tcW w:type="dxa" w:w="4610"/>
            <w:tcMar>
              <w:top w:w="80" w:type="dxa"/>
              <w:bottom w:w="80" w:type="dxa"/>
              <w:start w:w="120" w:type="dxa"/>
              <w:end w:w="120" w:type="dxa"/>
            </w:tcMar>
            <w:vAlign w:val="center"/>
          </w:tcPr>
          <w:p>
            <w:pPr>
              <w:spacing w:after="0" w:line="259" w:lineRule="auto"/>
            </w:pPr>
            <w:r>
              <w:rPr>
                <w:rFonts w:ascii="Calibri" w:hAnsi="Calibri"/>
                <w:color w:val="111827"/>
                <w:sz w:val="17"/>
              </w:rPr>
              <w:t>Development/desktop target present; no Microsoft Store package configured.</w:t>
            </w:r>
          </w:p>
        </w:tc>
      </w:tr>
      <w:tr>
        <w:trPr>
          <w:cantSplit/>
        </w:trPr>
        <w:tc>
          <w:tcPr>
            <w:tcW w:type="dxa" w:w="1600"/>
            <w:tcMar>
              <w:top w:w="80" w:type="dxa"/>
              <w:bottom w:w="80" w:type="dxa"/>
              <w:start w:w="120" w:type="dxa"/>
              <w:end w:w="120" w:type="dxa"/>
            </w:tcMar>
            <w:vAlign w:val="center"/>
          </w:tcPr>
          <w:p>
            <w:pPr>
              <w:spacing w:after="0" w:line="259" w:lineRule="auto"/>
            </w:pPr>
            <w:r>
              <w:rPr>
                <w:rFonts w:ascii="Calibri" w:hAnsi="Calibri"/>
                <w:color w:val="111827"/>
                <w:sz w:val="17"/>
              </w:rPr>
              <w:t>Web</w:t>
            </w:r>
          </w:p>
        </w:tc>
        <w:tc>
          <w:tcPr>
            <w:tcW w:type="dxa" w:w="3150"/>
            <w:tcMar>
              <w:top w:w="80" w:type="dxa"/>
              <w:bottom w:w="80" w:type="dxa"/>
              <w:start w:w="120" w:type="dxa"/>
              <w:end w:w="120" w:type="dxa"/>
            </w:tcMar>
            <w:vAlign w:val="center"/>
          </w:tcPr>
          <w:p>
            <w:pPr>
              <w:spacing w:after="0" w:line="259" w:lineRule="auto"/>
            </w:pPr>
            <w:r>
              <w:rPr>
                <w:rFonts w:ascii="Calibri" w:hAnsi="Calibri"/>
                <w:color w:val="111827"/>
                <w:sz w:val="17"/>
              </w:rPr>
              <w:t>net10.0 ASP.NET Core interactive server</w:t>
            </w:r>
          </w:p>
        </w:tc>
        <w:tc>
          <w:tcPr>
            <w:tcW w:type="dxa" w:w="4610"/>
            <w:tcMar>
              <w:top w:w="80" w:type="dxa"/>
              <w:bottom w:w="80" w:type="dxa"/>
              <w:start w:w="120" w:type="dxa"/>
              <w:end w:w="120" w:type="dxa"/>
            </w:tcMar>
            <w:vAlign w:val="center"/>
          </w:tcPr>
          <w:p>
            <w:pPr>
              <w:spacing w:after="0" w:line="259" w:lineRule="auto"/>
            </w:pPr>
            <w:r>
              <w:rPr>
                <w:rFonts w:ascii="Calibri" w:hAnsi="Calibri"/>
                <w:color w:val="111827"/>
                <w:sz w:val="17"/>
              </w:rPr>
              <w:t>Production host at clearlysaid.ai through Web01.</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FF5D9"/>
          </w:tcPr>
          <w:p>
            <w:pPr>
              <w:spacing w:after="0"/>
            </w:pPr>
            <w:r>
              <w:rPr>
                <w:rFonts w:ascii="Calibri" w:hAnsi="Calibri"/>
                <w:b/>
                <w:color w:val="1F4D78"/>
              </w:rPr>
              <w:t xml:space="preserve">iOS readiness note  </w:t>
            </w:r>
            <w:r>
              <w:rPr>
                <w:rFonts w:ascii="Calibri" w:hAnsi="Calibri"/>
                <w:color w:val="111827"/>
              </w:rPr>
              <w:t>The target framework is present, but an iPhone release is not only a cross-compile. Apple signing, profiles, privacy declarations, StoreKit purchase handling, server verification, restoration, App Store screenshots/metadata, and TestFlight testing must be completed.</w:t>
            </w:r>
          </w:p>
        </w:tc>
      </w:tr>
    </w:tbl>
    <w:p>
      <w:pPr>
        <w:spacing w:after="0"/>
      </w:pPr>
    </w:p>
    <w:p>
      <w:pPr>
        <w:pStyle w:val="Heading1"/>
      </w:pPr>
      <w:r>
        <w:t>4. Data, security, and reliability specifications</w:t>
      </w:r>
    </w:p>
    <w:p>
      <w:pPr>
        <w:pStyle w:val="Heading2"/>
      </w:pPr>
      <w:r>
        <w:t>Persistence</w:t>
      </w:r>
    </w:p>
    <w:p>
      <w:r>
        <w:rPr>
          <w:rFonts w:ascii="Calibri" w:hAnsi="Calibri"/>
          <w:color w:val="111827"/>
        </w:rPr>
        <w:t>Web01 uses PostgreSQL for user identities, ASP.NET Identity password hashes, hashed access tokens, email/account tokens, entitlements, provider subscriptions, request IDs, usage reservations/completions, diagnostics, and billing events. Message input and rewritten output are intentionally not stored in the account database.</w:t>
      </w:r>
    </w:p>
    <w:p>
      <w:pPr>
        <w:pStyle w:val="Heading2"/>
      </w:pPr>
      <w:r>
        <w:t>Controls enforced by Web01</w:t>
      </w:r>
    </w:p>
    <w:p>
      <w:pPr>
        <w:pStyle w:val="ListBullet"/>
        <w:spacing w:after="80" w:line="300" w:lineRule="auto"/>
        <w:ind w:left="540" w:hanging="271"/>
      </w:pPr>
      <w:r>
        <w:rPr>
          <w:rFonts w:ascii="Calibri" w:hAnsi="Calibri"/>
          <w:color w:val="111827"/>
        </w:rPr>
        <w:t>Verified email required for login; password policy and one-way hashing.</w:t>
      </w:r>
    </w:p>
    <w:p>
      <w:pPr>
        <w:pStyle w:val="ListBullet"/>
        <w:spacing w:after="80" w:line="300" w:lineRule="auto"/>
        <w:ind w:left="540" w:hanging="271"/>
      </w:pPr>
      <w:r>
        <w:rPr>
          <w:rFonts w:ascii="Calibri" w:hAnsi="Calibri"/>
          <w:color w:val="111827"/>
        </w:rPr>
        <w:t>Revocable 30-day access tokens stored only as hashes.</w:t>
      </w:r>
    </w:p>
    <w:p>
      <w:pPr>
        <w:pStyle w:val="ListBullet"/>
        <w:spacing w:after="80" w:line="300" w:lineRule="auto"/>
        <w:ind w:left="540" w:hanging="271"/>
      </w:pPr>
      <w:r>
        <w:rPr>
          <w:rFonts w:ascii="Calibri" w:hAnsi="Calibri"/>
          <w:color w:val="111827"/>
        </w:rPr>
        <w:t>Fixed-window login/account throttles and per-IP refinement limits.</w:t>
      </w:r>
    </w:p>
    <w:p>
      <w:pPr>
        <w:pStyle w:val="ListBullet"/>
        <w:spacing w:after="80" w:line="300" w:lineRule="auto"/>
        <w:ind w:left="540" w:hanging="271"/>
      </w:pPr>
      <w:r>
        <w:rPr>
          <w:rFonts w:ascii="Calibri" w:hAnsi="Calibri"/>
          <w:color w:val="111827"/>
        </w:rPr>
        <w:t>One active refinement per account, 5,000-character maximum, and unique request IDs.</w:t>
      </w:r>
    </w:p>
    <w:p>
      <w:pPr>
        <w:pStyle w:val="ListBullet"/>
        <w:spacing w:after="80" w:line="300" w:lineRule="auto"/>
        <w:ind w:left="540" w:hanging="271"/>
      </w:pPr>
      <w:r>
        <w:rPr>
          <w:rFonts w:ascii="Calibri" w:hAnsi="Calibri"/>
          <w:color w:val="111827"/>
        </w:rPr>
        <w:t>Server-owned plan definitions, monthly quotas, paid-feature authorization, and provider-verified entitlements.</w:t>
      </w:r>
    </w:p>
    <w:p>
      <w:pPr>
        <w:pStyle w:val="ListBullet"/>
        <w:spacing w:after="80" w:line="300" w:lineRule="auto"/>
        <w:ind w:left="540" w:hanging="271"/>
      </w:pPr>
      <w:r>
        <w:rPr>
          <w:rFonts w:ascii="Calibri" w:hAnsi="Calibri"/>
          <w:color w:val="111827"/>
        </w:rPr>
        <w:t>Admin role checks on every administration request and protection against removing the final active administrator.</w:t>
      </w:r>
    </w:p>
    <w:p>
      <w:pPr>
        <w:pStyle w:val="Heading2"/>
      </w:pPr>
      <w:r>
        <w:t>Provider routing</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cantSplit/>
        </w:trPr>
        <w:tc>
          <w:tcPr>
            <w:tcW w:type="dxa" w:w="2850"/>
            <w:shd w:fill="E8EEF5"/>
            <w:tcMar>
              <w:top w:w="80" w:type="dxa"/>
              <w:bottom w:w="80" w:type="dxa"/>
              <w:start w:w="120" w:type="dxa"/>
              <w:end w:w="120" w:type="dxa"/>
            </w:tcMar>
            <w:vAlign w:val="center"/>
          </w:tcPr>
          <w:p>
            <w:pPr>
              <w:spacing w:after="0"/>
            </w:pPr>
            <w:r>
              <w:rPr>
                <w:rFonts w:ascii="Calibri" w:hAnsi="Calibri"/>
                <w:b/>
                <w:color w:val="17233C"/>
                <w:sz w:val="18"/>
              </w:rPr>
              <w:t>Condition</w:t>
            </w:r>
          </w:p>
        </w:tc>
        <w:tc>
          <w:tcPr>
            <w:tcW w:type="dxa" w:w="6510"/>
            <w:shd w:fill="E8EEF5"/>
            <w:tcMar>
              <w:top w:w="80" w:type="dxa"/>
              <w:bottom w:w="80" w:type="dxa"/>
              <w:start w:w="120" w:type="dxa"/>
              <w:end w:w="120" w:type="dxa"/>
            </w:tcMar>
            <w:vAlign w:val="center"/>
          </w:tcPr>
          <w:p>
            <w:pPr>
              <w:spacing w:after="0"/>
            </w:pPr>
            <w:r>
              <w:rPr>
                <w:rFonts w:ascii="Calibri" w:hAnsi="Calibri"/>
                <w:b/>
                <w:color w:val="17233C"/>
                <w:sz w:val="18"/>
              </w:rPr>
              <w:t>Behavior</w:t>
            </w:r>
          </w:p>
        </w:tc>
      </w:tr>
      <w:tr>
        <w:trPr>
          <w:cantSplit/>
        </w:trPr>
        <w:tc>
          <w:tcPr>
            <w:tcW w:type="dxa" w:w="2850"/>
            <w:tcMar>
              <w:top w:w="80" w:type="dxa"/>
              <w:bottom w:w="80" w:type="dxa"/>
              <w:start w:w="120" w:type="dxa"/>
              <w:end w:w="120" w:type="dxa"/>
            </w:tcMar>
            <w:vAlign w:val="center"/>
          </w:tcPr>
          <w:p>
            <w:pPr>
              <w:spacing w:after="0" w:line="259" w:lineRule="auto"/>
            </w:pPr>
            <w:r>
              <w:rPr>
                <w:rFonts w:ascii="Calibri" w:hAnsi="Calibri"/>
                <w:color w:val="111827"/>
                <w:sz w:val="18"/>
              </w:rPr>
              <w:t>Ollama succeeds</w:t>
            </w:r>
          </w:p>
        </w:tc>
        <w:tc>
          <w:tcPr>
            <w:tcW w:type="dxa" w:w="6510"/>
            <w:tcMar>
              <w:top w:w="80" w:type="dxa"/>
              <w:bottom w:w="80" w:type="dxa"/>
              <w:start w:w="120" w:type="dxa"/>
              <w:end w:w="120" w:type="dxa"/>
            </w:tcMar>
            <w:vAlign w:val="center"/>
          </w:tcPr>
          <w:p>
            <w:pPr>
              <w:spacing w:after="0" w:line="259" w:lineRule="auto"/>
            </w:pPr>
            <w:r>
              <w:rPr>
                <w:rFonts w:ascii="Calibri" w:hAnsi="Calibri"/>
                <w:color w:val="111827"/>
                <w:sz w:val="18"/>
              </w:rPr>
              <w:t>Return the on-premises result and record provider/model/latency.</w:t>
            </w:r>
          </w:p>
        </w:tc>
      </w:tr>
      <w:tr>
        <w:trPr>
          <w:cantSplit/>
        </w:trPr>
        <w:tc>
          <w:tcPr>
            <w:tcW w:type="dxa" w:w="2850"/>
            <w:tcMar>
              <w:top w:w="80" w:type="dxa"/>
              <w:bottom w:w="80" w:type="dxa"/>
              <w:start w:w="120" w:type="dxa"/>
              <w:end w:w="120" w:type="dxa"/>
            </w:tcMar>
            <w:vAlign w:val="center"/>
          </w:tcPr>
          <w:p>
            <w:pPr>
              <w:spacing w:after="0" w:line="259" w:lineRule="auto"/>
            </w:pPr>
            <w:r>
              <w:rPr>
                <w:rFonts w:ascii="Calibri" w:hAnsi="Calibri"/>
                <w:color w:val="111827"/>
                <w:sz w:val="18"/>
              </w:rPr>
              <w:t>Definite Ollama failure</w:t>
            </w:r>
          </w:p>
        </w:tc>
        <w:tc>
          <w:tcPr>
            <w:tcW w:type="dxa" w:w="6510"/>
            <w:tcMar>
              <w:top w:w="80" w:type="dxa"/>
              <w:bottom w:w="80" w:type="dxa"/>
              <w:start w:w="120" w:type="dxa"/>
              <w:end w:w="120" w:type="dxa"/>
            </w:tcMar>
            <w:vAlign w:val="center"/>
          </w:tcPr>
          <w:p>
            <w:pPr>
              <w:spacing w:after="0" w:line="259" w:lineRule="auto"/>
            </w:pPr>
            <w:r>
              <w:rPr>
                <w:rFonts w:ascii="Calibri" w:hAnsi="Calibri"/>
                <w:color w:val="111827"/>
                <w:sz w:val="18"/>
              </w:rPr>
              <w:t>Use OpenAI fallback when enabled and properly configured.</w:t>
            </w:r>
          </w:p>
        </w:tc>
      </w:tr>
      <w:tr>
        <w:trPr>
          <w:cantSplit/>
        </w:trPr>
        <w:tc>
          <w:tcPr>
            <w:tcW w:type="dxa" w:w="2850"/>
            <w:tcMar>
              <w:top w:w="80" w:type="dxa"/>
              <w:bottom w:w="80" w:type="dxa"/>
              <w:start w:w="120" w:type="dxa"/>
              <w:end w:w="120" w:type="dxa"/>
            </w:tcMar>
            <w:vAlign w:val="center"/>
          </w:tcPr>
          <w:p>
            <w:pPr>
              <w:spacing w:after="0" w:line="259" w:lineRule="auto"/>
            </w:pPr>
            <w:r>
              <w:rPr>
                <w:rFonts w:ascii="Calibri" w:hAnsi="Calibri"/>
                <w:color w:val="111827"/>
                <w:sz w:val="18"/>
              </w:rPr>
              <w:t>Ambiguous timeout or interrupted in-flight response</w:t>
            </w:r>
          </w:p>
        </w:tc>
        <w:tc>
          <w:tcPr>
            <w:tcW w:type="dxa" w:w="6510"/>
            <w:tcMar>
              <w:top w:w="80" w:type="dxa"/>
              <w:bottom w:w="80" w:type="dxa"/>
              <w:start w:w="120" w:type="dxa"/>
              <w:end w:w="120" w:type="dxa"/>
            </w:tcMar>
            <w:vAlign w:val="center"/>
          </w:tcPr>
          <w:p>
            <w:pPr>
              <w:spacing w:after="0" w:line="259" w:lineRule="auto"/>
            </w:pPr>
            <w:r>
              <w:rPr>
                <w:rFonts w:ascii="Calibri" w:hAnsi="Calibri"/>
                <w:color w:val="111827"/>
                <w:sz w:val="18"/>
              </w:rPr>
              <w:t>Do not automatically retry with OpenAI, avoiding possible duplicate processing and uncertain cost/state.</w:t>
            </w:r>
          </w:p>
        </w:tc>
      </w:tr>
      <w:tr>
        <w:trPr>
          <w:cantSplit/>
        </w:trPr>
        <w:tc>
          <w:tcPr>
            <w:tcW w:type="dxa" w:w="2850"/>
            <w:tcMar>
              <w:top w:w="80" w:type="dxa"/>
              <w:bottom w:w="80" w:type="dxa"/>
              <w:start w:w="120" w:type="dxa"/>
              <w:end w:w="120" w:type="dxa"/>
            </w:tcMar>
            <w:vAlign w:val="center"/>
          </w:tcPr>
          <w:p>
            <w:pPr>
              <w:spacing w:after="0" w:line="259" w:lineRule="auto"/>
            </w:pPr>
            <w:r>
              <w:rPr>
                <w:rFonts w:ascii="Calibri" w:hAnsi="Calibri"/>
                <w:color w:val="111827"/>
                <w:sz w:val="18"/>
              </w:rPr>
              <w:t>Missing service token or invalid input</w:t>
            </w:r>
          </w:p>
        </w:tc>
        <w:tc>
          <w:tcPr>
            <w:tcW w:type="dxa" w:w="6510"/>
            <w:tcMar>
              <w:top w:w="80" w:type="dxa"/>
              <w:bottom w:w="80" w:type="dxa"/>
              <w:start w:w="120" w:type="dxa"/>
              <w:end w:w="120" w:type="dxa"/>
            </w:tcMar>
            <w:vAlign w:val="center"/>
          </w:tcPr>
          <w:p>
            <w:pPr>
              <w:spacing w:after="0" w:line="259" w:lineRule="auto"/>
            </w:pPr>
            <w:r>
              <w:rPr>
                <w:rFonts w:ascii="Calibri" w:hAnsi="Calibri"/>
                <w:color w:val="111827"/>
                <w:sz w:val="18"/>
              </w:rPr>
              <w:t>Reject at API01 without calling a provider.</w:t>
            </w:r>
          </w:p>
        </w:tc>
      </w:tr>
    </w:tbl>
    <w:p>
      <w:pPr>
        <w:spacing w:after="0"/>
      </w:pPr>
    </w:p>
    <w:p>
      <w:pPr>
        <w:pStyle w:val="Heading2"/>
      </w:pPr>
      <w:r>
        <w:t>Secret placement</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cantSplit/>
        </w:trPr>
        <w:tc>
          <w:tcPr>
            <w:tcW w:type="dxa" w:w="3300"/>
            <w:shd w:fill="E8EEF5"/>
            <w:tcMar>
              <w:top w:w="80" w:type="dxa"/>
              <w:bottom w:w="80" w:type="dxa"/>
              <w:start w:w="120" w:type="dxa"/>
              <w:end w:w="120" w:type="dxa"/>
            </w:tcMar>
            <w:vAlign w:val="center"/>
          </w:tcPr>
          <w:p>
            <w:pPr>
              <w:spacing w:after="0"/>
            </w:pPr>
            <w:r>
              <w:rPr>
                <w:rFonts w:ascii="Calibri" w:hAnsi="Calibri"/>
                <w:b/>
                <w:color w:val="17233C"/>
                <w:sz w:val="18"/>
              </w:rPr>
              <w:t>Secret / protected asset</w:t>
            </w:r>
          </w:p>
        </w:tc>
        <w:tc>
          <w:tcPr>
            <w:tcW w:type="dxa" w:w="6060"/>
            <w:shd w:fill="E8EEF5"/>
            <w:tcMar>
              <w:top w:w="80" w:type="dxa"/>
              <w:bottom w:w="80" w:type="dxa"/>
              <w:start w:w="120" w:type="dxa"/>
              <w:end w:w="120" w:type="dxa"/>
            </w:tcMar>
            <w:vAlign w:val="center"/>
          </w:tcPr>
          <w:p>
            <w:pPr>
              <w:spacing w:after="0"/>
            </w:pPr>
            <w:r>
              <w:rPr>
                <w:rFonts w:ascii="Calibri" w:hAnsi="Calibri"/>
                <w:b/>
                <w:color w:val="17233C"/>
                <w:sz w:val="18"/>
              </w:rPr>
              <w:t>Location rule</w:t>
            </w:r>
          </w:p>
        </w:tc>
      </w:tr>
      <w:tr>
        <w:trPr>
          <w:cantSplit/>
        </w:trPr>
        <w:tc>
          <w:tcPr>
            <w:tcW w:type="dxa" w:w="3300"/>
            <w:tcMar>
              <w:top w:w="80" w:type="dxa"/>
              <w:bottom w:w="80" w:type="dxa"/>
              <w:start w:w="120" w:type="dxa"/>
              <w:end w:w="120" w:type="dxa"/>
            </w:tcMar>
            <w:vAlign w:val="center"/>
          </w:tcPr>
          <w:p>
            <w:pPr>
              <w:spacing w:after="0" w:line="259" w:lineRule="auto"/>
            </w:pPr>
            <w:r>
              <w:rPr>
                <w:rFonts w:ascii="Calibri" w:hAnsi="Calibri"/>
                <w:color w:val="111827"/>
                <w:sz w:val="18"/>
              </w:rPr>
              <w:t>OPENAI_API_KEY</w:t>
            </w:r>
          </w:p>
        </w:tc>
        <w:tc>
          <w:tcPr>
            <w:tcW w:type="dxa" w:w="6060"/>
            <w:tcMar>
              <w:top w:w="80" w:type="dxa"/>
              <w:bottom w:w="80" w:type="dxa"/>
              <w:start w:w="120" w:type="dxa"/>
              <w:end w:w="120" w:type="dxa"/>
            </w:tcMar>
            <w:vAlign w:val="center"/>
          </w:tcPr>
          <w:p>
            <w:pPr>
              <w:spacing w:after="0" w:line="259" w:lineRule="auto"/>
            </w:pPr>
            <w:r>
              <w:rPr>
                <w:rFonts w:ascii="Calibri" w:hAnsi="Calibri"/>
                <w:color w:val="111827"/>
                <w:sz w:val="18"/>
              </w:rPr>
              <w:t>API01 environment file only.</w:t>
            </w:r>
          </w:p>
        </w:tc>
      </w:tr>
      <w:tr>
        <w:trPr>
          <w:cantSplit/>
        </w:trPr>
        <w:tc>
          <w:tcPr>
            <w:tcW w:type="dxa" w:w="3300"/>
            <w:tcMar>
              <w:top w:w="80" w:type="dxa"/>
              <w:bottom w:w="80" w:type="dxa"/>
              <w:start w:w="120" w:type="dxa"/>
              <w:end w:w="120" w:type="dxa"/>
            </w:tcMar>
            <w:vAlign w:val="center"/>
          </w:tcPr>
          <w:p>
            <w:pPr>
              <w:spacing w:after="0" w:line="259" w:lineRule="auto"/>
            </w:pPr>
            <w:r>
              <w:rPr>
                <w:rFonts w:ascii="Calibri" w:hAnsi="Calibri"/>
                <w:color w:val="111827"/>
                <w:sz w:val="18"/>
              </w:rPr>
              <w:t>CLEARLYSAID_INTERNAL_API_TOKEN</w:t>
            </w:r>
          </w:p>
        </w:tc>
        <w:tc>
          <w:tcPr>
            <w:tcW w:type="dxa" w:w="6060"/>
            <w:tcMar>
              <w:top w:w="80" w:type="dxa"/>
              <w:bottom w:w="80" w:type="dxa"/>
              <w:start w:w="120" w:type="dxa"/>
              <w:end w:w="120" w:type="dxa"/>
            </w:tcMar>
            <w:vAlign w:val="center"/>
          </w:tcPr>
          <w:p>
            <w:pPr>
              <w:spacing w:after="0" w:line="259" w:lineRule="auto"/>
            </w:pPr>
            <w:r>
              <w:rPr>
                <w:rFonts w:ascii="Calibri" w:hAnsi="Calibri"/>
                <w:color w:val="111827"/>
                <w:sz w:val="18"/>
              </w:rPr>
              <w:t>Same protected value on Web01 and API01; never in client code.</w:t>
            </w:r>
          </w:p>
        </w:tc>
      </w:tr>
      <w:tr>
        <w:trPr>
          <w:cantSplit/>
        </w:trPr>
        <w:tc>
          <w:tcPr>
            <w:tcW w:type="dxa" w:w="3300"/>
            <w:tcMar>
              <w:top w:w="80" w:type="dxa"/>
              <w:bottom w:w="80" w:type="dxa"/>
              <w:start w:w="120" w:type="dxa"/>
              <w:end w:w="120" w:type="dxa"/>
            </w:tcMar>
            <w:vAlign w:val="center"/>
          </w:tcPr>
          <w:p>
            <w:pPr>
              <w:spacing w:after="0" w:line="259" w:lineRule="auto"/>
            </w:pPr>
            <w:r>
              <w:rPr>
                <w:rFonts w:ascii="Calibri" w:hAnsi="Calibri"/>
                <w:color w:val="111827"/>
                <w:sz w:val="18"/>
              </w:rPr>
              <w:t>PostgreSQL connection string; Stripe secrets; email provider key</w:t>
            </w:r>
          </w:p>
        </w:tc>
        <w:tc>
          <w:tcPr>
            <w:tcW w:type="dxa" w:w="6060"/>
            <w:tcMar>
              <w:top w:w="80" w:type="dxa"/>
              <w:bottom w:w="80" w:type="dxa"/>
              <w:start w:w="120" w:type="dxa"/>
              <w:end w:w="120" w:type="dxa"/>
            </w:tcMar>
            <w:vAlign w:val="center"/>
          </w:tcPr>
          <w:p>
            <w:pPr>
              <w:spacing w:after="0" w:line="259" w:lineRule="auto"/>
            </w:pPr>
            <w:r>
              <w:rPr>
                <w:rFonts w:ascii="Calibri" w:hAnsi="Calibri"/>
                <w:color w:val="111827"/>
                <w:sz w:val="18"/>
              </w:rPr>
              <w:t>Protected Web01 environment files only.</w:t>
            </w:r>
          </w:p>
        </w:tc>
      </w:tr>
      <w:tr>
        <w:trPr>
          <w:cantSplit/>
        </w:trPr>
        <w:tc>
          <w:tcPr>
            <w:tcW w:type="dxa" w:w="3300"/>
            <w:tcMar>
              <w:top w:w="80" w:type="dxa"/>
              <w:bottom w:w="80" w:type="dxa"/>
              <w:start w:w="120" w:type="dxa"/>
              <w:end w:w="120" w:type="dxa"/>
            </w:tcMar>
            <w:vAlign w:val="center"/>
          </w:tcPr>
          <w:p>
            <w:pPr>
              <w:spacing w:after="0" w:line="259" w:lineRule="auto"/>
            </w:pPr>
            <w:r>
              <w:rPr>
                <w:rFonts w:ascii="Calibri" w:hAnsi="Calibri"/>
                <w:color w:val="111827"/>
                <w:sz w:val="18"/>
              </w:rPr>
              <w:t>Google Play service-account JSON</w:t>
            </w:r>
          </w:p>
        </w:tc>
        <w:tc>
          <w:tcPr>
            <w:tcW w:type="dxa" w:w="6060"/>
            <w:tcMar>
              <w:top w:w="80" w:type="dxa"/>
              <w:bottom w:w="80" w:type="dxa"/>
              <w:start w:w="120" w:type="dxa"/>
              <w:end w:w="120" w:type="dxa"/>
            </w:tcMar>
            <w:vAlign w:val="center"/>
          </w:tcPr>
          <w:p>
            <w:pPr>
              <w:spacing w:after="0" w:line="259" w:lineRule="auto"/>
            </w:pPr>
            <w:r>
              <w:rPr>
                <w:rFonts w:ascii="Calibri" w:hAnsi="Calibri"/>
                <w:color w:val="111827"/>
                <w:sz w:val="18"/>
              </w:rPr>
              <w:t>Mounted read-only into Web01; never in the mobile app or repository.</w:t>
            </w:r>
          </w:p>
        </w:tc>
      </w:tr>
      <w:tr>
        <w:trPr>
          <w:cantSplit/>
        </w:trPr>
        <w:tc>
          <w:tcPr>
            <w:tcW w:type="dxa" w:w="3300"/>
            <w:tcMar>
              <w:top w:w="80" w:type="dxa"/>
              <w:bottom w:w="80" w:type="dxa"/>
              <w:start w:w="120" w:type="dxa"/>
              <w:end w:w="120" w:type="dxa"/>
            </w:tcMar>
            <w:vAlign w:val="center"/>
          </w:tcPr>
          <w:p>
            <w:pPr>
              <w:spacing w:after="0" w:line="259" w:lineRule="auto"/>
            </w:pPr>
            <w:r>
              <w:rPr>
                <w:rFonts w:ascii="Calibri" w:hAnsi="Calibri"/>
                <w:color w:val="111827"/>
                <w:sz w:val="18"/>
              </w:rPr>
              <w:t>Android upload keystore and passwords</w:t>
            </w:r>
          </w:p>
        </w:tc>
        <w:tc>
          <w:tcPr>
            <w:tcW w:type="dxa" w:w="6060"/>
            <w:tcMar>
              <w:top w:w="80" w:type="dxa"/>
              <w:bottom w:w="80" w:type="dxa"/>
              <w:start w:w="120" w:type="dxa"/>
              <w:end w:w="120" w:type="dxa"/>
            </w:tcMar>
            <w:vAlign w:val="center"/>
          </w:tcPr>
          <w:p>
            <w:pPr>
              <w:spacing w:after="0" w:line="259" w:lineRule="auto"/>
            </w:pPr>
            <w:r>
              <w:rPr>
                <w:rFonts w:ascii="Calibri" w:hAnsi="Calibri"/>
                <w:color w:val="111827"/>
                <w:sz w:val="18"/>
              </w:rPr>
              <w:t>Protected build-machine storage; passwords injected only during signing.</w:t>
            </w:r>
          </w:p>
        </w:tc>
      </w:tr>
      <w:tr>
        <w:trPr>
          <w:cantSplit/>
        </w:trPr>
        <w:tc>
          <w:tcPr>
            <w:tcW w:type="dxa" w:w="3300"/>
            <w:tcMar>
              <w:top w:w="80" w:type="dxa"/>
              <w:bottom w:w="80" w:type="dxa"/>
              <w:start w:w="120" w:type="dxa"/>
              <w:end w:w="120" w:type="dxa"/>
            </w:tcMar>
            <w:vAlign w:val="center"/>
          </w:tcPr>
          <w:p>
            <w:pPr>
              <w:spacing w:after="0" w:line="259" w:lineRule="auto"/>
            </w:pPr>
            <w:r>
              <w:rPr>
                <w:rFonts w:ascii="Calibri" w:hAnsi="Calibri"/>
                <w:color w:val="111827"/>
                <w:sz w:val="18"/>
              </w:rPr>
              <w:t>Future Apple certificates/profiles/API keys</w:t>
            </w:r>
          </w:p>
        </w:tc>
        <w:tc>
          <w:tcPr>
            <w:tcW w:type="dxa" w:w="6060"/>
            <w:tcMar>
              <w:top w:w="80" w:type="dxa"/>
              <w:bottom w:w="80" w:type="dxa"/>
              <w:start w:w="120" w:type="dxa"/>
              <w:end w:w="120" w:type="dxa"/>
            </w:tcMar>
            <w:vAlign w:val="center"/>
          </w:tcPr>
          <w:p>
            <w:pPr>
              <w:spacing w:after="0" w:line="259" w:lineRule="auto"/>
            </w:pPr>
            <w:r>
              <w:rPr>
                <w:rFonts w:ascii="Calibri" w:hAnsi="Calibri"/>
                <w:color w:val="111827"/>
                <w:sz w:val="18"/>
              </w:rPr>
              <w:t>Protected Apple build/release environment; never committed.</w:t>
            </w:r>
          </w:p>
        </w:tc>
      </w:tr>
    </w:tbl>
    <w:p>
      <w:pPr>
        <w:spacing w:after="0"/>
      </w:pPr>
    </w:p>
    <w:p>
      <w:pPr>
        <w:pStyle w:val="Heading1"/>
      </w:pPr>
      <w:r>
        <w:t>5. Build specifications</w:t>
      </w:r>
    </w:p>
    <w:p>
      <w:pPr>
        <w:pStyle w:val="Heading2"/>
      </w:pPr>
      <w:r>
        <w:t>Required toolchains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cantSplit/>
        </w:trPr>
        <w:tc>
          <w:tcPr>
            <w:tcW w:type="dxa" w:w="2500"/>
            <w:shd w:fill="E8EEF5"/>
            <w:tcMar>
              <w:top w:w="80" w:type="dxa"/>
              <w:bottom w:w="80" w:type="dxa"/>
              <w:start w:w="120" w:type="dxa"/>
              <w:end w:w="120" w:type="dxa"/>
            </w:tcMar>
            <w:vAlign w:val="center"/>
          </w:tcPr>
          <w:p>
            <w:pPr>
              <w:spacing w:after="0"/>
            </w:pPr>
            <w:r>
              <w:rPr>
                <w:rFonts w:ascii="Calibri" w:hAnsi="Calibri"/>
                <w:b/>
                <w:color w:val="17233C"/>
                <w:sz w:val="18"/>
              </w:rPr>
              <w:t>Build target</w:t>
            </w:r>
          </w:p>
        </w:tc>
        <w:tc>
          <w:tcPr>
            <w:tcW w:type="dxa" w:w="6860"/>
            <w:shd w:fill="E8EEF5"/>
            <w:tcMar>
              <w:top w:w="80" w:type="dxa"/>
              <w:bottom w:w="80" w:type="dxa"/>
              <w:start w:w="120" w:type="dxa"/>
              <w:end w:w="120" w:type="dxa"/>
            </w:tcMar>
            <w:vAlign w:val="center"/>
          </w:tcPr>
          <w:p>
            <w:pPr>
              <w:spacing w:after="0"/>
            </w:pPr>
            <w:r>
              <w:rPr>
                <w:rFonts w:ascii="Calibri" w:hAnsi="Calibri"/>
                <w:b/>
                <w:color w:val="17233C"/>
                <w:sz w:val="18"/>
              </w:rPr>
              <w:t>Required environment</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111827"/>
                <w:sz w:val="18"/>
              </w:rPr>
              <w:t>Shared/Web/API</w:t>
            </w:r>
          </w:p>
        </w:tc>
        <w:tc>
          <w:tcPr>
            <w:tcW w:type="dxa" w:w="6860"/>
            <w:tcMar>
              <w:top w:w="80" w:type="dxa"/>
              <w:bottom w:w="80" w:type="dxa"/>
              <w:start w:w="120" w:type="dxa"/>
              <w:end w:w="120" w:type="dxa"/>
            </w:tcMar>
            <w:vAlign w:val="center"/>
          </w:tcPr>
          <w:p>
            <w:pPr>
              <w:spacing w:after="0" w:line="259" w:lineRule="auto"/>
            </w:pPr>
            <w:r>
              <w:rPr>
                <w:rFonts w:ascii="Calibri" w:hAnsi="Calibri"/>
                <w:color w:val="111827"/>
                <w:sz w:val="18"/>
              </w:rPr>
              <w:t>.NET 10 SDK and access to nuget.org through the repository NuGet.Config.</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111827"/>
                <w:sz w:val="18"/>
              </w:rPr>
              <w:t>Android</w:t>
            </w:r>
          </w:p>
        </w:tc>
        <w:tc>
          <w:tcPr>
            <w:tcW w:type="dxa" w:w="6860"/>
            <w:tcMar>
              <w:top w:w="80" w:type="dxa"/>
              <w:bottom w:w="80" w:type="dxa"/>
              <w:start w:w="120" w:type="dxa"/>
              <w:end w:w="120" w:type="dxa"/>
            </w:tcMar>
            <w:vAlign w:val="center"/>
          </w:tcPr>
          <w:p>
            <w:pPr>
              <w:spacing w:after="0" w:line="259" w:lineRule="auto"/>
            </w:pPr>
            <w:r>
              <w:rPr>
                <w:rFonts w:ascii="Calibri" w:hAnsi="Calibri"/>
                <w:color w:val="111827"/>
                <w:sz w:val="18"/>
              </w:rPr>
              <w:t>.NET 10 SDK, MAUI workload, Android SDK/API 36, compatible JDK, and signing material for release AAB.</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111827"/>
                <w:sz w:val="18"/>
              </w:rPr>
              <w:t>iOS</w:t>
            </w:r>
          </w:p>
        </w:tc>
        <w:tc>
          <w:tcPr>
            <w:tcW w:type="dxa" w:w="6860"/>
            <w:tcMar>
              <w:top w:w="80" w:type="dxa"/>
              <w:bottom w:w="80" w:type="dxa"/>
              <w:start w:w="120" w:type="dxa"/>
              <w:end w:w="120" w:type="dxa"/>
            </w:tcMar>
            <w:vAlign w:val="center"/>
          </w:tcPr>
          <w:p>
            <w:pPr>
              <w:spacing w:after="0" w:line="259" w:lineRule="auto"/>
            </w:pPr>
            <w:r>
              <w:rPr>
                <w:rFonts w:ascii="Calibri" w:hAnsi="Calibri"/>
                <w:color w:val="111827"/>
                <w:sz w:val="18"/>
              </w:rPr>
              <w:t>Mac or paired Mac with compatible Xcode, .NET 10 MAUI workload, Apple certificate and provisioning profile.</w:t>
            </w:r>
          </w:p>
        </w:tc>
      </w:tr>
      <w:tr>
        <w:trPr>
          <w:cantSplit/>
        </w:trPr>
        <w:tc>
          <w:tcPr>
            <w:tcW w:type="dxa" w:w="2500"/>
            <w:tcMar>
              <w:top w:w="80" w:type="dxa"/>
              <w:bottom w:w="80" w:type="dxa"/>
              <w:start w:w="120" w:type="dxa"/>
              <w:end w:w="120" w:type="dxa"/>
            </w:tcMar>
            <w:vAlign w:val="center"/>
          </w:tcPr>
          <w:p>
            <w:pPr>
              <w:spacing w:after="0" w:line="259" w:lineRule="auto"/>
            </w:pPr>
            <w:r>
              <w:rPr>
                <w:rFonts w:ascii="Calibri" w:hAnsi="Calibri"/>
                <w:color w:val="111827"/>
                <w:sz w:val="18"/>
              </w:rPr>
              <w:t>Server containers</w:t>
            </w:r>
          </w:p>
        </w:tc>
        <w:tc>
          <w:tcPr>
            <w:tcW w:type="dxa" w:w="6860"/>
            <w:tcMar>
              <w:top w:w="80" w:type="dxa"/>
              <w:bottom w:w="80" w:type="dxa"/>
              <w:start w:w="120" w:type="dxa"/>
              <w:end w:w="120" w:type="dxa"/>
            </w:tcMar>
            <w:vAlign w:val="center"/>
          </w:tcPr>
          <w:p>
            <w:pPr>
              <w:spacing w:after="0" w:line="259" w:lineRule="auto"/>
            </w:pPr>
            <w:r>
              <w:rPr>
                <w:rFonts w:ascii="Calibri" w:hAnsi="Calibri"/>
                <w:color w:val="111827"/>
                <w:sz w:val="18"/>
              </w:rPr>
              <w:t>Docker engine on the Linux deployment host; official Microsoft .NET 10 SDK and ASP.NET runtime base images.</w:t>
            </w:r>
          </w:p>
        </w:tc>
      </w:tr>
    </w:tbl>
    <w:p>
      <w:pPr>
        <w:spacing w:after="0"/>
      </w:pPr>
    </w:p>
    <w:p>
      <w:pPr>
        <w:pStyle w:val="Heading2"/>
      </w:pPr>
      <w:r>
        <w:t>Build matrix</w:t>
      </w:r>
    </w:p>
    <w:tbl>
      <w:tblPr>
        <w:tblStyle w:val="TableGrid"/>
        <w:tblW w:type="dxa" w:w="9360"/>
        <w:jc w:val="left"/>
        <w:tblLayout w:type="fixed"/>
        <w:tblLook w:firstColumn="1" w:firstRow="1" w:lastColumn="0" w:lastRow="0" w:noHBand="0" w:noVBand="1" w:val="04A0"/>
        <w:tblInd w:w="120" w:type="dxa"/>
      </w:tblPr>
      <w:tblGrid>
        <w:gridCol w:w="1900"/>
        <w:gridCol w:w="3380"/>
        <w:gridCol w:w="4080"/>
      </w:tblGrid>
      <w:tr>
        <w:trPr>
          <w:tblHeader/>
          <w:cantSplit/>
        </w:trPr>
        <w:tc>
          <w:tcPr>
            <w:tcW w:type="dxa" w:w="1900"/>
            <w:shd w:fill="E8EEF5"/>
            <w:tcMar>
              <w:top w:w="80" w:type="dxa"/>
              <w:bottom w:w="80" w:type="dxa"/>
              <w:start w:w="120" w:type="dxa"/>
              <w:end w:w="120" w:type="dxa"/>
            </w:tcMar>
            <w:vAlign w:val="center"/>
          </w:tcPr>
          <w:p>
            <w:pPr>
              <w:spacing w:after="0"/>
            </w:pPr>
            <w:r>
              <w:rPr>
                <w:rFonts w:ascii="Calibri" w:hAnsi="Calibri"/>
                <w:b/>
                <w:color w:val="17233C"/>
                <w:sz w:val="17"/>
              </w:rPr>
              <w:t>Output</w:t>
            </w:r>
          </w:p>
        </w:tc>
        <w:tc>
          <w:tcPr>
            <w:tcW w:type="dxa" w:w="3380"/>
            <w:shd w:fill="E8EEF5"/>
            <w:tcMar>
              <w:top w:w="80" w:type="dxa"/>
              <w:bottom w:w="80" w:type="dxa"/>
              <w:start w:w="120" w:type="dxa"/>
              <w:end w:w="120" w:type="dxa"/>
            </w:tcMar>
            <w:vAlign w:val="center"/>
          </w:tcPr>
          <w:p>
            <w:pPr>
              <w:spacing w:after="0"/>
            </w:pPr>
            <w:r>
              <w:rPr>
                <w:rFonts w:ascii="Calibri" w:hAnsi="Calibri"/>
                <w:b/>
                <w:color w:val="17233C"/>
                <w:sz w:val="17"/>
              </w:rPr>
              <w:t>General command / script</w:t>
            </w:r>
          </w:p>
        </w:tc>
        <w:tc>
          <w:tcPr>
            <w:tcW w:type="dxa" w:w="4080"/>
            <w:shd w:fill="E8EEF5"/>
            <w:tcMar>
              <w:top w:w="80" w:type="dxa"/>
              <w:bottom w:w="80" w:type="dxa"/>
              <w:start w:w="120" w:type="dxa"/>
              <w:end w:w="120" w:type="dxa"/>
            </w:tcMar>
            <w:vAlign w:val="center"/>
          </w:tcPr>
          <w:p>
            <w:pPr>
              <w:spacing w:after="0"/>
            </w:pPr>
            <w:r>
              <w:rPr>
                <w:rFonts w:ascii="Calibri" w:hAnsi="Calibri"/>
                <w:b/>
                <w:color w:val="17233C"/>
                <w:sz w:val="17"/>
              </w:rPr>
              <w:t>Result</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Solution validation</w:t>
            </w:r>
          </w:p>
        </w:tc>
        <w:tc>
          <w:tcPr>
            <w:tcW w:type="dxa" w:w="3380"/>
            <w:tcMar>
              <w:top w:w="80" w:type="dxa"/>
              <w:bottom w:w="80" w:type="dxa"/>
              <w:start w:w="120" w:type="dxa"/>
              <w:end w:w="120" w:type="dxa"/>
            </w:tcMar>
            <w:vAlign w:val="center"/>
          </w:tcPr>
          <w:p>
            <w:pPr>
              <w:spacing w:after="0" w:line="259" w:lineRule="auto"/>
            </w:pPr>
            <w:r>
              <w:rPr>
                <w:rFonts w:ascii="Calibri" w:hAnsi="Calibri"/>
                <w:color w:val="111827"/>
                <w:sz w:val="17"/>
              </w:rPr>
              <w:t>dotnet build ClearlySaid.sln -c Release</w:t>
            </w:r>
          </w:p>
        </w:tc>
        <w:tc>
          <w:tcPr>
            <w:tcW w:type="dxa" w:w="4080"/>
            <w:tcMar>
              <w:top w:w="80" w:type="dxa"/>
              <w:bottom w:w="80" w:type="dxa"/>
              <w:start w:w="120" w:type="dxa"/>
              <w:end w:w="120" w:type="dxa"/>
            </w:tcMar>
            <w:vAlign w:val="center"/>
          </w:tcPr>
          <w:p>
            <w:pPr>
              <w:spacing w:after="0" w:line="259" w:lineRule="auto"/>
            </w:pPr>
            <w:r>
              <w:rPr>
                <w:rFonts w:ascii="Calibri" w:hAnsi="Calibri"/>
                <w:color w:val="111827"/>
                <w:sz w:val="17"/>
              </w:rPr>
              <w:t>Compiles all targets supported by the current host; mobile multi-targeting may require target-specific workloads.</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Web publish</w:t>
            </w:r>
          </w:p>
        </w:tc>
        <w:tc>
          <w:tcPr>
            <w:tcW w:type="dxa" w:w="3380"/>
            <w:tcMar>
              <w:top w:w="80" w:type="dxa"/>
              <w:bottom w:w="80" w:type="dxa"/>
              <w:start w:w="120" w:type="dxa"/>
              <w:end w:w="120" w:type="dxa"/>
            </w:tcMar>
            <w:vAlign w:val="center"/>
          </w:tcPr>
          <w:p>
            <w:pPr>
              <w:spacing w:after="0" w:line="259" w:lineRule="auto"/>
            </w:pPr>
            <w:r>
              <w:rPr>
                <w:rFonts w:ascii="Calibri" w:hAnsi="Calibri"/>
                <w:color w:val="111827"/>
                <w:sz w:val="17"/>
              </w:rPr>
              <w:t>scripts/Publish-Web01.ps1</w:t>
            </w:r>
          </w:p>
        </w:tc>
        <w:tc>
          <w:tcPr>
            <w:tcW w:type="dxa" w:w="4080"/>
            <w:tcMar>
              <w:top w:w="80" w:type="dxa"/>
              <w:bottom w:w="80" w:type="dxa"/>
              <w:start w:w="120" w:type="dxa"/>
              <w:end w:w="120" w:type="dxa"/>
            </w:tcMar>
            <w:vAlign w:val="center"/>
          </w:tcPr>
          <w:p>
            <w:pPr>
              <w:spacing w:after="0" w:line="259" w:lineRule="auto"/>
            </w:pPr>
            <w:r>
              <w:rPr>
                <w:rFonts w:ascii="Calibri" w:hAnsi="Calibri"/>
                <w:color w:val="111827"/>
                <w:sz w:val="17"/>
              </w:rPr>
              <w:t>Release output under artifacts/Web01 by default.</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API publish</w:t>
            </w:r>
          </w:p>
        </w:tc>
        <w:tc>
          <w:tcPr>
            <w:tcW w:type="dxa" w:w="3380"/>
            <w:tcMar>
              <w:top w:w="80" w:type="dxa"/>
              <w:bottom w:w="80" w:type="dxa"/>
              <w:start w:w="120" w:type="dxa"/>
              <w:end w:w="120" w:type="dxa"/>
            </w:tcMar>
            <w:vAlign w:val="center"/>
          </w:tcPr>
          <w:p>
            <w:pPr>
              <w:spacing w:after="0" w:line="259" w:lineRule="auto"/>
            </w:pPr>
            <w:r>
              <w:rPr>
                <w:rFonts w:ascii="Calibri" w:hAnsi="Calibri"/>
                <w:color w:val="111827"/>
                <w:sz w:val="17"/>
              </w:rPr>
              <w:t>scripts/Publish-Api01.ps1</w:t>
            </w:r>
          </w:p>
        </w:tc>
        <w:tc>
          <w:tcPr>
            <w:tcW w:type="dxa" w:w="4080"/>
            <w:tcMar>
              <w:top w:w="80" w:type="dxa"/>
              <w:bottom w:w="80" w:type="dxa"/>
              <w:start w:w="120" w:type="dxa"/>
              <w:end w:w="120" w:type="dxa"/>
            </w:tcMar>
            <w:vAlign w:val="center"/>
          </w:tcPr>
          <w:p>
            <w:pPr>
              <w:spacing w:after="0" w:line="259" w:lineRule="auto"/>
            </w:pPr>
            <w:r>
              <w:rPr>
                <w:rFonts w:ascii="Calibri" w:hAnsi="Calibri"/>
                <w:color w:val="111827"/>
                <w:sz w:val="17"/>
              </w:rPr>
              <w:t>Release output under artifacts/Api01 by default.</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Android tester APK</w:t>
            </w:r>
          </w:p>
        </w:tc>
        <w:tc>
          <w:tcPr>
            <w:tcW w:type="dxa" w:w="3380"/>
            <w:tcMar>
              <w:top w:w="80" w:type="dxa"/>
              <w:bottom w:w="80" w:type="dxa"/>
              <w:start w:w="120" w:type="dxa"/>
              <w:end w:w="120" w:type="dxa"/>
            </w:tcMar>
            <w:vAlign w:val="center"/>
          </w:tcPr>
          <w:p>
            <w:pPr>
              <w:spacing w:after="0" w:line="259" w:lineRule="auto"/>
            </w:pPr>
            <w:r>
              <w:rPr>
                <w:rFonts w:ascii="Calibri" w:hAnsi="Calibri"/>
                <w:color w:val="111827"/>
                <w:sz w:val="17"/>
              </w:rPr>
              <w:t>scripts/Publish-Android-Test.ps1</w:t>
            </w:r>
          </w:p>
        </w:tc>
        <w:tc>
          <w:tcPr>
            <w:tcW w:type="dxa" w:w="4080"/>
            <w:tcMar>
              <w:top w:w="80" w:type="dxa"/>
              <w:bottom w:w="80" w:type="dxa"/>
              <w:start w:w="120" w:type="dxa"/>
              <w:end w:w="120" w:type="dxa"/>
            </w:tcMar>
            <w:vAlign w:val="center"/>
          </w:tcPr>
          <w:p>
            <w:pPr>
              <w:spacing w:after="0" w:line="259" w:lineRule="auto"/>
            </w:pPr>
            <w:r>
              <w:rPr>
                <w:rFonts w:ascii="Calibri" w:hAnsi="Calibri"/>
                <w:color w:val="111827"/>
                <w:sz w:val="17"/>
              </w:rPr>
              <w:t>Signed Debug APK copied into Web01 downloads plus SHA-256 sidecar.</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Android Play bundle</w:t>
            </w:r>
          </w:p>
        </w:tc>
        <w:tc>
          <w:tcPr>
            <w:tcW w:type="dxa" w:w="3380"/>
            <w:tcMar>
              <w:top w:w="80" w:type="dxa"/>
              <w:bottom w:w="80" w:type="dxa"/>
              <w:start w:w="120" w:type="dxa"/>
              <w:end w:w="120" w:type="dxa"/>
            </w:tcMar>
            <w:vAlign w:val="center"/>
          </w:tcPr>
          <w:p>
            <w:pPr>
              <w:spacing w:after="0" w:line="259" w:lineRule="auto"/>
            </w:pPr>
            <w:r>
              <w:rPr>
                <w:rFonts w:ascii="Calibri" w:hAnsi="Calibri"/>
                <w:color w:val="111827"/>
                <w:sz w:val="17"/>
              </w:rPr>
              <w:t>scripts/Publish-Android-Release.ps1</w:t>
            </w:r>
          </w:p>
        </w:tc>
        <w:tc>
          <w:tcPr>
            <w:tcW w:type="dxa" w:w="4080"/>
            <w:tcMar>
              <w:top w:w="80" w:type="dxa"/>
              <w:bottom w:w="80" w:type="dxa"/>
              <w:start w:w="120" w:type="dxa"/>
              <w:end w:w="120" w:type="dxa"/>
            </w:tcMar>
            <w:vAlign w:val="center"/>
          </w:tcPr>
          <w:p>
            <w:pPr>
              <w:spacing w:after="0" w:line="259" w:lineRule="auto"/>
            </w:pPr>
            <w:r>
              <w:rPr>
                <w:rFonts w:ascii="Calibri" w:hAnsi="Calibri"/>
                <w:color w:val="111827"/>
                <w:sz w:val="17"/>
              </w:rPr>
              <w:t>Signed Release AAB using protected keystore and environment-injected passwords.</w:t>
            </w:r>
          </w:p>
        </w:tc>
      </w:tr>
      <w:tr>
        <w:trPr>
          <w:cantSplit/>
        </w:trPr>
        <w:tc>
          <w:tcPr>
            <w:tcW w:type="dxa" w:w="1900"/>
            <w:tcMar>
              <w:top w:w="80" w:type="dxa"/>
              <w:bottom w:w="80" w:type="dxa"/>
              <w:start w:w="120" w:type="dxa"/>
              <w:end w:w="120" w:type="dxa"/>
            </w:tcMar>
            <w:vAlign w:val="center"/>
          </w:tcPr>
          <w:p>
            <w:pPr>
              <w:spacing w:after="0" w:line="259" w:lineRule="auto"/>
            </w:pPr>
            <w:r>
              <w:rPr>
                <w:rFonts w:ascii="Calibri" w:hAnsi="Calibri"/>
                <w:color w:val="111827"/>
                <w:sz w:val="17"/>
              </w:rPr>
              <w:t>iOS build</w:t>
            </w:r>
          </w:p>
        </w:tc>
        <w:tc>
          <w:tcPr>
            <w:tcW w:type="dxa" w:w="3380"/>
            <w:tcMar>
              <w:top w:w="80" w:type="dxa"/>
              <w:bottom w:w="80" w:type="dxa"/>
              <w:start w:w="120" w:type="dxa"/>
              <w:end w:w="120" w:type="dxa"/>
            </w:tcMar>
            <w:vAlign w:val="center"/>
          </w:tcPr>
          <w:p>
            <w:pPr>
              <w:spacing w:after="0" w:line="259" w:lineRule="auto"/>
            </w:pPr>
            <w:r>
              <w:rPr>
                <w:rFonts w:ascii="Calibri" w:hAnsi="Calibri"/>
                <w:color w:val="111827"/>
                <w:sz w:val="17"/>
              </w:rPr>
              <w:t>dotnet build src/ClearlySaid.App -f net10.0-ios -c Release</w:t>
            </w:r>
          </w:p>
        </w:tc>
        <w:tc>
          <w:tcPr>
            <w:tcW w:type="dxa" w:w="4080"/>
            <w:tcMar>
              <w:top w:w="80" w:type="dxa"/>
              <w:bottom w:w="80" w:type="dxa"/>
              <w:start w:w="120" w:type="dxa"/>
              <w:end w:w="120" w:type="dxa"/>
            </w:tcMar>
            <w:vAlign w:val="center"/>
          </w:tcPr>
          <w:p>
            <w:pPr>
              <w:spacing w:after="0" w:line="259" w:lineRule="auto"/>
            </w:pPr>
            <w:r>
              <w:rPr>
                <w:rFonts w:ascii="Calibri" w:hAnsi="Calibri"/>
                <w:color w:val="111827"/>
                <w:sz w:val="17"/>
              </w:rPr>
              <w:t>iOS binary/archive input on a properly configured Mac; distribution automation is not yet provided in this repository.</w:t>
            </w:r>
          </w:p>
        </w:tc>
      </w:tr>
    </w:tbl>
    <w:p>
      <w:pPr>
        <w:spacing w:after="0"/>
      </w:pPr>
    </w:p>
    <w:p>
      <w:pPr>
        <w:pStyle w:val="Heading2"/>
      </w:pPr>
      <w:r>
        <w:t>Mobile versioning</w:t>
      </w:r>
    </w:p>
    <w:p>
      <w:r>
        <w:rPr>
          <w:rFonts w:ascii="Calibri" w:hAnsi="Calibri"/>
          <w:color w:val="111827"/>
        </w:rPr>
        <w:t>The current MAUI project declares ApplicationDisplayVersion 1.3 and ApplicationVersion 5. The display version is customer-facing. The numeric build/version code must increase for every Google Play upload; Apple builds similarly require an incrementing build number accepted by App Store Connect.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EAF4EA"/>
          </w:tcPr>
          <w:p>
            <w:pPr>
              <w:spacing w:after="0"/>
            </w:pPr>
            <w:r>
              <w:rPr>
                <w:rFonts w:ascii="Calibri" w:hAnsi="Calibri"/>
                <w:b/>
                <w:color w:val="1F4D78"/>
              </w:rPr>
              <w:t xml:space="preserve">Build integrity  </w:t>
            </w:r>
            <w:r>
              <w:rPr>
                <w:rFonts w:ascii="Calibri" w:hAnsi="Calibri"/>
                <w:color w:val="111827"/>
              </w:rPr>
              <w:t>A successful compilation is necessary but not sufficient. Release builds require target-specific signing, artifact hashing or signature verification, configuration checks, and functional validation.</w:t>
            </w:r>
          </w:p>
        </w:tc>
      </w:tr>
    </w:tbl>
    <w:p>
      <w:pPr>
        <w:spacing w:after="0"/>
      </w:pPr>
    </w:p>
    <w:p>
      <w:pPr>
        <w:pStyle w:val="Heading1"/>
      </w:pPr>
      <w:r>
        <w:t>6. Server deployment design</w:t>
      </w:r>
    </w:p>
    <w:p>
      <w:pPr>
        <w:pStyle w:val="Heading2"/>
      </w:pPr>
      <w:r>
        <w:t>Container construction</w:t>
      </w:r>
    </w:p>
    <w:p>
      <w:r>
        <w:rPr>
          <w:rFonts w:ascii="Calibri" w:hAnsi="Calibri"/>
          <w:color w:val="111827"/>
        </w:rPr>
        <w:t>Dockerfile.web01 and Dockerfile.api01 use multi-stage .NET 10 builds. The SDK image restores and publishes only the required project and Shared dependency. The final ASP.NET Core 10 runtime image contains published output, listens on container port 8080, and carries no source tree or build toolchain.</w:t>
      </w:r>
    </w:p>
    <w:p>
      <w:pPr>
        <w:pStyle w:val="Heading2"/>
      </w:pPr>
      <w:r>
        <w:t>API01 deployment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cantSplit/>
        </w:trPr>
        <w:tc>
          <w:tcPr>
            <w:tcW w:type="dxa" w:w="2400"/>
            <w:shd w:fill="E8EEF5"/>
            <w:tcMar>
              <w:top w:w="80" w:type="dxa"/>
              <w:bottom w:w="80" w:type="dxa"/>
              <w:start w:w="120" w:type="dxa"/>
              <w:end w:w="120" w:type="dxa"/>
            </w:tcMar>
            <w:vAlign w:val="center"/>
          </w:tcPr>
          <w:p>
            <w:pPr>
              <w:spacing w:after="0"/>
            </w:pPr>
            <w:r>
              <w:rPr>
                <w:rFonts w:ascii="Calibri" w:hAnsi="Calibri"/>
                <w:b/>
                <w:color w:val="17233C"/>
                <w:sz w:val="18"/>
              </w:rPr>
              <w:t>Specification</w:t>
            </w:r>
          </w:p>
        </w:tc>
        <w:tc>
          <w:tcPr>
            <w:tcW w:type="dxa" w:w="6960"/>
            <w:shd w:fill="E8EEF5"/>
            <w:tcMar>
              <w:top w:w="80" w:type="dxa"/>
              <w:bottom w:w="80" w:type="dxa"/>
              <w:start w:w="120" w:type="dxa"/>
              <w:end w:w="120" w:type="dxa"/>
            </w:tcMar>
            <w:vAlign w:val="center"/>
          </w:tcPr>
          <w:p>
            <w:pPr>
              <w:spacing w:after="0"/>
            </w:pPr>
            <w:r>
              <w:rPr>
                <w:rFonts w:ascii="Calibri" w:hAnsi="Calibri"/>
                <w:b/>
                <w:color w:val="17233C"/>
                <w:sz w:val="18"/>
              </w:rPr>
              <w:t>Value</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Host / exposure</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Ubuntu 10.168.168.7; private only</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Container / port</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clearlysaid-api; 10.168.168.7:5103 → 8080</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Configuration</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/home/ken/clearlysaid/secrets/api.env, mode 600</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Health</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GET http://10.168.168.7:5103/health</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Release behavior</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Rename current container to a unique rollback name, start replacement, poll health, and automatically restore rollback container on failure.</w:t>
            </w:r>
          </w:p>
        </w:tc>
      </w:tr>
    </w:tbl>
    <w:p>
      <w:pPr>
        <w:spacing w:after="0"/>
      </w:pPr>
    </w:p>
    <w:p>
      <w:pPr>
        <w:pStyle w:val="Heading2"/>
      </w:pPr>
      <w:r>
        <w:t>Web01 deployment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cantSplit/>
        </w:trPr>
        <w:tc>
          <w:tcPr>
            <w:tcW w:type="dxa" w:w="2400"/>
            <w:shd w:fill="E8EEF5"/>
            <w:tcMar>
              <w:top w:w="80" w:type="dxa"/>
              <w:bottom w:w="80" w:type="dxa"/>
              <w:start w:w="120" w:type="dxa"/>
              <w:end w:w="120" w:type="dxa"/>
            </w:tcMar>
            <w:vAlign w:val="center"/>
          </w:tcPr>
          <w:p>
            <w:pPr>
              <w:spacing w:after="0"/>
            </w:pPr>
            <w:r>
              <w:rPr>
                <w:rFonts w:ascii="Calibri" w:hAnsi="Calibri"/>
                <w:b/>
                <w:color w:val="17233C"/>
                <w:sz w:val="18"/>
              </w:rPr>
              <w:t>Specification</w:t>
            </w:r>
          </w:p>
        </w:tc>
        <w:tc>
          <w:tcPr>
            <w:tcW w:type="dxa" w:w="6960"/>
            <w:shd w:fill="E8EEF5"/>
            <w:tcMar>
              <w:top w:w="80" w:type="dxa"/>
              <w:bottom w:w="80" w:type="dxa"/>
              <w:start w:w="120" w:type="dxa"/>
              <w:end w:w="120" w:type="dxa"/>
            </w:tcMar>
            <w:vAlign w:val="center"/>
          </w:tcPr>
          <w:p>
            <w:pPr>
              <w:spacing w:after="0"/>
            </w:pPr>
            <w:r>
              <w:rPr>
                <w:rFonts w:ascii="Calibri" w:hAnsi="Calibri"/>
                <w:b/>
                <w:color w:val="17233C"/>
                <w:sz w:val="18"/>
              </w:rPr>
              <w:t>Value</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Host / exposure</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Ubuntu 10.168.168.8; public through Cloudflare Tunnel and Nginx Proxy Manager</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Container / port</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clearlysaid-web; host 5102 → container 8080</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Persistent state</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Docker volume clearlysaid-data for Data Protection keys</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Configuration</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Protected web.env and database.env; optional read-only Google Play credential mount</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Health</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Origin Host-header health plus https://clearlysaid.ai/health</w:t>
            </w:r>
          </w:p>
        </w:tc>
      </w:tr>
      <w:tr>
        <w:trPr>
          <w:cantSplit/>
        </w:trPr>
        <w:tc>
          <w:tcPr>
            <w:tcW w:type="dxa" w:w="2400"/>
            <w:tcMar>
              <w:top w:w="80" w:type="dxa"/>
              <w:bottom w:w="80" w:type="dxa"/>
              <w:start w:w="120" w:type="dxa"/>
              <w:end w:w="120" w:type="dxa"/>
            </w:tcMar>
            <w:vAlign w:val="center"/>
          </w:tcPr>
          <w:p>
            <w:pPr>
              <w:spacing w:after="0" w:line="259" w:lineRule="auto"/>
            </w:pPr>
            <w:r>
              <w:rPr>
                <w:rFonts w:ascii="Calibri" w:hAnsi="Calibri"/>
                <w:color w:val="111827"/>
                <w:sz w:val="18"/>
              </w:rPr>
              <w:t>Release behavior</w:t>
            </w:r>
          </w:p>
        </w:tc>
        <w:tc>
          <w:tcPr>
            <w:tcW w:type="dxa" w:w="6960"/>
            <w:tcMar>
              <w:top w:w="80" w:type="dxa"/>
              <w:bottom w:w="80" w:type="dxa"/>
              <w:start w:w="120" w:type="dxa"/>
              <w:end w:w="120" w:type="dxa"/>
            </w:tcMar>
            <w:vAlign w:val="center"/>
          </w:tcPr>
          <w:p>
            <w:pPr>
              <w:spacing w:after="0" w:line="259" w:lineRule="auto"/>
            </w:pPr>
            <w:r>
              <w:rPr>
                <w:rFonts w:ascii="Calibri" w:hAnsi="Calibri"/>
                <w:color w:val="111827"/>
                <w:sz w:val="18"/>
              </w:rPr>
              <w:t>Retain uniquely named rollback container; deployment script restores it automatically when candidate health does not pass.</w:t>
            </w:r>
          </w:p>
        </w:tc>
      </w:tr>
    </w:tbl>
    <w:p>
      <w:pPr>
        <w:spacing w:after="0"/>
      </w:pPr>
    </w:p>
    <w:p>
      <w:pPr>
        <w:pStyle w:val="Heading2"/>
      </w:pPr>
      <w:r>
        <w:t>Deployment ordering</w:t>
      </w:r>
    </w:p>
    <w:p>
      <w:pPr>
        <w:numPr>
          <w:ilvl w:val="0"/>
          <w:numId w:val="11"/>
        </w:numPr>
        <w:spacing w:after="80" w:line="300" w:lineRule="auto"/>
        <w:ind w:left="540" w:hanging="271"/>
      </w:pPr>
      <w:r>
        <w:rPr>
          <w:rFonts w:ascii="Calibri" w:hAnsi="Calibri"/>
          <w:color w:val="111827"/>
        </w:rPr>
        <w:t>Deploy and verify API01 first when internal API behavior changes.</w:t>
      </w:r>
    </w:p>
    <w:p>
      <w:pPr>
        <w:numPr>
          <w:ilvl w:val="0"/>
          <w:numId w:val="11"/>
        </w:numPr>
        <w:spacing w:after="80" w:line="300" w:lineRule="auto"/>
        <w:ind w:left="540" w:hanging="271"/>
      </w:pPr>
      <w:r>
        <w:rPr>
          <w:rFonts w:ascii="Calibri" w:hAnsi="Calibri"/>
          <w:color w:val="111827"/>
        </w:rPr>
        <w:t>Deploy Web01 second, keeping its API contract compatible with the live API01 version.</w:t>
      </w:r>
    </w:p>
    <w:p>
      <w:pPr>
        <w:numPr>
          <w:ilvl w:val="0"/>
          <w:numId w:val="11"/>
        </w:numPr>
        <w:spacing w:after="80" w:line="300" w:lineRule="auto"/>
        <w:ind w:left="540" w:hanging="271"/>
      </w:pPr>
      <w:r>
        <w:rPr>
          <w:rFonts w:ascii="Calibri" w:hAnsi="Calibri"/>
          <w:color w:val="111827"/>
        </w:rPr>
        <w:t>Rebuild the Android test APK before Web01 if the shared/mobile code changed, because Web01 serves that APK.</w:t>
      </w:r>
    </w:p>
    <w:p>
      <w:pPr>
        <w:numPr>
          <w:ilvl w:val="0"/>
          <w:numId w:val="11"/>
        </w:numPr>
        <w:spacing w:after="80" w:line="300" w:lineRule="auto"/>
        <w:ind w:left="540" w:hanging="271"/>
      </w:pPr>
      <w:r>
        <w:rPr>
          <w:rFonts w:ascii="Calibri" w:hAnsi="Calibri"/>
          <w:color w:val="111827"/>
        </w:rPr>
        <w:t>Publish signed store artifacts only from the exact reviewed source revision and record their hashes/version numbers.</w:t>
      </w:r>
    </w:p>
    <w:p>
      <w:pPr>
        <w:pStyle w:val="Heading1"/>
      </w:pPr>
      <w:r>
        <w:t>7. Release design</w:t>
      </w:r>
    </w:p>
    <w:p>
      <w:pPr>
        <w:pStyle w:val="Heading2"/>
      </w:pPr>
      <w:r>
        <w:t>Component release boundaries</w:t>
      </w:r>
    </w:p>
    <w:p>
      <w:r>
        <w:rPr>
          <w:rFonts w:ascii="Calibri" w:hAnsi="Calibri"/>
          <w:color w:val="111827"/>
        </w:rPr>
        <w:t>ClearlySaid has independent deliverables. A complete release report should state each one separately rather than treating a Git push or one successful server deployment as the entire product release.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cantSplit/>
        </w:trPr>
        <w:tc>
          <w:tcPr>
            <w:tcW w:type="dxa" w:w="2200"/>
            <w:shd w:fill="E8EEF5"/>
            <w:tcMar>
              <w:top w:w="80" w:type="dxa"/>
              <w:bottom w:w="80" w:type="dxa"/>
              <w:start w:w="120" w:type="dxa"/>
              <w:end w:w="120" w:type="dxa"/>
            </w:tcMar>
            <w:vAlign w:val="center"/>
          </w:tcPr>
          <w:p>
            <w:pPr>
              <w:spacing w:after="0"/>
            </w:pPr>
            <w:r>
              <w:rPr>
                <w:rFonts w:ascii="Calibri" w:hAnsi="Calibri"/>
                <w:b/>
                <w:color w:val="17233C"/>
                <w:sz w:val="18"/>
              </w:rPr>
              <w:t>Component</w:t>
            </w:r>
          </w:p>
        </w:tc>
        <w:tc>
          <w:tcPr>
            <w:tcW w:type="dxa" w:w="7160"/>
            <w:shd w:fill="E8EEF5"/>
            <w:tcMar>
              <w:top w:w="80" w:type="dxa"/>
              <w:bottom w:w="80" w:type="dxa"/>
              <w:start w:w="120" w:type="dxa"/>
              <w:end w:w="120" w:type="dxa"/>
            </w:tcMar>
            <w:vAlign w:val="center"/>
          </w:tcPr>
          <w:p>
            <w:pPr>
              <w:spacing w:after="0"/>
            </w:pPr>
            <w:r>
              <w:rPr>
                <w:rFonts w:ascii="Calibri" w:hAnsi="Calibri"/>
                <w:b/>
                <w:color w:val="17233C"/>
                <w:sz w:val="18"/>
              </w:rPr>
              <w:t>Release evidence</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8"/>
              </w:rPr>
              <w:t>API01</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8"/>
              </w:rPr>
              <w:t>Exact source revision, uniquely tagged image, healthy live container, authenticated-path validation, rollback container.</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8"/>
              </w:rPr>
              <w:t>Web01</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8"/>
              </w:rPr>
              <w:t>Exact source revision, uniquely tagged image, origin and public health, critical-path smoke tests, rollback container.</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8"/>
              </w:rPr>
              <w:t>Android test</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8"/>
              </w:rPr>
              <w:t>APK generation, stable test-signing identity, SHA-256 sidecar, public download verification.</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8"/>
              </w:rPr>
              <w:t>Android Play</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8"/>
              </w:rPr>
              <w:t>Incremented ApplicationVersion, signed AAB, signature/hash verification, Play track and rollout status.</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8"/>
              </w:rPr>
              <w:t>Future iOS</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8"/>
              </w:rPr>
              <w:t>Incremented version/build, signed archive/IPA, TestFlight or App Store Connect upload, processing/review/rollout status.</w:t>
            </w:r>
          </w:p>
        </w:tc>
      </w:tr>
    </w:tbl>
    <w:p>
      <w:pPr>
        <w:spacing w:after="0"/>
      </w:pPr>
    </w:p>
    <w:p>
      <w:pPr>
        <w:pStyle w:val="Heading2"/>
      </w:pPr>
      <w:r>
        <w:t>Recommended release sequence</w:t>
      </w:r>
    </w:p>
    <w:p>
      <w:pPr>
        <w:numPr>
          <w:ilvl w:val="0"/>
          <w:numId w:val="12"/>
        </w:numPr>
        <w:spacing w:after="80" w:line="300" w:lineRule="auto"/>
        <w:ind w:left="540" w:hanging="271"/>
      </w:pPr>
      <w:r>
        <w:rPr>
          <w:rFonts w:ascii="Calibri" w:hAnsi="Calibri"/>
          <w:color w:val="111827"/>
        </w:rPr>
        <w:t>Confirm the intended scope and establish the exact source revision.</w:t>
      </w:r>
    </w:p>
    <w:p>
      <w:pPr>
        <w:numPr>
          <w:ilvl w:val="0"/>
          <w:numId w:val="12"/>
        </w:numPr>
        <w:spacing w:after="80" w:line="300" w:lineRule="auto"/>
        <w:ind w:left="540" w:hanging="271"/>
      </w:pPr>
      <w:r>
        <w:rPr>
          <w:rFonts w:ascii="Calibri" w:hAnsi="Calibri"/>
          <w:color w:val="111827"/>
        </w:rPr>
        <w:t>Restore dependencies and run Release builds for every affected component.</w:t>
      </w:r>
    </w:p>
    <w:p>
      <w:pPr>
        <w:numPr>
          <w:ilvl w:val="0"/>
          <w:numId w:val="12"/>
        </w:numPr>
        <w:spacing w:after="80" w:line="300" w:lineRule="auto"/>
        <w:ind w:left="540" w:hanging="271"/>
      </w:pPr>
      <w:r>
        <w:rPr>
          <w:rFonts w:ascii="Calibri" w:hAnsi="Calibri"/>
          <w:color w:val="111827"/>
        </w:rPr>
        <w:t>Generate signed mobile artifacts and checksums without exposing signing secrets.</w:t>
      </w:r>
    </w:p>
    <w:p>
      <w:pPr>
        <w:numPr>
          <w:ilvl w:val="0"/>
          <w:numId w:val="12"/>
        </w:numPr>
        <w:spacing w:after="80" w:line="300" w:lineRule="auto"/>
        <w:ind w:left="540" w:hanging="271"/>
      </w:pPr>
      <w:r>
        <w:rPr>
          <w:rFonts w:ascii="Calibri" w:hAnsi="Calibri"/>
          <w:color w:val="111827"/>
        </w:rPr>
        <w:t>Run local/static/functional checks; stop if a required component fails.</w:t>
      </w:r>
    </w:p>
    <w:p>
      <w:pPr>
        <w:numPr>
          <w:ilvl w:val="0"/>
          <w:numId w:val="12"/>
        </w:numPr>
        <w:spacing w:after="80" w:line="300" w:lineRule="auto"/>
        <w:ind w:left="540" w:hanging="271"/>
      </w:pPr>
      <w:r>
        <w:rPr>
          <w:rFonts w:ascii="Calibri" w:hAnsi="Calibri"/>
          <w:color w:val="111827"/>
        </w:rPr>
        <w:t>Commit only reviewed source and intended artifacts; exclude secrets, local keys, bin/obj, and temporary output.</w:t>
      </w:r>
    </w:p>
    <w:p>
      <w:pPr>
        <w:numPr>
          <w:ilvl w:val="0"/>
          <w:numId w:val="12"/>
        </w:numPr>
        <w:spacing w:after="80" w:line="300" w:lineRule="auto"/>
        <w:ind w:left="540" w:hanging="271"/>
      </w:pPr>
      <w:r>
        <w:rPr>
          <w:rFonts w:ascii="Calibri" w:hAnsi="Calibri"/>
          <w:color w:val="111827"/>
        </w:rPr>
        <w:t>Push the commit to the authorized remote branch and verify local/remote parity.</w:t>
      </w:r>
    </w:p>
    <w:p>
      <w:pPr>
        <w:numPr>
          <w:ilvl w:val="0"/>
          <w:numId w:val="12"/>
        </w:numPr>
        <w:spacing w:after="80" w:line="300" w:lineRule="auto"/>
        <w:ind w:left="540" w:hanging="271"/>
      </w:pPr>
      <w:r>
        <w:rPr>
          <w:rFonts w:ascii="Calibri" w:hAnsi="Calibri"/>
          <w:color w:val="111827"/>
        </w:rPr>
        <w:t>Deploy API01 and Web01 from the exact pushed revision, verify health and smoke tests, and retain rollback containers.</w:t>
      </w:r>
    </w:p>
    <w:p>
      <w:pPr>
        <w:numPr>
          <w:ilvl w:val="0"/>
          <w:numId w:val="12"/>
        </w:numPr>
        <w:spacing w:after="80" w:line="300" w:lineRule="auto"/>
        <w:ind w:left="540" w:hanging="271"/>
      </w:pPr>
      <w:r>
        <w:rPr>
          <w:rFonts w:ascii="Calibri" w:hAnsi="Calibri"/>
          <w:color w:val="111827"/>
        </w:rPr>
        <w:t>Upload mobile store artifacts to the intended testing or production track and record external review/rollout status separately.</w:t>
      </w:r>
    </w:p>
    <w:p>
      <w:pPr>
        <w:pStyle w:val="Heading2"/>
      </w:pPr>
      <w:r>
        <w:t>Validation gates</w:t>
      </w:r>
    </w:p>
    <w:p>
      <w:pPr>
        <w:pStyle w:val="ListBullet"/>
        <w:spacing w:after="80" w:line="300" w:lineRule="auto"/>
        <w:ind w:left="540" w:hanging="271"/>
      </w:pPr>
      <w:r>
        <w:rPr>
          <w:rFonts w:ascii="Calibri" w:hAnsi="Calibri"/>
          <w:color w:val="111827"/>
        </w:rPr>
        <w:t>Health endpoints return the expected application identity.</w:t>
      </w:r>
    </w:p>
    <w:p>
      <w:pPr>
        <w:pStyle w:val="ListBullet"/>
        <w:spacing w:after="80" w:line="300" w:lineRule="auto"/>
        <w:ind w:left="540" w:hanging="271"/>
      </w:pPr>
      <w:r>
        <w:rPr>
          <w:rFonts w:ascii="Calibri" w:hAnsi="Calibri"/>
          <w:color w:val="111827"/>
        </w:rPr>
        <w:t>Unauthenticated internal refinement is rejected.</w:t>
      </w:r>
    </w:p>
    <w:p>
      <w:pPr>
        <w:pStyle w:val="ListBullet"/>
        <w:spacing w:after="80" w:line="300" w:lineRule="auto"/>
        <w:ind w:left="540" w:hanging="271"/>
      </w:pPr>
      <w:r>
        <w:rPr>
          <w:rFonts w:ascii="Calibri" w:hAnsi="Calibri"/>
          <w:color w:val="111827"/>
        </w:rPr>
        <w:t>Registration, verification, login, refinement, usage accounting, and account deletion work end to end.</w:t>
      </w:r>
    </w:p>
    <w:p>
      <w:pPr>
        <w:pStyle w:val="ListBullet"/>
        <w:spacing w:after="80" w:line="300" w:lineRule="auto"/>
        <w:ind w:left="540" w:hanging="271"/>
      </w:pPr>
      <w:r>
        <w:rPr>
          <w:rFonts w:ascii="Calibri" w:hAnsi="Calibri"/>
          <w:color w:val="111827"/>
        </w:rPr>
        <w:t>Invalid Stripe signatures are rejected; billing integrations fail closed.</w:t>
      </w:r>
    </w:p>
    <w:p>
      <w:pPr>
        <w:pStyle w:val="ListBullet"/>
        <w:spacing w:after="80" w:line="300" w:lineRule="auto"/>
        <w:ind w:left="540" w:hanging="271"/>
      </w:pPr>
      <w:r>
        <w:rPr>
          <w:rFonts w:ascii="Calibri" w:hAnsi="Calibri"/>
          <w:color w:val="111827"/>
        </w:rPr>
        <w:t>Downloaded test APK hash equals its published sidecar.</w:t>
      </w:r>
    </w:p>
    <w:p>
      <w:pPr>
        <w:pStyle w:val="ListBullet"/>
        <w:spacing w:after="80" w:line="300" w:lineRule="auto"/>
        <w:ind w:left="540" w:hanging="271"/>
      </w:pPr>
      <w:r>
        <w:rPr>
          <w:rFonts w:ascii="Calibri" w:hAnsi="Calibri"/>
          <w:color w:val="111827"/>
        </w:rPr>
        <w:t>No secret or signing file is staged, committed, embedded, or printed in logs.</w:t>
      </w:r>
    </w:p>
    <w:p>
      <w:pPr>
        <w:pStyle w:val="Heading1"/>
      </w:pPr>
      <w:r>
        <w:t>8. Git and source-control practices</w:t>
      </w:r>
    </w:p>
    <w:p>
      <w:r>
        <w:rPr>
          <w:rFonts w:ascii="Calibri" w:hAnsi="Calibri"/>
          <w:color w:val="111827"/>
        </w:rPr>
        <w:t>The repository uses Git with an origin remote and currently works from main. The following are general delivery practices, not an instruction to push every local change automatically.</w:t>
      </w:r>
    </w:p>
    <w:p>
      <w:pPr>
        <w:pStyle w:val="Heading2"/>
      </w:pPr>
      <w:r>
        <w:t>Commit discipline</w:t>
      </w:r>
    </w:p>
    <w:p>
      <w:pPr>
        <w:pStyle w:val="ListBullet"/>
        <w:spacing w:after="80" w:line="300" w:lineRule="auto"/>
        <w:ind w:left="540" w:hanging="271"/>
      </w:pPr>
      <w:r>
        <w:rPr>
          <w:rFonts w:ascii="Calibri" w:hAnsi="Calibri"/>
          <w:color w:val="111827"/>
        </w:rPr>
        <w:t>Inspect git status before work and preserve unrelated user changes.</w:t>
      </w:r>
    </w:p>
    <w:p>
      <w:pPr>
        <w:pStyle w:val="ListBullet"/>
        <w:spacing w:after="80" w:line="300" w:lineRule="auto"/>
        <w:ind w:left="540" w:hanging="271"/>
      </w:pPr>
      <w:r>
        <w:rPr>
          <w:rFonts w:ascii="Calibri" w:hAnsi="Calibri"/>
          <w:color w:val="111827"/>
        </w:rPr>
        <w:t>Make the smallest coherent change and stage explicit paths rather than broad secret-prone patterns.</w:t>
      </w:r>
    </w:p>
    <w:p>
      <w:pPr>
        <w:pStyle w:val="ListBullet"/>
        <w:spacing w:after="80" w:line="300" w:lineRule="auto"/>
        <w:ind w:left="540" w:hanging="271"/>
      </w:pPr>
      <w:r>
        <w:rPr>
          <w:rFonts w:ascii="Calibri" w:hAnsi="Calibri"/>
          <w:color w:val="111827"/>
        </w:rPr>
        <w:t>Build and test before committing; use a concise message describing the outcome.</w:t>
      </w:r>
    </w:p>
    <w:p>
      <w:pPr>
        <w:pStyle w:val="ListBullet"/>
        <w:spacing w:after="80" w:line="300" w:lineRule="auto"/>
        <w:ind w:left="540" w:hanging="271"/>
      </w:pPr>
      <w:r>
        <w:rPr>
          <w:rFonts w:ascii="Calibri" w:hAnsi="Calibri"/>
          <w:color w:val="111827"/>
        </w:rPr>
        <w:t>Keep deployment keys, environment files, keystores, API credentials, local build caches, and artifacts excluded unless an artifact is intentionally versioned.</w:t>
      </w:r>
    </w:p>
    <w:p>
      <w:pPr>
        <w:pStyle w:val="ListBullet"/>
        <w:spacing w:after="80" w:line="300" w:lineRule="auto"/>
        <w:ind w:left="540" w:hanging="271"/>
      </w:pPr>
      <w:r>
        <w:rPr>
          <w:rFonts w:ascii="Calibri" w:hAnsi="Calibri"/>
          <w:color w:val="111827"/>
        </w:rPr>
        <w:t>Record source revision, artifact version, and deployed image tag together in release notes.</w:t>
      </w:r>
    </w:p>
    <w:p>
      <w:pPr>
        <w:pStyle w:val="Heading2"/>
      </w:pPr>
      <w:r>
        <w:t>Push discipline</w:t>
      </w:r>
    </w:p>
    <w:p>
      <w:pPr>
        <w:pStyle w:val="ListBullet"/>
        <w:spacing w:after="80" w:line="300" w:lineRule="auto"/>
        <w:ind w:left="540" w:hanging="271"/>
      </w:pPr>
      <w:r>
        <w:rPr>
          <w:rFonts w:ascii="Calibri" w:hAnsi="Calibri"/>
          <w:color w:val="111827"/>
        </w:rPr>
        <w:t>Fetch and check remote divergence before pushing.</w:t>
      </w:r>
    </w:p>
    <w:p>
      <w:pPr>
        <w:pStyle w:val="ListBullet"/>
        <w:spacing w:after="80" w:line="300" w:lineRule="auto"/>
        <w:ind w:left="540" w:hanging="271"/>
      </w:pPr>
      <w:r>
        <w:rPr>
          <w:rFonts w:ascii="Calibri" w:hAnsi="Calibri"/>
          <w:color w:val="111827"/>
        </w:rPr>
        <w:t>Push only the approved branch and verify that the remote contains the expected commit.</w:t>
      </w:r>
    </w:p>
    <w:p>
      <w:pPr>
        <w:pStyle w:val="ListBullet"/>
        <w:spacing w:after="80" w:line="300" w:lineRule="auto"/>
        <w:ind w:left="540" w:hanging="271"/>
      </w:pPr>
      <w:r>
        <w:rPr>
          <w:rFonts w:ascii="Calibri" w:hAnsi="Calibri"/>
          <w:color w:val="111827"/>
        </w:rPr>
        <w:t>Treat push, deployment, and store submission as separate completion states.</w:t>
      </w:r>
    </w:p>
    <w:p>
      <w:pPr>
        <w:pStyle w:val="ListBullet"/>
        <w:spacing w:after="80" w:line="300" w:lineRule="auto"/>
        <w:ind w:left="540" w:hanging="271"/>
      </w:pPr>
      <w:r>
        <w:rPr>
          <w:rFonts w:ascii="Calibri" w:hAnsi="Calibri"/>
          <w:color w:val="111827"/>
        </w:rPr>
        <w:t>Do not force-push shared branches or rewrite published history without explicit authorization and a recovery plan.</w:t>
      </w:r>
    </w:p>
    <w:p>
      <w:pPr>
        <w:pStyle w:val="ListBullet"/>
        <w:spacing w:after="80" w:line="300" w:lineRule="auto"/>
        <w:ind w:left="540" w:hanging="271"/>
      </w:pPr>
      <w:r>
        <w:rPr>
          <w:rFonts w:ascii="Calibri" w:hAnsi="Calibri"/>
          <w:color w:val="111827"/>
        </w:rPr>
        <w:t>After release, verify repository parity and report any remaining untracked local files without exposing their contents.</w:t>
      </w:r>
    </w:p>
    <w:p>
      <w:pPr>
        <w:pStyle w:val="Heading2"/>
      </w:pPr>
      <w:r>
        <w:t>Current automation boundary</w:t>
      </w:r>
    </w:p>
    <w:p>
      <w:r>
        <w:rPr>
          <w:rFonts w:ascii="Calibri" w:hAnsi="Calibri"/>
          <w:color w:val="111827"/>
        </w:rPr>
        <w:t>The repository contains repeatable PowerShell build scripts, Bash deployment scripts, health checks, and smoke tests. No checked-in GitHub Actions workflow was found in the current tree, so build, push, deployment, and store-upload orchestration should presently be considered operator-driven rather than a fully automated CI/CD pipeline.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FF5D9"/>
          </w:tcPr>
          <w:p>
            <w:pPr>
              <w:spacing w:after="0"/>
            </w:pPr>
            <w:r>
              <w:rPr>
                <w:rFonts w:ascii="Calibri" w:hAnsi="Calibri"/>
                <w:b/>
                <w:color w:val="1F4D78"/>
              </w:rPr>
              <w:t xml:space="preserve">Key distinction  </w:t>
            </w:r>
            <w:r>
              <w:rPr>
                <w:rFonts w:ascii="Calibri" w:hAnsi="Calibri"/>
                <w:color w:val="111827"/>
              </w:rPr>
              <w:t>A successful git push proves source availability in the remote repository. It does not prove that Docker images were built, servers were switched, health checks passed, or mobile stores accepted the release.</w:t>
            </w:r>
          </w:p>
        </w:tc>
      </w:tr>
    </w:tbl>
    <w:p>
      <w:pPr>
        <w:spacing w:after="0"/>
      </w:pPr>
    </w:p>
    <w:p>
      <w:pPr>
        <w:pStyle w:val="Heading1"/>
      </w:pPr>
      <w:r>
        <w:t>9. iPhone/iOS delivery roadmap</w:t>
      </w:r>
    </w:p>
    <w:p>
      <w:r>
        <w:rPr>
          <w:rFonts w:ascii="Calibri" w:hAnsi="Calibri"/>
          <w:color w:val="111827"/>
        </w:rPr>
        <w:t>The shared UI and net10.0-ios target provide a sound starting point, but commercial iPhone delivery needs Apple-specific implementation and operating procedures.</w:t>
      </w:r>
    </w:p>
    <w:p>
      <w:pPr>
        <w:pStyle w:val="Heading2"/>
      </w:pPr>
      <w:r>
        <w:t>Required design work</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cantSplit/>
        </w:trPr>
        <w:tc>
          <w:tcPr>
            <w:tcW w:type="dxa" w:w="2200"/>
            <w:shd w:fill="E8EEF5"/>
            <w:tcMar>
              <w:top w:w="80" w:type="dxa"/>
              <w:bottom w:w="80" w:type="dxa"/>
              <w:start w:w="120" w:type="dxa"/>
              <w:end w:w="120" w:type="dxa"/>
            </w:tcMar>
            <w:vAlign w:val="center"/>
          </w:tcPr>
          <w:p>
            <w:pPr>
              <w:spacing w:after="0"/>
            </w:pPr>
            <w:r>
              <w:rPr>
                <w:rFonts w:ascii="Calibri" w:hAnsi="Calibri"/>
                <w:b/>
                <w:color w:val="17233C"/>
                <w:sz w:val="17"/>
              </w:rPr>
              <w:t>Area</w:t>
            </w:r>
          </w:p>
        </w:tc>
        <w:tc>
          <w:tcPr>
            <w:tcW w:type="dxa" w:w="7160"/>
            <w:shd w:fill="E8EEF5"/>
            <w:tcMar>
              <w:top w:w="80" w:type="dxa"/>
              <w:bottom w:w="80" w:type="dxa"/>
              <w:start w:w="120" w:type="dxa"/>
              <w:end w:w="120" w:type="dxa"/>
            </w:tcMar>
            <w:vAlign w:val="center"/>
          </w:tcPr>
          <w:p>
            <w:pPr>
              <w:spacing w:after="0"/>
            </w:pPr>
            <w:r>
              <w:rPr>
                <w:rFonts w:ascii="Calibri" w:hAnsi="Calibri"/>
                <w:b/>
                <w:color w:val="17233C"/>
                <w:sz w:val="17"/>
              </w:rPr>
              <w:t>Required completion</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7"/>
              </w:rPr>
              <w:t>Build environment</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7"/>
              </w:rPr>
              <w:t>Mac build host or paired Mac, compatible Xcode, .NET 10 MAUI workload, reproducible restore/build procedure.</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7"/>
              </w:rPr>
              <w:t>Identity and signing</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7"/>
              </w:rPr>
              <w:t>Apple Developer team, bundle identifier confirmation, distribution certificate, provisioning profiles, protected credentials.</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7"/>
              </w:rPr>
              <w:t>Billing</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7"/>
              </w:rPr>
              <w:t>StoreKit in-app subscription service, product mapping, server-side App Store receipt/transaction verification, acknowledgement/entitlement reconciliation, purchase restoration, and subscription management link.</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7"/>
              </w:rPr>
              <w:t>Privacy</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7"/>
              </w:rPr>
              <w:t>iOS permission descriptions, microphone/speech-recognition disclosures, privacy manifest and App Privacy answers.</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7"/>
              </w:rPr>
              <w:t>Distribution</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7"/>
              </w:rPr>
              <w:t>Archive/export procedure, TestFlight groups, App Store Connect metadata/screenshots, review credentials, phased release and rollback/stop strategy.</w:t>
            </w:r>
          </w:p>
        </w:tc>
      </w:tr>
      <w:tr>
        <w:trPr>
          <w:cantSplit/>
        </w:trPr>
        <w:tc>
          <w:tcPr>
            <w:tcW w:type="dxa" w:w="2200"/>
            <w:tcMar>
              <w:top w:w="80" w:type="dxa"/>
              <w:bottom w:w="80" w:type="dxa"/>
              <w:start w:w="120" w:type="dxa"/>
              <w:end w:w="120" w:type="dxa"/>
            </w:tcMar>
            <w:vAlign w:val="center"/>
          </w:tcPr>
          <w:p>
            <w:pPr>
              <w:spacing w:after="0" w:line="259" w:lineRule="auto"/>
            </w:pPr>
            <w:r>
              <w:rPr>
                <w:rFonts w:ascii="Calibri" w:hAnsi="Calibri"/>
                <w:color w:val="111827"/>
                <w:sz w:val="17"/>
              </w:rPr>
              <w:t>Quality</w:t>
            </w:r>
          </w:p>
        </w:tc>
        <w:tc>
          <w:tcPr>
            <w:tcW w:type="dxa" w:w="7160"/>
            <w:tcMar>
              <w:top w:w="80" w:type="dxa"/>
              <w:bottom w:w="80" w:type="dxa"/>
              <w:start w:w="120" w:type="dxa"/>
              <w:end w:w="120" w:type="dxa"/>
            </w:tcMar>
            <w:vAlign w:val="center"/>
          </w:tcPr>
          <w:p>
            <w:pPr>
              <w:spacing w:after="0" w:line="259" w:lineRule="auto"/>
            </w:pPr>
            <w:r>
              <w:rPr>
                <w:rFonts w:ascii="Calibri" w:hAnsi="Calibri"/>
                <w:color w:val="111827"/>
                <w:sz w:val="17"/>
              </w:rPr>
              <w:t>Physical-device dictation, background/foreground, token storage, network loss, purchase, restore, cancellation, and account-deletion testing.</w:t>
            </w:r>
          </w:p>
        </w:tc>
      </w:tr>
    </w:tbl>
    <w:p>
      <w:pPr>
        <w:spacing w:after="0"/>
      </w:pPr>
    </w:p>
    <w:p>
      <w:pPr>
        <w:pStyle w:val="Heading2"/>
      </w:pPr>
      <w:r>
        <w:t>Recommended implementation boundary</w:t>
      </w:r>
    </w:p>
    <w:p>
      <w:r>
        <w:rPr>
          <w:rFonts w:ascii="Calibri" w:hAnsi="Calibri"/>
          <w:color w:val="111827"/>
        </w:rPr>
        <w:t>Keep Apple billing behind the existing IBillingService abstraction, as Android and web billing are today. The iOS client should pass Apple transaction evidence to Web01, and Web01 should verify it with Apple before changing the shared entitlement. The client must never directly grant itself Standard or Pro access.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bottom w:w="80" w:type="dxa"/>
              <w:start w:w="120" w:type="dxa"/>
              <w:end w:w="120" w:type="dxa"/>
            </w:tcMar>
            <w:vAlign w:val="center"/>
            <w:shd w:fill="FBEAEA"/>
          </w:tcPr>
          <w:p>
            <w:pPr>
              <w:spacing w:after="0"/>
            </w:pPr>
            <w:r>
              <w:rPr>
                <w:rFonts w:ascii="Calibri" w:hAnsi="Calibri"/>
                <w:b/>
                <w:color w:val="1F4D78"/>
              </w:rPr>
              <w:t xml:space="preserve">Do not infer release readiness  </w:t>
            </w:r>
            <w:r>
              <w:rPr>
                <w:rFonts w:ascii="Calibri" w:hAnsi="Calibri"/>
                <w:color w:val="111827"/>
              </w:rPr>
              <w:t>The presence of net10.0-ios in the project file means the code can be targeted for iOS; it does not mean the application is signed, TestFlight-ready, App Store-compliant, or equipped with Apple in-app purchasing.</w:t>
            </w:r>
          </w:p>
        </w:tc>
      </w:tr>
    </w:tbl>
    <w:p>
      <w:pPr>
        <w:spacing w:after="0"/>
      </w:pPr>
    </w:p>
    <w:p>
      <w:pPr>
        <w:pStyle w:val="Heading1"/>
      </w:pPr>
      <w:r>
        <w:t>10. Maintenance notes and source map</w:t>
      </w:r>
    </w:p>
    <w:p>
      <w:pPr>
        <w:pStyle w:val="Heading2"/>
      </w:pPr>
      <w:r>
        <w:t>Specifications that require deliberate upkeep</w:t>
      </w:r>
    </w:p>
    <w:p>
      <w:pPr>
        <w:pStyle w:val="ListBullet"/>
        <w:spacing w:after="80" w:line="300" w:lineRule="auto"/>
        <w:ind w:left="540" w:hanging="271"/>
      </w:pPr>
      <w:r>
        <w:rPr>
          <w:rFonts w:ascii="Calibri" w:hAnsi="Calibri"/>
          <w:color w:val="111827"/>
        </w:rPr>
        <w:t>Keep .NET, MAUI, ASP.NET Core, Stripe, Google API, and mobile billing package versions compatible and tested before upgrades.</w:t>
      </w:r>
    </w:p>
    <w:p>
      <w:pPr>
        <w:pStyle w:val="ListBullet"/>
        <w:spacing w:after="80" w:line="300" w:lineRule="auto"/>
        <w:ind w:left="540" w:hanging="271"/>
      </w:pPr>
      <w:r>
        <w:rPr>
          <w:rFonts w:ascii="Calibri" w:hAnsi="Calibri"/>
          <w:color w:val="111827"/>
        </w:rPr>
        <w:t>Reconcile documentation with project files when dependencies change. The current Android project pins Xamarin.Android.Google.BillingClient 8.0.0, while an operating note references Billing Library 9.1; the project file and resolved build assets are the implementation authority until intentionally updated.</w:t>
      </w:r>
    </w:p>
    <w:p>
      <w:pPr>
        <w:pStyle w:val="ListBullet"/>
        <w:spacing w:after="80" w:line="300" w:lineRule="auto"/>
        <w:ind w:left="540" w:hanging="271"/>
      </w:pPr>
      <w:r>
        <w:rPr>
          <w:rFonts w:ascii="Calibri" w:hAnsi="Calibri"/>
          <w:color w:val="111827"/>
        </w:rPr>
        <w:t>Increment mobile versions for every store upload and use unique server image tags, preferably incorporating date and commit identity.</w:t>
      </w:r>
    </w:p>
    <w:p>
      <w:pPr>
        <w:pStyle w:val="ListBullet"/>
        <w:spacing w:after="80" w:line="300" w:lineRule="auto"/>
        <w:ind w:left="540" w:hanging="271"/>
      </w:pPr>
      <w:r>
        <w:rPr>
          <w:rFonts w:ascii="Calibri" w:hAnsi="Calibri"/>
          <w:color w:val="111827"/>
        </w:rPr>
        <w:t>Preserve backward-compatible Web01/API01 contracts during staggered server deployment and mobile-client upgrade windows.</w:t>
      </w:r>
    </w:p>
    <w:p>
      <w:pPr>
        <w:pStyle w:val="ListBullet"/>
        <w:spacing w:after="80" w:line="300" w:lineRule="auto"/>
        <w:ind w:left="540" w:hanging="271"/>
      </w:pPr>
      <w:r>
        <w:rPr>
          <w:rFonts w:ascii="Calibri" w:hAnsi="Calibri"/>
          <w:color w:val="111827"/>
        </w:rPr>
        <w:t>Review Cloudflare/Nginx forwarding, private firewall restrictions, provider budgets, diagnostics, and rollback inventory regularly.</w:t>
      </w:r>
    </w:p>
    <w:p>
      <w:pPr>
        <w:pStyle w:val="Heading2"/>
      </w:pPr>
      <w:r>
        <w:t>Principal repository references</w:t>
      </w:r>
    </w:p>
    <w:p>
      <w:pPr>
        <w:pStyle w:val="ListBullet"/>
        <w:spacing w:after="80" w:line="300" w:lineRule="auto"/>
        <w:ind w:left="540" w:hanging="271"/>
      </w:pPr>
      <w:r>
        <w:rPr>
          <w:rFonts w:ascii="Calibri" w:hAnsi="Calibri"/>
          <w:color w:val="111827"/>
        </w:rPr>
        <w:t>README.md and ClearlySaid.sln — architecture and solution membership</w:t>
      </w:r>
    </w:p>
    <w:p>
      <w:pPr>
        <w:pStyle w:val="ListBullet"/>
        <w:spacing w:after="80" w:line="300" w:lineRule="auto"/>
        <w:ind w:left="540" w:hanging="271"/>
      </w:pPr>
      <w:r>
        <w:rPr>
          <w:rFonts w:ascii="Calibri" w:hAnsi="Calibri"/>
          <w:color w:val="111827"/>
        </w:rPr>
        <w:t>src/ClearlySaid.Shared/ClearlySaid.Shared.csproj — shared Razor target</w:t>
      </w:r>
    </w:p>
    <w:p>
      <w:pPr>
        <w:pStyle w:val="ListBullet"/>
        <w:spacing w:after="80" w:line="300" w:lineRule="auto"/>
        <w:ind w:left="540" w:hanging="271"/>
      </w:pPr>
      <w:r>
        <w:rPr>
          <w:rFonts w:ascii="Calibri" w:hAnsi="Calibri"/>
          <w:color w:val="111827"/>
        </w:rPr>
        <w:t>src/ClearlySaid.Web/ClearlySaid.Web.csproj and Program.cs — public host and policy gateway</w:t>
      </w:r>
    </w:p>
    <w:p>
      <w:pPr>
        <w:pStyle w:val="ListBullet"/>
        <w:spacing w:after="80" w:line="300" w:lineRule="auto"/>
        <w:ind w:left="540" w:hanging="271"/>
      </w:pPr>
      <w:r>
        <w:rPr>
          <w:rFonts w:ascii="Calibri" w:hAnsi="Calibri"/>
          <w:color w:val="111827"/>
        </w:rPr>
        <w:t>src/ClearlySaid.Api/ClearlySaid.Api.csproj and Program.cs — private model router</w:t>
      </w:r>
    </w:p>
    <w:p>
      <w:pPr>
        <w:pStyle w:val="ListBullet"/>
        <w:spacing w:after="80" w:line="300" w:lineRule="auto"/>
        <w:ind w:left="540" w:hanging="271"/>
      </w:pPr>
      <w:r>
        <w:rPr>
          <w:rFonts w:ascii="Calibri" w:hAnsi="Calibri"/>
          <w:color w:val="111827"/>
        </w:rPr>
        <w:t>src/ClearlySaid.App/ClearlySaid.App.csproj, MauiProgram.cs, MainPage.xaml, and AppSettings.cs — mobile targets and host design</w:t>
      </w:r>
    </w:p>
    <w:p>
      <w:pPr>
        <w:pStyle w:val="ListBullet"/>
        <w:spacing w:after="80" w:line="300" w:lineRule="auto"/>
        <w:ind w:left="540" w:hanging="271"/>
      </w:pPr>
      <w:r>
        <w:rPr>
          <w:rFonts w:ascii="Calibri" w:hAnsi="Calibri"/>
          <w:color w:val="111827"/>
        </w:rPr>
        <w:t>Dockerfile.web01 and Dockerfile.api01 — .NET 10 container builds</w:t>
      </w:r>
    </w:p>
    <w:p>
      <w:pPr>
        <w:pStyle w:val="ListBullet"/>
        <w:spacing w:after="80" w:line="300" w:lineRule="auto"/>
        <w:ind w:left="540" w:hanging="271"/>
      </w:pPr>
      <w:r>
        <w:rPr>
          <w:rFonts w:ascii="Calibri" w:hAnsi="Calibri"/>
          <w:color w:val="111827"/>
        </w:rPr>
        <w:t>scripts/Publish-*.ps1 and scripts/deploy-*-release.sh — publish and deployment mechanics</w:t>
      </w:r>
    </w:p>
    <w:p>
      <w:pPr>
        <w:pStyle w:val="ListBullet"/>
        <w:spacing w:after="80" w:line="300" w:lineRule="auto"/>
        <w:ind w:left="540" w:hanging="271"/>
      </w:pPr>
      <w:r>
        <w:rPr>
          <w:rFonts w:ascii="Calibri" w:hAnsi="Calibri"/>
          <w:color w:val="111827"/>
        </w:rPr>
        <w:t>scripts/smoke-test-release.sh and verification scripts — release validation</w:t>
      </w:r>
    </w:p>
    <w:p>
      <w:pPr>
        <w:pStyle w:val="ListBullet"/>
        <w:spacing w:after="80" w:line="300" w:lineRule="auto"/>
        <w:ind w:left="540" w:hanging="271"/>
      </w:pPr>
      <w:r>
        <w:rPr>
          <w:rFonts w:ascii="Calibri" w:hAnsi="Calibri"/>
          <w:color w:val="111827"/>
        </w:rPr>
        <w:t>docs/Web01-Deployment.md, docs/Api01-Deployment.md, docs/Android-Testing.md, and docs/Google-Play-Release.md — operating procedures</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675"/>
        <w:sz w:val="17"/>
      </w:rPr>
      <w:t xml:space="preserve">ClearlySaid  •  Internal technical specification  •  August 19,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C6675"/>
        <w:sz w:val="17"/>
      </w:rPr>
      <w:t>ClearlySaid | Technical Design &amp; Delivery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ClearlySaid Technical Design, Build, Deployment, and Release Guide</dc:title>
  <dc:subject>Technical architecture and engineering delivery specification</dc:subject>
  <dc:creator>ClearlySaid</dc:creator>
  <cp:keywords>ClearlySaid, .NET 10, MAUI, Blazor Hybrid, Android, iOS, deployment, release, Git</cp:keywords>
  <dc:description>generated by python-docx</dc:description>
  <cp:lastModifiedBy/>
  <cp:revision>1</cp:revision>
  <dcterms:created xsi:type="dcterms:W3CDTF">2013-12-23T23:15:00Z</dcterms:created>
  <dcterms:modified xsi:type="dcterms:W3CDTF">2013-12-23T23:15:00Z</dcterms:modified>
  <cp:category/>
</cp:coreProperties>
</file>