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1592" w14:textId="77777777" w:rsidR="0040795D" w:rsidRDefault="0040795D" w:rsidP="0040795D">
      <w:pPr>
        <w:widowControl w:val="0"/>
        <w:autoSpaceDE w:val="0"/>
        <w:autoSpaceDN w:val="0"/>
        <w:adjustRightInd w:val="0"/>
        <w:ind w:left="720"/>
        <w:contextualSpacing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THE HOUSING FINANCIAL DISCRIMINATION ACT OF 1977</w:t>
      </w:r>
    </w:p>
    <w:p w14:paraId="345D5E77" w14:textId="77777777" w:rsidR="0040795D" w:rsidRDefault="0040795D" w:rsidP="0040795D">
      <w:pPr>
        <w:widowControl w:val="0"/>
        <w:autoSpaceDE w:val="0"/>
        <w:autoSpaceDN w:val="0"/>
        <w:adjustRightInd w:val="0"/>
        <w:ind w:left="720"/>
        <w:contextualSpacing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FAIR LENDING NOTICE</w:t>
      </w:r>
    </w:p>
    <w:p w14:paraId="7CFDC3E8" w14:textId="77777777" w:rsidR="0040795D" w:rsidRDefault="0040795D" w:rsidP="0040795D">
      <w:pPr>
        <w:widowControl w:val="0"/>
        <w:autoSpaceDE w:val="0"/>
        <w:autoSpaceDN w:val="0"/>
        <w:adjustRightInd w:val="0"/>
        <w:ind w:left="720"/>
        <w:contextualSpacing/>
        <w:jc w:val="center"/>
        <w:rPr>
          <w:rFonts w:cs="Times New Roman"/>
          <w:b/>
          <w:bCs/>
        </w:rPr>
      </w:pPr>
    </w:p>
    <w:p w14:paraId="2E51A2D4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It is illegal to discriminate </w:t>
      </w:r>
      <w:proofErr w:type="gramStart"/>
      <w:r>
        <w:rPr>
          <w:rFonts w:cs="Times New Roman"/>
          <w:b/>
          <w:bCs/>
        </w:rPr>
        <w:t>in</w:t>
      </w:r>
      <w:proofErr w:type="gramEnd"/>
      <w:r>
        <w:rPr>
          <w:rFonts w:cs="Times New Roman"/>
          <w:b/>
          <w:bCs/>
        </w:rPr>
        <w:t xml:space="preserve"> the provision of or in the availability of financial assistance because of the consideration of:</w:t>
      </w:r>
    </w:p>
    <w:p w14:paraId="0CE06920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</w:p>
    <w:p w14:paraId="182D9664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  <w:r>
        <w:rPr>
          <w:rFonts w:cs="Times New Roman"/>
          <w:b/>
          <w:bCs/>
        </w:rPr>
        <w:t>1</w:t>
      </w:r>
      <w:proofErr w:type="gramStart"/>
      <w:r>
        <w:rPr>
          <w:rFonts w:cs="Times New Roman"/>
          <w:b/>
          <w:bCs/>
        </w:rPr>
        <w:t>.  Trends</w:t>
      </w:r>
      <w:proofErr w:type="gramEnd"/>
      <w:r>
        <w:rPr>
          <w:rFonts w:cs="Times New Roman"/>
          <w:b/>
          <w:bCs/>
        </w:rPr>
        <w:t xml:space="preserve">, characteristics or conditions in the neighborhood or geographic area surrounding </w:t>
      </w:r>
      <w:proofErr w:type="gramStart"/>
      <w:r>
        <w:rPr>
          <w:rFonts w:cs="Times New Roman"/>
          <w:b/>
          <w:bCs/>
        </w:rPr>
        <w:t>a housing</w:t>
      </w:r>
      <w:proofErr w:type="gramEnd"/>
      <w:r>
        <w:rPr>
          <w:rFonts w:cs="Times New Roman"/>
          <w:b/>
          <w:bCs/>
        </w:rPr>
        <w:t xml:space="preserve"> accommodation, unless the financial institution can demonstrate in the </w:t>
      </w:r>
      <w:proofErr w:type="gramStart"/>
      <w:r>
        <w:rPr>
          <w:rFonts w:cs="Times New Roman"/>
          <w:b/>
          <w:bCs/>
        </w:rPr>
        <w:t>particular case</w:t>
      </w:r>
      <w:proofErr w:type="gramEnd"/>
      <w:r>
        <w:rPr>
          <w:rFonts w:cs="Times New Roman"/>
          <w:b/>
          <w:bCs/>
        </w:rPr>
        <w:t xml:space="preserve"> that such consideration is required to avoid an unsafe and unsound business practice: or</w:t>
      </w:r>
    </w:p>
    <w:p w14:paraId="27EF42C9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</w:p>
    <w:p w14:paraId="20E1E54C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2.  Race, color, religion, sex, marital status, domestic partnership, national origin or ancestry.  It is illegal to consider the racial, ethnic, religious or national origin composition of a neighborhood or geographic area surrounding a housing accommodation or </w:t>
      </w:r>
      <w:proofErr w:type="gramStart"/>
      <w:r>
        <w:rPr>
          <w:rFonts w:cs="Times New Roman"/>
          <w:b/>
          <w:bCs/>
        </w:rPr>
        <w:t>whether or not</w:t>
      </w:r>
      <w:proofErr w:type="gramEnd"/>
      <w:r>
        <w:rPr>
          <w:rFonts w:cs="Times New Roman"/>
          <w:b/>
          <w:bCs/>
        </w:rPr>
        <w:t xml:space="preserve"> such composition is undergoing change, or is expected to undergo change, in appraising a housing accommodation or in determining </w:t>
      </w:r>
      <w:proofErr w:type="gramStart"/>
      <w:r>
        <w:rPr>
          <w:rFonts w:cs="Times New Roman"/>
          <w:b/>
          <w:bCs/>
        </w:rPr>
        <w:t>whether or not</w:t>
      </w:r>
      <w:proofErr w:type="gramEnd"/>
      <w:r>
        <w:rPr>
          <w:rFonts w:cs="Times New Roman"/>
          <w:b/>
          <w:bCs/>
        </w:rPr>
        <w:t>, or under what terms and conditions, to provide financial assistance.</w:t>
      </w:r>
    </w:p>
    <w:p w14:paraId="15266B01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</w:p>
    <w:p w14:paraId="7DE3C965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These provisions govern financial assistance for the purpose of the purchase, construction, rehabilitation or refinancing of one- to four-unit family residences occupied by the owner and for the purpose of the home improvement of </w:t>
      </w:r>
      <w:proofErr w:type="gramStart"/>
      <w:r>
        <w:rPr>
          <w:rFonts w:cs="Times New Roman"/>
          <w:b/>
          <w:bCs/>
        </w:rPr>
        <w:t>any one</w:t>
      </w:r>
      <w:proofErr w:type="gramEnd"/>
      <w:r>
        <w:rPr>
          <w:rFonts w:cs="Times New Roman"/>
          <w:b/>
          <w:bCs/>
        </w:rPr>
        <w:t>- to four-unit family residence.</w:t>
      </w:r>
    </w:p>
    <w:p w14:paraId="26B22533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</w:p>
    <w:p w14:paraId="1B49D299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  <w:r>
        <w:rPr>
          <w:rFonts w:cs="Times New Roman"/>
          <w:b/>
          <w:bCs/>
        </w:rPr>
        <w:t>If you have any questions about your rights, or if you wish to file a complaint, contact the management of this financial institution or the Department of Financial Protection and Innovation at one of the following locations:</w:t>
      </w:r>
    </w:p>
    <w:p w14:paraId="7A20EC7A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rPr>
          <w:rFonts w:cs="Times New Roman"/>
          <w:b/>
          <w:bCs/>
        </w:rPr>
      </w:pPr>
    </w:p>
    <w:p w14:paraId="5C1D0DAA" w14:textId="77777777" w:rsidR="0040795D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</w:pP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>300 S. Spring Street, Suite 15513</w:t>
      </w: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ab/>
      </w: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ab/>
        <w:t>One Sansome Street, Suite 600</w:t>
      </w:r>
    </w:p>
    <w:p w14:paraId="61A20AA6" w14:textId="77777777" w:rsidR="0040795D" w:rsidRPr="00414C1B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</w:pP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 xml:space="preserve">Los </w:t>
      </w:r>
      <w:proofErr w:type="spellStart"/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>Angeles</w:t>
      </w:r>
      <w:proofErr w:type="spellEnd"/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>, CA 90013-1259</w:t>
      </w: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ab/>
      </w: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ab/>
        <w:t>San Francisco, CA 94104-4428</w:t>
      </w:r>
    </w:p>
    <w:p w14:paraId="207F5E9E" w14:textId="77777777" w:rsidR="0040795D" w:rsidRPr="00414C1B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</w:pPr>
    </w:p>
    <w:p w14:paraId="515DA4D8" w14:textId="77777777" w:rsidR="0040795D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</w:pP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 xml:space="preserve">320 West 4th Street, Suite 750 </w:t>
      </w: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ab/>
      </w: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ab/>
        <w:t>1455 Frazee Road, Suite 315</w:t>
      </w:r>
    </w:p>
    <w:p w14:paraId="1089DD52" w14:textId="77777777" w:rsidR="0040795D" w:rsidRPr="00414C1B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</w:pP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 xml:space="preserve">Los </w:t>
      </w:r>
      <w:proofErr w:type="spellStart"/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>Angeles</w:t>
      </w:r>
      <w:proofErr w:type="spellEnd"/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>, CA 90013-2344</w:t>
      </w: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ab/>
      </w:r>
      <w:r w:rsidRPr="00414C1B"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  <w:tab/>
        <w:t>San Diego, CA 92108</w:t>
      </w:r>
    </w:p>
    <w:p w14:paraId="13FC4704" w14:textId="77777777" w:rsidR="0040795D" w:rsidRPr="00414C1B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  <w:lang w:val="es-ES"/>
        </w:rPr>
      </w:pPr>
    </w:p>
    <w:p w14:paraId="503D2F15" w14:textId="77777777" w:rsidR="0040795D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</w:pP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>2101 Arena Boulevard</w:t>
      </w:r>
    </w:p>
    <w:p w14:paraId="56440F2C" w14:textId="77777777" w:rsidR="0040795D" w:rsidRDefault="0040795D" w:rsidP="0040795D">
      <w:pPr>
        <w:widowControl w:val="0"/>
        <w:autoSpaceDE w:val="0"/>
        <w:autoSpaceDN w:val="0"/>
        <w:adjustRightInd w:val="0"/>
        <w:ind w:left="1440"/>
        <w:contextualSpacing/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</w:pPr>
      <w:r>
        <w:rPr>
          <w:rFonts w:ascii="Times New Roman Bold" w:hAnsi="Times New Roman Bold" w:cs="Times New Roman"/>
          <w:b/>
          <w:bCs/>
          <w:snapToGrid w:val="0"/>
          <w:sz w:val="20"/>
          <w:szCs w:val="20"/>
        </w:rPr>
        <w:t>Sacramento, CA 95834</w:t>
      </w:r>
    </w:p>
    <w:p w14:paraId="0C06DCF6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pacing w:val="24"/>
        </w:rPr>
      </w:pPr>
    </w:p>
    <w:p w14:paraId="7E5771E6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pacing w:val="24"/>
        </w:rPr>
      </w:pPr>
      <w:r>
        <w:rPr>
          <w:rFonts w:cs="Times New Roman"/>
          <w:b/>
          <w:bCs/>
          <w:snapToGrid w:val="0"/>
          <w:spacing w:val="24"/>
        </w:rPr>
        <w:t>ACKNOWLEDGMENT OF RECEIPT</w:t>
      </w:r>
    </w:p>
    <w:p w14:paraId="7BB98F05" w14:textId="77777777" w:rsidR="0040795D" w:rsidRDefault="0040795D" w:rsidP="0040795D">
      <w:pPr>
        <w:widowControl w:val="0"/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snapToGrid w:val="0"/>
          <w:spacing w:val="24"/>
        </w:rPr>
      </w:pPr>
    </w:p>
    <w:p w14:paraId="18B0A66F" w14:textId="77777777" w:rsidR="0040795D" w:rsidRDefault="0040795D" w:rsidP="0040795D">
      <w:pPr>
        <w:pStyle w:val="Form"/>
        <w:ind w:firstLine="0"/>
        <w:contextualSpacing/>
        <w:jc w:val="both"/>
        <w:rPr>
          <w:rFonts w:ascii="Times New Roman" w:hAnsi="Times New Roman"/>
          <w:snapToGrid w:val="0"/>
          <w:sz w:val="22"/>
          <w:szCs w:val="22"/>
        </w:rPr>
      </w:pPr>
      <w:r>
        <w:rPr>
          <w:rFonts w:ascii="Times New Roman" w:hAnsi="Times New Roman"/>
          <w:snapToGrid w:val="0"/>
          <w:sz w:val="22"/>
          <w:szCs w:val="22"/>
        </w:rPr>
        <w:t>The undersigned have executed this Notice as of February 21, 2025</w:t>
      </w:r>
    </w:p>
    <w:p w14:paraId="4BEDAE4A" w14:textId="77777777" w:rsidR="0040795D" w:rsidRDefault="0040795D" w:rsidP="0040795D">
      <w:pPr>
        <w:pStyle w:val="Form"/>
        <w:ind w:firstLine="0"/>
        <w:contextualSpacing/>
        <w:jc w:val="both"/>
        <w:rPr>
          <w:rFonts w:ascii="Times New Roman" w:hAnsi="Times New Roman"/>
          <w:snapToGrid w:val="0"/>
          <w:sz w:val="22"/>
          <w:szCs w:val="22"/>
        </w:rPr>
      </w:pPr>
    </w:p>
    <w:p w14:paraId="78442F09" w14:textId="77777777" w:rsidR="0040795D" w:rsidRDefault="0040795D" w:rsidP="0040795D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</w:t>
      </w:r>
      <w:r w:rsidRPr="00D6621F">
        <w:rPr>
          <w:rFonts w:ascii="Times New Roman Bold" w:hAnsi="Times New Roman Bold"/>
          <w:b/>
          <w:bCs/>
          <w:smallCaps/>
          <w:highlight w:val="yellow"/>
        </w:rPr>
        <w:t>Borrower entity name], a(n) [Borrower organized state] [Borrower Entity Type]</w:t>
      </w:r>
    </w:p>
    <w:p w14:paraId="6ACD6A85" w14:textId="77777777" w:rsidR="0040795D" w:rsidRDefault="0040795D" w:rsidP="0040795D">
      <w:pPr>
        <w:tabs>
          <w:tab w:val="right" w:pos="9360"/>
        </w:tabs>
        <w:jc w:val="left"/>
        <w:rPr>
          <w:u w:val="single"/>
        </w:rPr>
      </w:pPr>
    </w:p>
    <w:p w14:paraId="657C7310" w14:textId="77777777" w:rsidR="0040795D" w:rsidRDefault="0040795D" w:rsidP="0040795D">
      <w:pPr>
        <w:tabs>
          <w:tab w:val="right" w:pos="9360"/>
        </w:tabs>
        <w:ind w:left="450" w:hanging="450"/>
        <w:jc w:val="left"/>
      </w:pPr>
      <w:commentRangeStart w:id="0"/>
      <w:r>
        <w:t>By:  _________________________________________</w:t>
      </w:r>
      <w:r>
        <w:br/>
      </w:r>
      <w:r w:rsidRPr="00D6621F">
        <w:rPr>
          <w:highlight w:val="yellow"/>
        </w:rPr>
        <w:t>[Authorized Signatory 1 Full Name], [Authorized Signatory 1 Title]</w:t>
      </w:r>
      <w:commentRangeEnd w:id="0"/>
      <w:r w:rsidRPr="00D6621F">
        <w:rPr>
          <w:rStyle w:val="CommentReference"/>
          <w:rFonts w:ascii="Arial" w:eastAsia="Times New Roman" w:hAnsi="Arial" w:cs="Times New Roman"/>
          <w:highlight w:val="yellow"/>
        </w:rPr>
        <w:commentReference w:id="0"/>
      </w:r>
    </w:p>
    <w:p w14:paraId="2B80EDC0" w14:textId="77777777" w:rsidR="007F792A" w:rsidRDefault="007F792A"/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4:38:00Z" w:initials="AG">
    <w:p w14:paraId="72572BAA" w14:textId="77777777" w:rsidR="0040795D" w:rsidRDefault="0040795D" w:rsidP="0040795D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572B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7FEE7C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572BAA" w16cid:durableId="5E7FEE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5D"/>
    <w:rsid w:val="002E282F"/>
    <w:rsid w:val="0040795D"/>
    <w:rsid w:val="007C5EF7"/>
    <w:rsid w:val="007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6ACF"/>
  <w15:chartTrackingRefBased/>
  <w15:docId w15:val="{E65F546A-5416-43E1-9748-8FB28B80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95D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95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95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95D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95D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95D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95D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95D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95D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95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95D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95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95D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95D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95D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95D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40795D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40795D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0795D"/>
    <w:rPr>
      <w:sz w:val="16"/>
      <w:szCs w:val="16"/>
    </w:rPr>
  </w:style>
  <w:style w:type="paragraph" w:customStyle="1" w:styleId="Form">
    <w:name w:val="Form:"/>
    <w:link w:val="FormChar"/>
    <w:rsid w:val="0040795D"/>
    <w:pPr>
      <w:spacing w:after="0" w:line="240" w:lineRule="auto"/>
      <w:ind w:firstLine="240"/>
    </w:pPr>
    <w:rPr>
      <w:rFonts w:ascii="Arial" w:eastAsia="Times New Roman" w:hAnsi="Arial" w:cs="Times New Roman"/>
      <w:kern w:val="0"/>
      <w:szCs w:val="20"/>
      <w14:ligatures w14:val="none"/>
    </w:rPr>
  </w:style>
  <w:style w:type="character" w:customStyle="1" w:styleId="FormChar">
    <w:name w:val="Form: Char"/>
    <w:basedOn w:val="DefaultParagraphFont"/>
    <w:link w:val="Form"/>
    <w:rsid w:val="0040795D"/>
    <w:rPr>
      <w:rFonts w:ascii="Arial" w:eastAsia="Times New Roman" w:hAnsi="Arial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1</cp:revision>
  <dcterms:created xsi:type="dcterms:W3CDTF">2025-05-10T21:18:00Z</dcterms:created>
  <dcterms:modified xsi:type="dcterms:W3CDTF">2025-05-10T21:18:00Z</dcterms:modified>
</cp:coreProperties>
</file>