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D5FC2" w14:textId="77777777" w:rsidR="00B37C6B" w:rsidRDefault="00B37C6B" w:rsidP="00B37C6B">
      <w:pPr>
        <w:contextualSpacing/>
        <w:jc w:val="center"/>
        <w:rPr>
          <w:rFonts w:cs="Times New Roman"/>
          <w:b/>
        </w:rPr>
      </w:pPr>
      <w:r>
        <w:rPr>
          <w:rFonts w:cs="Times New Roman"/>
          <w:b/>
        </w:rPr>
        <w:t>ARBITRATION AND WAIVER OF RIGHT TO JURY TRIAL AGREEMENT</w:t>
      </w:r>
    </w:p>
    <w:p w14:paraId="689F5384" w14:textId="77777777" w:rsidR="00B37C6B" w:rsidRDefault="00B37C6B" w:rsidP="00B37C6B">
      <w:pPr>
        <w:contextualSpacing/>
        <w:rPr>
          <w:rFonts w:cs="Times New Roman"/>
        </w:rPr>
      </w:pPr>
    </w:p>
    <w:p w14:paraId="4353D814" w14:textId="77777777" w:rsidR="00B37C6B" w:rsidRDefault="00B37C6B" w:rsidP="00B37C6B">
      <w:pPr>
        <w:ind w:firstLine="720"/>
        <w:contextualSpacing/>
        <w:rPr>
          <w:rFonts w:cs="Times New Roman"/>
        </w:rPr>
      </w:pPr>
      <w:r>
        <w:rPr>
          <w:rFonts w:cs="Times New Roman"/>
        </w:rPr>
        <w:t xml:space="preserve">THIS ARBITRATION AND WAIVER OF RIGHT TO JURY TRIAL AGREEMENT (“Agreement”) is entered into as of </w:t>
      </w:r>
      <w:r>
        <w:rPr>
          <w:rFonts w:cs="Times New Roman"/>
          <w:bCs/>
        </w:rPr>
        <w:t>[</w:t>
      </w:r>
      <w:r w:rsidRPr="000C5E3C">
        <w:rPr>
          <w:rFonts w:cs="Times New Roman"/>
          <w:bCs/>
          <w:highlight w:val="yellow"/>
        </w:rPr>
        <w:t>Document Generated Date</w:t>
      </w:r>
      <w:r>
        <w:rPr>
          <w:rFonts w:cs="Times New Roman"/>
          <w:bCs/>
        </w:rPr>
        <w:t>]</w:t>
      </w:r>
      <w:r>
        <w:rPr>
          <w:rFonts w:cs="Times New Roman"/>
        </w:rPr>
        <w:t>, and is by and among [</w:t>
      </w:r>
      <w:r w:rsidRPr="000C5E3C">
        <w:rPr>
          <w:rFonts w:cs="Times New Roman"/>
          <w:highlight w:val="yellow"/>
        </w:rPr>
        <w:t>Borrower 1-5 Name</w:t>
      </w:r>
      <w:r>
        <w:rPr>
          <w:rFonts w:cs="Times New Roman"/>
        </w:rPr>
        <w:t>], a(n) [</w:t>
      </w:r>
      <w:r w:rsidRPr="000C5E3C">
        <w:rPr>
          <w:rFonts w:cs="Times New Roman"/>
          <w:highlight w:val="yellow"/>
        </w:rPr>
        <w:t>Borrower Organized State</w:t>
      </w:r>
      <w:r>
        <w:rPr>
          <w:rFonts w:cs="Times New Roman"/>
        </w:rPr>
        <w:t>] [</w:t>
      </w:r>
      <w:r w:rsidRPr="000C5E3C">
        <w:rPr>
          <w:rFonts w:cs="Times New Roman"/>
          <w:highlight w:val="yellow"/>
        </w:rPr>
        <w:t>Borrower Entity Type</w:t>
      </w:r>
      <w:r>
        <w:rPr>
          <w:rFonts w:cs="Times New Roman"/>
        </w:rPr>
        <w:t xml:space="preserve">] (“Borrower”); </w:t>
      </w:r>
      <w:r w:rsidRPr="00F32A03">
        <w:rPr>
          <w:rFonts w:cs="Times New Roman"/>
          <w:highlight w:val="magenta"/>
        </w:rPr>
        <w:t>/// If Guarantor</w:t>
      </w:r>
      <w:r>
        <w:rPr>
          <w:rFonts w:cs="Times New Roman"/>
        </w:rPr>
        <w:t xml:space="preserve"> </w:t>
      </w:r>
      <w:r w:rsidRPr="000C5E3C">
        <w:rPr>
          <w:rFonts w:cs="Times New Roman"/>
          <w:highlight w:val="yellow"/>
        </w:rPr>
        <w:t>[Guarantor 1-5 Name], a(n) [Guarantor Organized State] [</w:t>
      </w:r>
      <w:proofErr w:type="spellStart"/>
      <w:r w:rsidRPr="000C5E3C">
        <w:rPr>
          <w:rFonts w:cs="Times New Roman"/>
          <w:highlight w:val="yellow"/>
        </w:rPr>
        <w:t>Gurantor</w:t>
      </w:r>
      <w:proofErr w:type="spellEnd"/>
      <w:r w:rsidRPr="000C5E3C">
        <w:rPr>
          <w:rFonts w:cs="Times New Roman"/>
          <w:highlight w:val="yellow"/>
        </w:rPr>
        <w:t xml:space="preserve"> Entity Type]</w:t>
      </w:r>
      <w:r>
        <w:rPr>
          <w:rFonts w:cs="Times New Roman"/>
        </w:rPr>
        <w:t xml:space="preserve"> (individually and collectively, “Guarantor”); and [</w:t>
      </w:r>
      <w:r w:rsidRPr="00F477AE">
        <w:rPr>
          <w:rFonts w:cs="Times New Roman"/>
          <w:highlight w:val="yellow"/>
        </w:rPr>
        <w:t>Lender 1-5 Name</w:t>
      </w:r>
      <w:r>
        <w:rPr>
          <w:rFonts w:cs="Times New Roman"/>
        </w:rPr>
        <w:t>], a(n) [</w:t>
      </w:r>
      <w:r w:rsidRPr="00F477AE">
        <w:rPr>
          <w:rFonts w:cs="Times New Roman"/>
          <w:highlight w:val="yellow"/>
        </w:rPr>
        <w:t>Lender Organized State</w:t>
      </w:r>
      <w:r>
        <w:rPr>
          <w:rFonts w:cs="Times New Roman"/>
        </w:rPr>
        <w:t>] [</w:t>
      </w:r>
      <w:r w:rsidRPr="00F477AE">
        <w:rPr>
          <w:rFonts w:cs="Times New Roman"/>
          <w:highlight w:val="yellow"/>
        </w:rPr>
        <w:t>Lender Entity Type</w:t>
      </w:r>
      <w:r>
        <w:rPr>
          <w:rFonts w:cs="Times New Roman"/>
        </w:rPr>
        <w:t>] (“Lender”).  Borrower, [</w:t>
      </w:r>
      <w:r w:rsidRPr="00F32A03">
        <w:rPr>
          <w:rFonts w:cs="Times New Roman"/>
          <w:highlight w:val="cyan"/>
        </w:rPr>
        <w:t>Guarantor</w:t>
      </w:r>
      <w:r>
        <w:rPr>
          <w:rFonts w:cs="Times New Roman"/>
        </w:rPr>
        <w:t>], and Lender are collectively referred to herein as “Parties” and individually as a “Party.”</w:t>
      </w:r>
    </w:p>
    <w:p w14:paraId="02954B0A" w14:textId="77777777" w:rsidR="00B37C6B" w:rsidRDefault="00B37C6B" w:rsidP="00B37C6B">
      <w:pPr>
        <w:contextualSpacing/>
        <w:rPr>
          <w:rFonts w:cs="Times New Roman"/>
        </w:rPr>
      </w:pPr>
    </w:p>
    <w:p w14:paraId="346C74F5" w14:textId="77777777" w:rsidR="00B37C6B" w:rsidRDefault="00B37C6B" w:rsidP="00B37C6B">
      <w:pPr>
        <w:contextualSpacing/>
        <w:jc w:val="center"/>
        <w:rPr>
          <w:rFonts w:cs="Times New Roman"/>
          <w:b/>
        </w:rPr>
      </w:pPr>
      <w:r>
        <w:rPr>
          <w:rFonts w:cs="Times New Roman"/>
          <w:b/>
        </w:rPr>
        <w:t>RECITALS</w:t>
      </w:r>
    </w:p>
    <w:p w14:paraId="3FCFA8EF" w14:textId="77777777" w:rsidR="00B37C6B" w:rsidRDefault="00B37C6B" w:rsidP="00B37C6B">
      <w:pPr>
        <w:contextualSpacing/>
        <w:rPr>
          <w:rFonts w:cs="Times New Roman"/>
        </w:rPr>
      </w:pPr>
    </w:p>
    <w:p w14:paraId="1C909FB5" w14:textId="77777777" w:rsidR="00B37C6B" w:rsidRDefault="00B37C6B" w:rsidP="00B37C6B">
      <w:pPr>
        <w:pStyle w:val="FormCen"/>
        <w:numPr>
          <w:ilvl w:val="0"/>
          <w:numId w:val="2"/>
        </w:numPr>
        <w:ind w:left="0" w:right="0" w:firstLine="0"/>
        <w:contextualSpacing/>
        <w:jc w:val="both"/>
        <w:rPr>
          <w:rFonts w:ascii="Times New Roman" w:hAnsi="Times New Roman"/>
          <w:sz w:val="22"/>
          <w:szCs w:val="22"/>
        </w:rPr>
      </w:pPr>
      <w:r>
        <w:rPr>
          <w:rFonts w:ascii="Times New Roman" w:hAnsi="Times New Roman"/>
          <w:sz w:val="22"/>
          <w:szCs w:val="22"/>
        </w:rPr>
        <w:t>Borrower has obtained or will obtain a mortgage loan from Lender as evidenced by that certain Loan and Security Agreement of even date, executed by Borrower (“Loan Agreement”) and that certain Secured Note of even date, executed by Borrower (“Note”), which are secured by the Collateral identified in the Loan Agreement.  The Loan Agreement, Note, any Security Instrument, and Security Agreements are collectively referred to herein as the “Loan Documents” which evidence the “Loan.”</w:t>
      </w:r>
    </w:p>
    <w:p w14:paraId="734BB625" w14:textId="77777777" w:rsidR="00B37C6B" w:rsidRPr="00822710" w:rsidRDefault="00B37C6B" w:rsidP="00B37C6B">
      <w:pPr>
        <w:pStyle w:val="Form"/>
        <w:ind w:firstLine="0"/>
      </w:pPr>
      <w:r w:rsidRPr="00822710">
        <w:rPr>
          <w:highlight w:val="magenta"/>
        </w:rPr>
        <w:t>//// If Guarantor</w:t>
      </w:r>
    </w:p>
    <w:p w14:paraId="3A97B003" w14:textId="77777777" w:rsidR="00B37C6B" w:rsidRDefault="00B37C6B" w:rsidP="00B37C6B">
      <w:pPr>
        <w:pStyle w:val="Form"/>
        <w:numPr>
          <w:ilvl w:val="0"/>
          <w:numId w:val="2"/>
        </w:numPr>
        <w:ind w:left="0" w:firstLine="0"/>
        <w:contextualSpacing/>
        <w:jc w:val="both"/>
        <w:rPr>
          <w:rFonts w:ascii="Times New Roman" w:hAnsi="Times New Roman"/>
          <w:sz w:val="22"/>
          <w:szCs w:val="22"/>
        </w:rPr>
      </w:pPr>
      <w:r>
        <w:rPr>
          <w:rFonts w:ascii="Times New Roman" w:hAnsi="Times New Roman"/>
          <w:sz w:val="22"/>
          <w:szCs w:val="22"/>
        </w:rPr>
        <w:t xml:space="preserve">To further induce </w:t>
      </w:r>
      <w:proofErr w:type="gramStart"/>
      <w:r>
        <w:rPr>
          <w:rFonts w:ascii="Times New Roman" w:hAnsi="Times New Roman"/>
          <w:sz w:val="22"/>
          <w:szCs w:val="22"/>
        </w:rPr>
        <w:t>Lender</w:t>
      </w:r>
      <w:proofErr w:type="gramEnd"/>
      <w:r>
        <w:rPr>
          <w:rFonts w:ascii="Times New Roman" w:hAnsi="Times New Roman"/>
          <w:sz w:val="22"/>
          <w:szCs w:val="22"/>
        </w:rPr>
        <w:t xml:space="preserve"> to make the Loan, </w:t>
      </w:r>
      <w:proofErr w:type="gramStart"/>
      <w:r>
        <w:rPr>
          <w:rFonts w:ascii="Times New Roman" w:hAnsi="Times New Roman"/>
          <w:sz w:val="22"/>
          <w:szCs w:val="22"/>
        </w:rPr>
        <w:t>Guarantor</w:t>
      </w:r>
      <w:proofErr w:type="gramEnd"/>
      <w:r>
        <w:rPr>
          <w:rFonts w:ascii="Times New Roman" w:hAnsi="Times New Roman"/>
          <w:sz w:val="22"/>
          <w:szCs w:val="22"/>
        </w:rPr>
        <w:t xml:space="preserve"> has delivered or will deliver to </w:t>
      </w:r>
      <w:proofErr w:type="gramStart"/>
      <w:r>
        <w:rPr>
          <w:rFonts w:ascii="Times New Roman" w:hAnsi="Times New Roman"/>
          <w:sz w:val="22"/>
          <w:szCs w:val="22"/>
        </w:rPr>
        <w:t>Lender</w:t>
      </w:r>
      <w:proofErr w:type="gramEnd"/>
      <w:r>
        <w:rPr>
          <w:rFonts w:ascii="Times New Roman" w:hAnsi="Times New Roman"/>
          <w:sz w:val="22"/>
          <w:szCs w:val="22"/>
        </w:rPr>
        <w:t xml:space="preserve"> a Guaranty guaranteeing </w:t>
      </w:r>
      <w:proofErr w:type="gramStart"/>
      <w:r>
        <w:rPr>
          <w:rFonts w:ascii="Times New Roman" w:hAnsi="Times New Roman"/>
          <w:sz w:val="22"/>
          <w:szCs w:val="22"/>
        </w:rPr>
        <w:t>Borrower’s</w:t>
      </w:r>
      <w:proofErr w:type="gramEnd"/>
      <w:r>
        <w:rPr>
          <w:rFonts w:ascii="Times New Roman" w:hAnsi="Times New Roman"/>
          <w:sz w:val="22"/>
          <w:szCs w:val="22"/>
        </w:rPr>
        <w:t xml:space="preserve"> performance on the Loan.</w:t>
      </w:r>
    </w:p>
    <w:p w14:paraId="4BC8490A" w14:textId="20D1F9D6" w:rsidR="006B0F43" w:rsidRDefault="006B0F43" w:rsidP="006B0F43">
      <w:pPr>
        <w:pStyle w:val="Form"/>
        <w:ind w:firstLine="0"/>
        <w:contextualSpacing/>
        <w:jc w:val="both"/>
        <w:rPr>
          <w:rFonts w:ascii="Times New Roman" w:hAnsi="Times New Roman"/>
          <w:sz w:val="22"/>
          <w:szCs w:val="22"/>
        </w:rPr>
      </w:pPr>
      <w:r w:rsidRPr="006B0F43">
        <w:rPr>
          <w:rFonts w:ascii="Times New Roman" w:hAnsi="Times New Roman"/>
          <w:sz w:val="22"/>
          <w:szCs w:val="22"/>
          <w:highlight w:val="magenta"/>
        </w:rPr>
        <w:t xml:space="preserve">//// End </w:t>
      </w:r>
      <w:proofErr w:type="gramStart"/>
      <w:r w:rsidRPr="006B0F43">
        <w:rPr>
          <w:rFonts w:ascii="Times New Roman" w:hAnsi="Times New Roman"/>
          <w:sz w:val="22"/>
          <w:szCs w:val="22"/>
          <w:highlight w:val="magenta"/>
        </w:rPr>
        <w:t>if</w:t>
      </w:r>
      <w:proofErr w:type="gramEnd"/>
      <w:r w:rsidRPr="006B0F43">
        <w:rPr>
          <w:rFonts w:ascii="Times New Roman" w:hAnsi="Times New Roman"/>
          <w:sz w:val="22"/>
          <w:szCs w:val="22"/>
          <w:highlight w:val="magenta"/>
        </w:rPr>
        <w:t xml:space="preserve"> Guarantor</w:t>
      </w:r>
    </w:p>
    <w:p w14:paraId="6848459E" w14:textId="77777777" w:rsidR="00B37C6B" w:rsidRDefault="00B37C6B" w:rsidP="00B37C6B">
      <w:pPr>
        <w:pStyle w:val="Form"/>
        <w:numPr>
          <w:ilvl w:val="0"/>
          <w:numId w:val="2"/>
        </w:numPr>
        <w:ind w:left="0" w:firstLine="0"/>
        <w:contextualSpacing/>
        <w:jc w:val="both"/>
        <w:rPr>
          <w:rFonts w:ascii="Times New Roman" w:hAnsi="Times New Roman"/>
          <w:sz w:val="22"/>
          <w:szCs w:val="22"/>
        </w:rPr>
      </w:pPr>
      <w:r>
        <w:rPr>
          <w:rFonts w:ascii="Times New Roman" w:hAnsi="Times New Roman"/>
          <w:sz w:val="22"/>
          <w:szCs w:val="22"/>
        </w:rPr>
        <w:t xml:space="preserve">All Parties wish to arbitrate </w:t>
      </w:r>
      <w:proofErr w:type="gramStart"/>
      <w:r>
        <w:rPr>
          <w:rFonts w:ascii="Times New Roman" w:hAnsi="Times New Roman"/>
          <w:sz w:val="22"/>
          <w:szCs w:val="22"/>
        </w:rPr>
        <w:t>any and all</w:t>
      </w:r>
      <w:proofErr w:type="gramEnd"/>
      <w:r>
        <w:rPr>
          <w:rFonts w:ascii="Times New Roman" w:hAnsi="Times New Roman"/>
          <w:sz w:val="22"/>
          <w:szCs w:val="22"/>
        </w:rPr>
        <w:t xml:space="preserve"> disputes among them that may arise out of the Loan.</w:t>
      </w:r>
    </w:p>
    <w:p w14:paraId="37A3B922" w14:textId="77777777" w:rsidR="00B37C6B" w:rsidRDefault="00B37C6B" w:rsidP="00B37C6B">
      <w:pPr>
        <w:contextualSpacing/>
        <w:rPr>
          <w:rFonts w:cs="Times New Roman"/>
        </w:rPr>
      </w:pPr>
    </w:p>
    <w:p w14:paraId="1F02150F" w14:textId="77777777" w:rsidR="00B37C6B" w:rsidRDefault="00B37C6B" w:rsidP="00B37C6B">
      <w:pPr>
        <w:contextualSpacing/>
        <w:jc w:val="center"/>
        <w:rPr>
          <w:rFonts w:cs="Times New Roman"/>
          <w:b/>
        </w:rPr>
      </w:pPr>
      <w:r>
        <w:rPr>
          <w:rFonts w:cs="Times New Roman"/>
          <w:b/>
        </w:rPr>
        <w:t>AGREEMENT</w:t>
      </w:r>
    </w:p>
    <w:p w14:paraId="2DEEB3C5" w14:textId="77777777" w:rsidR="00B37C6B" w:rsidRDefault="00B37C6B" w:rsidP="00B37C6B">
      <w:pPr>
        <w:pStyle w:val="DOTStart"/>
      </w:pPr>
    </w:p>
    <w:p w14:paraId="397365CF" w14:textId="77777777" w:rsidR="00B37C6B" w:rsidRDefault="00B37C6B" w:rsidP="00B37C6B">
      <w:pPr>
        <w:contextualSpacing/>
        <w:rPr>
          <w:rFonts w:cs="Times New Roman"/>
        </w:rPr>
      </w:pPr>
      <w:r>
        <w:rPr>
          <w:rFonts w:cs="Times New Roman"/>
        </w:rPr>
        <w:t xml:space="preserve">NOW, THEREFORE, in consideration of these Recitals and of the Lender agreeing to make the Loan to Borrower, and other valuable </w:t>
      </w:r>
      <w:proofErr w:type="gramStart"/>
      <w:r>
        <w:rPr>
          <w:rFonts w:cs="Times New Roman"/>
        </w:rPr>
        <w:t>consideration</w:t>
      </w:r>
      <w:proofErr w:type="gramEnd"/>
      <w:r>
        <w:rPr>
          <w:rFonts w:cs="Times New Roman"/>
        </w:rPr>
        <w:t>, the receipt and sufficiency of which is acknowledged, the Parties agree as follows:</w:t>
      </w:r>
    </w:p>
    <w:p w14:paraId="1B15767E" w14:textId="77777777" w:rsidR="00B37C6B" w:rsidRDefault="00B37C6B" w:rsidP="00B37C6B">
      <w:pPr>
        <w:pStyle w:val="DOTList1"/>
      </w:pPr>
      <w:r>
        <w:rPr>
          <w:b/>
          <w:u w:val="single"/>
        </w:rPr>
        <w:t xml:space="preserve">Mutual Agreement </w:t>
      </w:r>
      <w:proofErr w:type="gramStart"/>
      <w:r>
        <w:rPr>
          <w:b/>
          <w:u w:val="single"/>
        </w:rPr>
        <w:t>To</w:t>
      </w:r>
      <w:proofErr w:type="gramEnd"/>
      <w:r>
        <w:rPr>
          <w:b/>
          <w:u w:val="single"/>
        </w:rPr>
        <w:t xml:space="preserve"> Arbitrate Disputes</w:t>
      </w:r>
      <w:r>
        <w:rPr>
          <w:b/>
        </w:rPr>
        <w:t>.</w:t>
      </w:r>
      <w:r>
        <w:rPr>
          <w:i/>
        </w:rPr>
        <w:t xml:space="preserve">  </w:t>
      </w:r>
      <w:r>
        <w:t>The Parties agree that any Claim, as defined below, involving the Loan, including, but not limited to claims arising from the origination, documentation, disclosure, servicing, collection or any other aspect of the Loan transaction or the coverage or enforceability of this Agreement, shall be resolved exclusively by binding arbitration under the terms of this Agreement.  This Agreement shall also be binding on the agents, successors and assigns of the parties and the Loan.</w:t>
      </w:r>
    </w:p>
    <w:p w14:paraId="216F6D68" w14:textId="77777777" w:rsidR="00B37C6B" w:rsidRDefault="00B37C6B" w:rsidP="00B37C6B">
      <w:pPr>
        <w:pStyle w:val="DOTList1"/>
      </w:pPr>
      <w:r>
        <w:t xml:space="preserve">Claim Defined.  </w:t>
      </w:r>
    </w:p>
    <w:p w14:paraId="4AC4FA02" w14:textId="77777777" w:rsidR="00B37C6B" w:rsidRDefault="00B37C6B" w:rsidP="00B37C6B">
      <w:pPr>
        <w:ind w:firstLine="720"/>
        <w:contextualSpacing/>
        <w:rPr>
          <w:rFonts w:cs="Times New Roman"/>
        </w:rPr>
      </w:pPr>
      <w:r>
        <w:rPr>
          <w:rFonts w:cs="Times New Roman"/>
        </w:rPr>
        <w:t>2.1</w:t>
      </w:r>
      <w:r>
        <w:rPr>
          <w:rFonts w:cs="Times New Roman"/>
          <w:b/>
        </w:rPr>
        <w:tab/>
      </w:r>
      <w:r>
        <w:rPr>
          <w:rFonts w:cs="Times New Roman"/>
        </w:rPr>
        <w:t>“Claim” shall include, but not be limited, to:</w:t>
      </w:r>
    </w:p>
    <w:p w14:paraId="01B806A8" w14:textId="77777777" w:rsidR="00B37C6B" w:rsidRDefault="00B37C6B" w:rsidP="00B37C6B">
      <w:pPr>
        <w:ind w:firstLine="1440"/>
        <w:contextualSpacing/>
        <w:rPr>
          <w:rFonts w:cs="Times New Roman"/>
        </w:rPr>
      </w:pPr>
      <w:r>
        <w:rPr>
          <w:rFonts w:cs="Times New Roman"/>
        </w:rPr>
        <w:t xml:space="preserve">2.1.1.  </w:t>
      </w:r>
      <w:r>
        <w:rPr>
          <w:rFonts w:cs="Times New Roman"/>
        </w:rPr>
        <w:tab/>
        <w:t>Any claimed wrongdoing, such as misrepresentation, negligence, breach of contract, breach of fiduciary duty, unconscionability, fraud in the inducement, rescission, breach of the covenant of good faith and fair dealing and unfair business practices.</w:t>
      </w:r>
    </w:p>
    <w:p w14:paraId="0BE40C0A" w14:textId="77777777" w:rsidR="00B37C6B" w:rsidRDefault="00B37C6B" w:rsidP="00B37C6B">
      <w:pPr>
        <w:ind w:firstLine="1440"/>
        <w:contextualSpacing/>
        <w:rPr>
          <w:rFonts w:cs="Times New Roman"/>
        </w:rPr>
      </w:pPr>
      <w:r>
        <w:rPr>
          <w:rFonts w:cs="Times New Roman"/>
        </w:rPr>
        <w:t>2.1.2.  Any claimed violation of state or federal laws, including, but not limited to consumer credit, truth-in-lending, civil rights, equal opportunity, real estate settlement, housing discrimination laws, fair lending acts, licensing, loan regulation and unfair business practices.</w:t>
      </w:r>
    </w:p>
    <w:p w14:paraId="46AE872B" w14:textId="77777777" w:rsidR="00B37C6B" w:rsidRDefault="00B37C6B" w:rsidP="00B37C6B">
      <w:pPr>
        <w:ind w:firstLine="720"/>
        <w:contextualSpacing/>
        <w:rPr>
          <w:rFonts w:cs="Times New Roman"/>
        </w:rPr>
      </w:pPr>
      <w:r>
        <w:rPr>
          <w:rFonts w:cs="Times New Roman"/>
        </w:rPr>
        <w:t>2.2.</w:t>
      </w:r>
      <w:r>
        <w:rPr>
          <w:rFonts w:cs="Times New Roman"/>
        </w:rPr>
        <w:tab/>
        <w:t>“Claim” shall not include:</w:t>
      </w:r>
    </w:p>
    <w:p w14:paraId="30845B8C" w14:textId="77777777" w:rsidR="00B37C6B" w:rsidRDefault="00B37C6B" w:rsidP="00B37C6B">
      <w:pPr>
        <w:ind w:firstLine="1440"/>
        <w:contextualSpacing/>
        <w:rPr>
          <w:rFonts w:cs="Times New Roman"/>
        </w:rPr>
      </w:pPr>
      <w:r>
        <w:rPr>
          <w:rFonts w:cs="Times New Roman"/>
        </w:rPr>
        <w:t>2.2.1.</w:t>
      </w:r>
      <w:r>
        <w:rPr>
          <w:rFonts w:cs="Times New Roman"/>
        </w:rPr>
        <w:tab/>
        <w:t xml:space="preserve">Actions by the Lender to judicially or non-judicially foreclose on the Note and Security Instrument or any Security Agreements for the Loan, to </w:t>
      </w:r>
      <w:proofErr w:type="gramStart"/>
      <w:r>
        <w:rPr>
          <w:rFonts w:cs="Times New Roman"/>
        </w:rPr>
        <w:t>enjoin</w:t>
      </w:r>
      <w:proofErr w:type="gramEnd"/>
      <w:r>
        <w:rPr>
          <w:rFonts w:cs="Times New Roman"/>
        </w:rPr>
        <w:t xml:space="preserve"> waste, to collect rents, interpleader actions or actions for a receiver, to recover possession, ejectment or relief from the automatic stay in bankruptcy, or to obtain relief through </w:t>
      </w:r>
      <w:r>
        <w:rPr>
          <w:rFonts w:cs="Times New Roman"/>
          <w:spacing w:val="4"/>
        </w:rPr>
        <w:t>Governmental Authorities</w:t>
      </w:r>
      <w:r>
        <w:rPr>
          <w:rFonts w:cs="Times New Roman"/>
        </w:rPr>
        <w:t>.</w:t>
      </w:r>
    </w:p>
    <w:p w14:paraId="60B8D9BB" w14:textId="77777777" w:rsidR="00B37C6B" w:rsidRDefault="00B37C6B" w:rsidP="00B37C6B">
      <w:pPr>
        <w:ind w:firstLine="1440"/>
        <w:contextualSpacing/>
        <w:rPr>
          <w:rFonts w:cs="Times New Roman"/>
        </w:rPr>
      </w:pPr>
      <w:r>
        <w:rPr>
          <w:rFonts w:cs="Times New Roman"/>
        </w:rPr>
        <w:t>2.2.2.</w:t>
      </w:r>
      <w:r>
        <w:rPr>
          <w:rFonts w:cs="Times New Roman"/>
        </w:rPr>
        <w:tab/>
        <w:t>Actions for provisional remedies such as a temporary restraining order or preliminary injunction or for a permanent injunction based upon an arbitration award.</w:t>
      </w:r>
    </w:p>
    <w:p w14:paraId="2E85CCE7" w14:textId="77777777" w:rsidR="00B37C6B" w:rsidRDefault="00B37C6B" w:rsidP="00B37C6B">
      <w:pPr>
        <w:pStyle w:val="DOTList1"/>
        <w:rPr>
          <w:lang w:eastAsia="ja-JP"/>
        </w:rPr>
      </w:pPr>
      <w:r>
        <w:rPr>
          <w:b/>
          <w:spacing w:val="4"/>
          <w:u w:val="single"/>
        </w:rPr>
        <w:t>ARBITRATION OF DISPUTES</w:t>
      </w:r>
      <w:r>
        <w:rPr>
          <w:b/>
          <w:spacing w:val="4"/>
        </w:rPr>
        <w:t>.</w:t>
      </w:r>
      <w:r>
        <w:rPr>
          <w:spacing w:val="4"/>
        </w:rPr>
        <w:t xml:space="preserve">  </w:t>
      </w:r>
      <w:r>
        <w:t xml:space="preserve">TO THE EXTENT A PRE-DISPUTE WAIVER OF THE RIGHT TO TRIAL BY JURY IS NOT ENFORCEABLE UNDER APPLICABLE LAW, ANY AND ALL DISPUTES, CONTROVERSIES OR CLAIMS ARISING OUT OF OR RELATING TO THE LOAN </w:t>
      </w:r>
      <w:r>
        <w:lastRenderedPageBreak/>
        <w:t xml:space="preserve">DOCUMENTS OR TRANSACTIONS CONTEMPLATED THEREBY, INCLUDING, WITHOUT LIMITATION, THE MAKING, PERFORMANCE, OR INTERPRETATION OF THE LOAN DOCUMENTS, SHALL BE RESOLVED BY BINDING ARBITRATION.  UNLESS OTHERWISE AGREED ON, THE ARBITRATION SHALL BE CONDUCTED IN ACCORDANCE WITH THE THEN-CURRENT ARBITRATION PROCEDURES SET FORTH UNDER CALIFORNIA LAW.  JUDGMENT ON THE ARBITRATION AWARD MAY BE ENTERED IN ANY COURT HAVING JURISDICTION.  UNLESS OTHERWISE AGREED BY THE PARTIES, THE ARBITRATION SHALL BE HELD BEFORE A SINGLE ARBITRATOR SELECTED AS FOLLOWS: THE DISPUTING PARTIES SHALL, WITHIN TEN (10) BUSINESS DAYS FROM THE DATE ARBITRATION IS REQUESTED BY EITHER PARTY, AGREE UPON AN ARBITRATOR.  IF THE PARTIES CANNOT SO AGREE, THEN EACH PARTY, WITHIN FIVE (5) BUSINESS DAYS THEREAFTER, SHALL NAME AN ARBITRATOR WHO SHALL BE AN ATTORNEY LICENSED TO PRACTICE IN CALIFORNIA AND EXPERIENCED AND QUALIFIED IN REAL ESTATE MATTERS OF THE TYPE CONTEMPLATED BY THE LOAN DOCUMENTS OR A RETIRED CALIFORNIA SUPERIOR OR APPELLATE COURT JUDGE.  THOSE TWO NAMED ARBITRATORS SHALL THEN, WITHIN FIVE (5) BUSINESS DAYS, SELECT A THIRD ARBITRATOR WHO SHALL BE QUALIFIED AS DEFINED ABOVE, AND SUCH </w:t>
      </w:r>
      <w:proofErr w:type="gramStart"/>
      <w:r>
        <w:t>THIRD</w:t>
      </w:r>
      <w:proofErr w:type="gramEnd"/>
      <w:r>
        <w:t xml:space="preserve"> ARBITRATOR SHALL BE THE SOLE ARBITRATOR TO HEAR AND DETERMINE THE DISPUTE.  IF ANY PARTY HERETO FAILS TO NAME AN ARBITRATOR WITHIN THE TIME LIMIT PROVIDED IN THIS SECTION, THEN THE ARBITRATOR TIMELY NAMED BY THE OTHER PARTY SHALL HEAR AND DECIDE THE DISPUTE.  IF THE ARBITRATION IS COMMENCED, THE PARTIES AGREE TO PERMIT DISCOVERY PROCEEDINGS OF THE TYPE PROVIDED UNDER CALIFORNIA LAW BOTH IN ADVANCE OF, AND DURING RECESSES OF, THE ARBITRATION HEARINGS.  ALL FACTS AND OTHER INFORMATION RELATING TO ANY ARBITRATION ARISING UNDER THIS DECLARATION SHALL BE KEPT CONFIDENTIAL TO THE FULLEST EXTENT PERMITTED BY LAW.  </w:t>
      </w:r>
      <w:r>
        <w:rPr>
          <w:lang w:eastAsia="ja-JP"/>
        </w:rPr>
        <w:t xml:space="preserve">THE DECISION OF THE ARBITRATOR(S) SHALL FOLLOW THE LAW, SHALL BE RENDERED WITHIN TEN (10) BUSINESS DAYS FOLLOWING THE CONCLUSION OF THE ARBITRATION, AND SHALL BE SET FORTH IN A WRITTEN OPINION STATING THE FINDINGS OF </w:t>
      </w:r>
      <w:proofErr w:type="gramStart"/>
      <w:r>
        <w:rPr>
          <w:lang w:eastAsia="ja-JP"/>
        </w:rPr>
        <w:t>FACT</w:t>
      </w:r>
      <w:proofErr w:type="gramEnd"/>
      <w:r>
        <w:rPr>
          <w:lang w:eastAsia="ja-JP"/>
        </w:rPr>
        <w:t xml:space="preserve"> OF THE ARBITRATOR(S) AND LEGAL AUTHORITIES THAT ARE THE BASIS OF THE DECISION.  THE VENUE FOR </w:t>
      </w:r>
      <w:proofErr w:type="gramStart"/>
      <w:r>
        <w:rPr>
          <w:lang w:eastAsia="ja-JP"/>
        </w:rPr>
        <w:t>ANY SUCH</w:t>
      </w:r>
      <w:proofErr w:type="gramEnd"/>
      <w:r>
        <w:rPr>
          <w:lang w:eastAsia="ja-JP"/>
        </w:rPr>
        <w:t xml:space="preserve"> ARBITRATION SHALL BE </w:t>
      </w:r>
      <w:r>
        <w:t>SACRAMENTO COUNTY, CALIFORNIA</w:t>
      </w:r>
      <w:r>
        <w:rPr>
          <w:lang w:eastAsia="ja-JP"/>
        </w:rPr>
        <w:t>.</w:t>
      </w:r>
      <w:r>
        <w:t xml:space="preserve">  </w:t>
      </w:r>
      <w:r>
        <w:rPr>
          <w:lang w:eastAsia="ja-JP"/>
        </w:rPr>
        <w:t xml:space="preserve">THE COSTS OF THE ARBITRATOR SHALL BE SPLIT EQUALLY BY THE PARTIES BUT SHALL BE </w:t>
      </w:r>
      <w:proofErr w:type="gramStart"/>
      <w:r>
        <w:rPr>
          <w:lang w:eastAsia="ja-JP"/>
        </w:rPr>
        <w:t>A RECOVERABLE</w:t>
      </w:r>
      <w:proofErr w:type="gramEnd"/>
      <w:r>
        <w:rPr>
          <w:lang w:eastAsia="ja-JP"/>
        </w:rPr>
        <w:t xml:space="preserve"> COST FOR THE PARTY PREVAILING IN THE ARBITRATION.</w:t>
      </w:r>
    </w:p>
    <w:p w14:paraId="5E1277F5" w14:textId="77777777" w:rsidR="00B37C6B" w:rsidRDefault="00B37C6B" w:rsidP="00B37C6B">
      <w:pPr>
        <w:pStyle w:val="DOTList1"/>
      </w:pPr>
      <w:r>
        <w:rPr>
          <w:b/>
          <w:u w:val="single"/>
        </w:rPr>
        <w:t>ARBITRATION RELATED WAIVER</w:t>
      </w:r>
      <w:r>
        <w:rPr>
          <w:b/>
        </w:rPr>
        <w:t xml:space="preserve">.  </w:t>
      </w:r>
      <w:r>
        <w:t>THE PARTIES hereby freely waive the right to trial by judge or jury, the right to appeal, pretrial discovery and application of the rules of evidence.</w:t>
      </w:r>
    </w:p>
    <w:p w14:paraId="0590DB22" w14:textId="77777777" w:rsidR="00B37C6B" w:rsidRDefault="00B37C6B" w:rsidP="00B37C6B">
      <w:pPr>
        <w:pStyle w:val="DOTList1"/>
        <w:rPr>
          <w:b/>
        </w:rPr>
      </w:pPr>
      <w:r>
        <w:rPr>
          <w:b/>
          <w:u w:val="single"/>
        </w:rPr>
        <w:t>WAIVER OF JURY TRIAL</w:t>
      </w:r>
      <w:r>
        <w:rPr>
          <w:b/>
        </w:rPr>
        <w:t xml:space="preserve">.  </w:t>
      </w:r>
      <w:r>
        <w:t xml:space="preserve">TO THE EXTENT PERMITTED BY APPLICABLE LAW, BORROWER, ANY GUARANTOR, ANY PLEDGOR, AND LENDER AGREE TO WAIVE THEIR RESPECTIVE RIGHTS TO A JURY TRIAL OF ANY CLAIM OR CAUSE OF ACTION BASED ON OR ARISING FROM THE LOAN DOCUMENTS.  THE SCOPE OF THIS WAIVER IS INTENDED TO BE ALL-ENCOMPASSING OF ANY AND ALL DISPUTES THAT MAY BE FILED IN ANY COURT AND THAT RELATE TO THE SUBJECT MATTER OF THIS TRANSACTION, INCLUDING, WITHOUT LIMITATION, CONTRACT CLAIMS, TORT CLAIMS, BREACH OF DUTY CLAIMS, AND ALL OTHER COMMON LAW AND STATUTORY CLAIMS.  BORROWER AND, BY ITS ACCEPTANCE OF THE BENEFITS OF THE LOAN, LENDER EACH (A) ACKNOWLEDGES THAT THIS WAIVER IS A MATERIAL INDUCEMENT FOR BORROWER AND LENDER TO ENTER INTO A BUSINESS RELATIONSHIP, THAT BORROWER AND LENDER HAVE ALREADY RELIED ON THIS WAIVER BY ENTERING INTO THE LOAN OR ACCEPTING ITS BENEFITS, AS THE CASE MAY BE, AND THAT EACH SHALL CONTINUE TO RELY ON THIS WAIVER IN THEIR RELATED FUTURE DEALINGS, AND (B) FURTHER WARRANTS AND REPRESENTS THAT EACH HAS REVIEWED THIS WAIVER WITH ITS LEGAL COUNSEL, AND THAT EACH KNOWINGLY AND VOLUNTARILY WAIVES ITS JURY TRIAL RIGHTS FOLLOWING CONSULTATION WITH </w:t>
      </w:r>
      <w:r>
        <w:lastRenderedPageBreak/>
        <w:t>LEGAL COUNSEL.  THIS WAIVER IS IRREVOCABLE, IT MAY NOT BE MODIFIED EITHER ORALLY OR IN WRITING, AND THIS WAIVER SHALL APPLY TO ANY SUBSEQUENT AMENDMENTS, RENEWALS, SUPPLEMENTS, OR MODIFICATIONS TO THE LOAN DOCUMENTS.</w:t>
      </w:r>
    </w:p>
    <w:p w14:paraId="213354C3" w14:textId="77777777" w:rsidR="00B37C6B" w:rsidRDefault="00B37C6B" w:rsidP="00B37C6B">
      <w:pPr>
        <w:pStyle w:val="DOTList1"/>
      </w:pPr>
      <w:r>
        <w:rPr>
          <w:b/>
          <w:spacing w:val="4"/>
          <w:u w:val="single"/>
        </w:rPr>
        <w:t>Attorney Fees</w:t>
      </w:r>
      <w:r>
        <w:rPr>
          <w:b/>
          <w:spacing w:val="4"/>
        </w:rPr>
        <w:t>.</w:t>
      </w:r>
      <w:r>
        <w:rPr>
          <w:spacing w:val="4"/>
        </w:rPr>
        <w:t xml:space="preserve">  </w:t>
      </w:r>
      <w:r>
        <w:t xml:space="preserve">Borrower and any Guarantor, Pledgor, and Debtor, if any, agree to pay the following costs, expenses, and Attorneys’ Fees paid or incurred by Lender, or adjudged by a court: (a) reasonable costs of collection and costs, expenses, and Attorneys’ Fees paid or incurred in connection with the collection or enforcement of the Loan Documents, whether or not suit is filed; (b) reasonable costs, expenses, and Attorneys’ Fees paid or incurred in connection with representing Lender in any bankruptcy, reorganization, receivership, or other proceedings affecting creditors' rights and involving a claim under the Loan Documents; (c) reasonable costs, expenses, and Attorneys’ Fees incurred to protect the lien of the Security Instrument; and (d) costs of suit and such sum as the court may adjudge as Attorneys’ Fees in any action to enforce payment of the Loan Documents or any part of it.  </w:t>
      </w:r>
    </w:p>
    <w:p w14:paraId="4947732A" w14:textId="77777777" w:rsidR="00B37C6B" w:rsidRDefault="00B37C6B" w:rsidP="00B37C6B">
      <w:pPr>
        <w:contextualSpacing/>
        <w:rPr>
          <w:rFonts w:cs="Times New Roman"/>
        </w:rPr>
      </w:pPr>
      <w:r>
        <w:rPr>
          <w:rFonts w:cs="Times New Roman"/>
        </w:rPr>
        <w:tab/>
        <w:t xml:space="preserve">In addition to the </w:t>
      </w:r>
      <w:proofErr w:type="gramStart"/>
      <w:r>
        <w:rPr>
          <w:rFonts w:cs="Times New Roman"/>
        </w:rPr>
        <w:t>aforementioned fees</w:t>
      </w:r>
      <w:proofErr w:type="gramEnd"/>
      <w:r>
        <w:rPr>
          <w:rFonts w:cs="Times New Roman"/>
        </w:rPr>
        <w:t>, costs, and expenses, Lender in any lawsuit or other dispute shall be entitled to its Attorneys’ Fees, and all other fees, costs, and expenses incurred in any post-judgment proceedings to collect or enforce any judgment.  This provision for the recovery of post-judgment fees, costs, and expenses is separate and several and shall survive the merger of the Loan Documents into any judgment on the Loan Agreement, Note, Guaranty, Security Instrument, or any other Loan Documents.</w:t>
      </w:r>
    </w:p>
    <w:p w14:paraId="5519E02F" w14:textId="77777777" w:rsidR="00B37C6B" w:rsidRDefault="00B37C6B" w:rsidP="00B37C6B">
      <w:pPr>
        <w:pStyle w:val="DOTList1"/>
      </w:pPr>
      <w:r>
        <w:rPr>
          <w:b/>
          <w:u w:val="single"/>
        </w:rPr>
        <w:t>Capitalized Terms</w:t>
      </w:r>
      <w:r>
        <w:rPr>
          <w:b/>
        </w:rPr>
        <w:t>.</w:t>
      </w:r>
      <w:r>
        <w:t xml:space="preserve">  Capitalized terms used but not defined herein shall have the meaning ascribed to such term in the Loan Documents, each executed of even date herewith.</w:t>
      </w:r>
    </w:p>
    <w:p w14:paraId="5CBA4151" w14:textId="77777777" w:rsidR="00B37C6B" w:rsidRDefault="00B37C6B" w:rsidP="00B37C6B">
      <w:pPr>
        <w:pStyle w:val="DOTList1"/>
      </w:pPr>
      <w:r>
        <w:rPr>
          <w:b/>
          <w:u w:val="single"/>
        </w:rPr>
        <w:t>Loan Agreement</w:t>
      </w:r>
      <w:r>
        <w:rPr>
          <w:b/>
        </w:rPr>
        <w:t>.</w:t>
      </w:r>
      <w:r>
        <w:t xml:space="preserve">  This Agreement is subject to the provisions of the Loan Agreement, which is incorporated herein.</w:t>
      </w:r>
    </w:p>
    <w:p w14:paraId="70689CE2" w14:textId="77777777" w:rsidR="00B37C6B" w:rsidRDefault="00B37C6B" w:rsidP="00B37C6B">
      <w:pPr>
        <w:contextualSpacing/>
        <w:rPr>
          <w:rFonts w:cs="Times New Roman"/>
        </w:rPr>
      </w:pPr>
    </w:p>
    <w:p w14:paraId="78578FD8" w14:textId="77777777" w:rsidR="00B37C6B" w:rsidRDefault="00B37C6B" w:rsidP="00B37C6B">
      <w:pPr>
        <w:contextualSpacing/>
        <w:rPr>
          <w:rFonts w:cs="Times New Roman"/>
        </w:rPr>
      </w:pPr>
    </w:p>
    <w:p w14:paraId="52365A83" w14:textId="77777777" w:rsidR="00B37C6B" w:rsidRDefault="00B37C6B" w:rsidP="00B37C6B">
      <w:pPr>
        <w:contextualSpacing/>
        <w:rPr>
          <w:rFonts w:cs="Times New Roman"/>
        </w:rPr>
      </w:pPr>
    </w:p>
    <w:p w14:paraId="0A3B35F9" w14:textId="77777777" w:rsidR="00B37C6B" w:rsidRDefault="00B37C6B" w:rsidP="00B37C6B">
      <w:pPr>
        <w:contextualSpacing/>
        <w:jc w:val="center"/>
        <w:rPr>
          <w:rFonts w:cs="Times New Roman"/>
          <w:i/>
        </w:rPr>
      </w:pPr>
      <w:r>
        <w:rPr>
          <w:rFonts w:cs="Times New Roman"/>
          <w:b/>
          <w:smallCaps/>
          <w:spacing w:val="4"/>
        </w:rPr>
        <w:t>[Signatures Follow]</w:t>
      </w:r>
      <w:r>
        <w:rPr>
          <w:rFonts w:cs="Times New Roman"/>
          <w:i/>
        </w:rPr>
        <w:br w:type="page"/>
      </w:r>
    </w:p>
    <w:p w14:paraId="1C9257E4" w14:textId="77777777" w:rsidR="00B37C6B" w:rsidRDefault="00B37C6B" w:rsidP="00B37C6B">
      <w:pPr>
        <w:keepNext/>
        <w:keepLines/>
        <w:contextualSpacing/>
        <w:rPr>
          <w:rFonts w:cs="Times New Roman"/>
        </w:rPr>
      </w:pPr>
      <w:r>
        <w:rPr>
          <w:rFonts w:cs="Times New Roman"/>
          <w:b/>
        </w:rPr>
        <w:lastRenderedPageBreak/>
        <w:tab/>
      </w:r>
      <w:r>
        <w:rPr>
          <w:rFonts w:cs="Times New Roman"/>
        </w:rPr>
        <w:t xml:space="preserve">IN WITNESS WHEREOF, the parties have carefully read, fully </w:t>
      </w:r>
      <w:proofErr w:type="gramStart"/>
      <w:r>
        <w:rPr>
          <w:rFonts w:cs="Times New Roman"/>
        </w:rPr>
        <w:t>understand</w:t>
      </w:r>
      <w:proofErr w:type="gramEnd"/>
      <w:r>
        <w:rPr>
          <w:rFonts w:cs="Times New Roman"/>
        </w:rPr>
        <w:t xml:space="preserve"> and </w:t>
      </w:r>
      <w:proofErr w:type="gramStart"/>
      <w:r>
        <w:rPr>
          <w:rFonts w:cs="Times New Roman"/>
        </w:rPr>
        <w:t>agree</w:t>
      </w:r>
      <w:proofErr w:type="gramEnd"/>
      <w:r>
        <w:rPr>
          <w:rFonts w:cs="Times New Roman"/>
        </w:rPr>
        <w:t xml:space="preserve"> to the above.</w:t>
      </w:r>
    </w:p>
    <w:p w14:paraId="354295C7" w14:textId="77777777" w:rsidR="00B37C6B" w:rsidRDefault="00B37C6B" w:rsidP="00B37C6B">
      <w:pPr>
        <w:keepNext/>
        <w:keepLines/>
        <w:contextualSpacing/>
        <w:rPr>
          <w:rFonts w:cs="Times New Roman"/>
          <w:b/>
          <w:caps/>
        </w:rPr>
      </w:pPr>
    </w:p>
    <w:p w14:paraId="5678C5DD" w14:textId="77777777" w:rsidR="00B37C6B" w:rsidRDefault="00B37C6B" w:rsidP="00B37C6B">
      <w:pPr>
        <w:keepNext/>
        <w:keepLines/>
        <w:contextualSpacing/>
        <w:rPr>
          <w:rFonts w:cs="Times New Roman"/>
          <w:b/>
        </w:rPr>
      </w:pPr>
      <w:r>
        <w:rPr>
          <w:rFonts w:cs="Times New Roman"/>
          <w:b/>
        </w:rPr>
        <w:t>BORROWER:</w:t>
      </w:r>
      <w:r>
        <w:rPr>
          <w:rFonts w:cs="Times New Roman"/>
          <w:b/>
        </w:rPr>
        <w:tab/>
      </w:r>
    </w:p>
    <w:p w14:paraId="724B8F91" w14:textId="77777777" w:rsidR="00B37C6B" w:rsidRDefault="00B37C6B" w:rsidP="00B37C6B">
      <w:pPr>
        <w:pStyle w:val="Form"/>
        <w:ind w:firstLine="0"/>
        <w:rPr>
          <w:rFonts w:ascii="Times New Roman" w:hAnsi="Times New Roman"/>
          <w:b/>
          <w:smallCaps/>
          <w:sz w:val="22"/>
          <w:szCs w:val="22"/>
        </w:rPr>
      </w:pPr>
    </w:p>
    <w:p w14:paraId="57CF972C" w14:textId="77777777" w:rsidR="00B37C6B" w:rsidRDefault="00B37C6B" w:rsidP="00B37C6B">
      <w:pPr>
        <w:jc w:val="left"/>
        <w:rPr>
          <w:rFonts w:ascii="Times New Roman Bold" w:hAnsi="Times New Roman Bold"/>
          <w:b/>
          <w:bCs/>
          <w:smallCaps/>
        </w:rPr>
      </w:pPr>
      <w:r>
        <w:rPr>
          <w:rFonts w:ascii="Times New Roman Bold" w:hAnsi="Times New Roman Bold"/>
          <w:b/>
          <w:bCs/>
          <w:smallCaps/>
        </w:rPr>
        <w:t>[Borrower entity name], a(n) [Borrower organized state] [Borrower Entity Type]</w:t>
      </w:r>
    </w:p>
    <w:p w14:paraId="51E76998" w14:textId="77777777" w:rsidR="00B37C6B" w:rsidRDefault="00B37C6B" w:rsidP="00B37C6B">
      <w:pPr>
        <w:tabs>
          <w:tab w:val="right" w:pos="9360"/>
        </w:tabs>
        <w:jc w:val="left"/>
        <w:rPr>
          <w:u w:val="single"/>
        </w:rPr>
      </w:pPr>
    </w:p>
    <w:p w14:paraId="35CADAAA" w14:textId="77777777" w:rsidR="00B37C6B" w:rsidRDefault="00B37C6B" w:rsidP="00B37C6B">
      <w:pPr>
        <w:tabs>
          <w:tab w:val="right" w:pos="9360"/>
        </w:tabs>
        <w:ind w:left="450" w:hanging="450"/>
        <w:jc w:val="left"/>
      </w:pPr>
      <w:commentRangeStart w:id="0"/>
      <w:r>
        <w:t>By:  _________________________________________</w:t>
      </w:r>
      <w:r>
        <w:br/>
        <w:t>[Authorized Signatory 1 Full Name], [Authorized Signatory 1 Title]</w:t>
      </w:r>
      <w:commentRangeEnd w:id="0"/>
      <w:r>
        <w:rPr>
          <w:rStyle w:val="CommentReference"/>
          <w:rFonts w:ascii="Arial" w:eastAsia="Times New Roman" w:hAnsi="Arial" w:cs="Times New Roman"/>
        </w:rPr>
        <w:commentReference w:id="0"/>
      </w:r>
    </w:p>
    <w:p w14:paraId="42337B8E" w14:textId="77777777" w:rsidR="00B37C6B" w:rsidRDefault="00B37C6B" w:rsidP="00B37C6B">
      <w:pPr>
        <w:tabs>
          <w:tab w:val="left" w:pos="504"/>
          <w:tab w:val="left" w:pos="1008"/>
          <w:tab w:val="left" w:pos="1512"/>
        </w:tabs>
        <w:rPr>
          <w:rFonts w:cs="Times New Roman"/>
          <w:spacing w:val="4"/>
        </w:rPr>
      </w:pPr>
    </w:p>
    <w:p w14:paraId="4C17E195" w14:textId="77777777" w:rsidR="00B37C6B" w:rsidRDefault="00B37C6B" w:rsidP="00B37C6B">
      <w:pPr>
        <w:contextualSpacing/>
        <w:rPr>
          <w:rFonts w:cs="Times New Roman"/>
          <w:b/>
        </w:rPr>
      </w:pPr>
    </w:p>
    <w:p w14:paraId="4B35F9A7" w14:textId="77777777" w:rsidR="00B37C6B" w:rsidRDefault="00B37C6B" w:rsidP="00B37C6B">
      <w:pPr>
        <w:contextualSpacing/>
        <w:rPr>
          <w:rFonts w:cs="Times New Roman"/>
          <w:b/>
        </w:rPr>
      </w:pPr>
      <w:r>
        <w:rPr>
          <w:rFonts w:cs="Times New Roman"/>
          <w:b/>
        </w:rPr>
        <w:t>GUARANTOR:</w:t>
      </w:r>
    </w:p>
    <w:p w14:paraId="70B7646A" w14:textId="77777777" w:rsidR="00B37C6B" w:rsidRDefault="00B37C6B" w:rsidP="00B37C6B">
      <w:pPr>
        <w:contextualSpacing/>
        <w:rPr>
          <w:rFonts w:cs="Times New Roman"/>
          <w:bCs/>
        </w:rPr>
      </w:pPr>
    </w:p>
    <w:p w14:paraId="4694342A" w14:textId="77777777" w:rsidR="00B37C6B" w:rsidRDefault="00B37C6B" w:rsidP="00B37C6B">
      <w:pPr>
        <w:jc w:val="left"/>
        <w:rPr>
          <w:rFonts w:ascii="Times New Roman Bold" w:hAnsi="Times New Roman Bold"/>
          <w:b/>
          <w:bCs/>
          <w:smallCaps/>
        </w:rPr>
      </w:pPr>
      <w:r>
        <w:rPr>
          <w:rFonts w:ascii="Times New Roman Bold" w:hAnsi="Times New Roman Bold"/>
          <w:b/>
          <w:bCs/>
          <w:smallCaps/>
        </w:rPr>
        <w:t>[Guarantor entity name], a(n) [Guarantor organized state] [Guarantor Entity Type]</w:t>
      </w:r>
    </w:p>
    <w:p w14:paraId="3EA1FA43" w14:textId="77777777" w:rsidR="00B37C6B" w:rsidRDefault="00B37C6B" w:rsidP="00B37C6B">
      <w:pPr>
        <w:tabs>
          <w:tab w:val="right" w:pos="9360"/>
        </w:tabs>
        <w:jc w:val="left"/>
        <w:rPr>
          <w:u w:val="single"/>
        </w:rPr>
      </w:pPr>
    </w:p>
    <w:p w14:paraId="670AAF5C" w14:textId="77777777" w:rsidR="00B37C6B" w:rsidRDefault="00B37C6B" w:rsidP="00B37C6B">
      <w:pPr>
        <w:tabs>
          <w:tab w:val="right" w:pos="9360"/>
        </w:tabs>
        <w:ind w:left="450" w:hanging="450"/>
        <w:jc w:val="left"/>
      </w:pPr>
      <w:commentRangeStart w:id="1"/>
      <w:r>
        <w:t>By:  _________________________________________</w:t>
      </w:r>
      <w:r>
        <w:br/>
        <w:t>[Authorized Signatory 1 Full Name], [Authorized Signatory 1 Title]</w:t>
      </w:r>
      <w:commentRangeEnd w:id="1"/>
      <w:r>
        <w:rPr>
          <w:rStyle w:val="CommentReference"/>
          <w:rFonts w:ascii="Arial" w:eastAsia="Times New Roman" w:hAnsi="Arial" w:cs="Times New Roman"/>
        </w:rPr>
        <w:commentReference w:id="1"/>
      </w:r>
    </w:p>
    <w:p w14:paraId="1FF64027" w14:textId="77777777" w:rsidR="00B37C6B" w:rsidRDefault="00B37C6B" w:rsidP="00B37C6B">
      <w:pPr>
        <w:tabs>
          <w:tab w:val="left" w:pos="504"/>
          <w:tab w:val="left" w:pos="1008"/>
          <w:tab w:val="left" w:pos="1512"/>
        </w:tabs>
        <w:rPr>
          <w:rFonts w:cs="Times New Roman"/>
          <w:spacing w:val="4"/>
        </w:rPr>
      </w:pPr>
    </w:p>
    <w:p w14:paraId="4507E8F1" w14:textId="77777777" w:rsidR="00B37C6B" w:rsidRDefault="00B37C6B" w:rsidP="00B37C6B">
      <w:pPr>
        <w:contextualSpacing/>
        <w:rPr>
          <w:rFonts w:cs="Times New Roman"/>
        </w:rPr>
      </w:pPr>
      <w:r>
        <w:rPr>
          <w:rFonts w:cs="Times New Roman"/>
        </w:rPr>
        <w:br w:type="page"/>
      </w:r>
    </w:p>
    <w:p w14:paraId="5B80380C" w14:textId="77777777" w:rsidR="00B37C6B" w:rsidRDefault="00B37C6B" w:rsidP="00B37C6B">
      <w:pPr>
        <w:pStyle w:val="Form"/>
        <w:ind w:firstLine="0"/>
        <w:contextualSpacing/>
        <w:rPr>
          <w:rFonts w:ascii="Times New Roman" w:hAnsi="Times New Roman"/>
          <w:b/>
          <w:sz w:val="22"/>
          <w:szCs w:val="22"/>
        </w:rPr>
      </w:pPr>
      <w:r>
        <w:rPr>
          <w:rFonts w:ascii="Times New Roman" w:hAnsi="Times New Roman"/>
          <w:b/>
          <w:sz w:val="22"/>
          <w:szCs w:val="22"/>
        </w:rPr>
        <w:lastRenderedPageBreak/>
        <w:t>LENDER:</w:t>
      </w:r>
    </w:p>
    <w:p w14:paraId="60F2FDAC" w14:textId="77777777" w:rsidR="00B37C6B" w:rsidRDefault="00B37C6B" w:rsidP="00B37C6B">
      <w:pPr>
        <w:pStyle w:val="Form"/>
        <w:ind w:firstLine="0"/>
        <w:contextualSpacing/>
        <w:rPr>
          <w:rFonts w:ascii="Times New Roman" w:hAnsi="Times New Roman"/>
          <w:sz w:val="22"/>
          <w:szCs w:val="22"/>
        </w:rPr>
      </w:pPr>
    </w:p>
    <w:p w14:paraId="64FA9D1A" w14:textId="77777777" w:rsidR="00B37C6B" w:rsidRDefault="00B37C6B" w:rsidP="00B37C6B">
      <w:pPr>
        <w:jc w:val="left"/>
        <w:rPr>
          <w:rFonts w:ascii="Times New Roman Bold" w:hAnsi="Times New Roman Bold"/>
          <w:b/>
          <w:bCs/>
          <w:smallCaps/>
        </w:rPr>
      </w:pPr>
      <w:r>
        <w:rPr>
          <w:rFonts w:ascii="Times New Roman Bold" w:hAnsi="Times New Roman Bold"/>
          <w:b/>
          <w:bCs/>
          <w:smallCaps/>
        </w:rPr>
        <w:t>[Lender entity name], a(n) [Lender organized state] [Lender Entity Type]</w:t>
      </w:r>
    </w:p>
    <w:p w14:paraId="7D69E4AE" w14:textId="77777777" w:rsidR="00B37C6B" w:rsidRDefault="00B37C6B" w:rsidP="00B37C6B">
      <w:pPr>
        <w:tabs>
          <w:tab w:val="right" w:pos="9360"/>
        </w:tabs>
        <w:jc w:val="left"/>
        <w:rPr>
          <w:u w:val="single"/>
        </w:rPr>
      </w:pPr>
    </w:p>
    <w:p w14:paraId="6276D92D" w14:textId="77777777" w:rsidR="00B37C6B" w:rsidRDefault="00B37C6B" w:rsidP="00B37C6B">
      <w:pPr>
        <w:tabs>
          <w:tab w:val="right" w:pos="9360"/>
        </w:tabs>
        <w:ind w:left="450" w:hanging="450"/>
        <w:jc w:val="left"/>
      </w:pPr>
      <w:commentRangeStart w:id="2"/>
      <w:r>
        <w:t>By:  _________________________________________</w:t>
      </w:r>
      <w:r>
        <w:br/>
        <w:t>[Authorized Signatory 1 Full Name], [Authorized Signatory 1 Title]</w:t>
      </w:r>
      <w:commentRangeEnd w:id="2"/>
      <w:r>
        <w:rPr>
          <w:rStyle w:val="CommentReference"/>
          <w:rFonts w:ascii="Arial" w:eastAsia="Times New Roman" w:hAnsi="Arial" w:cs="Times New Roman"/>
        </w:rPr>
        <w:commentReference w:id="2"/>
      </w:r>
    </w:p>
    <w:p w14:paraId="047677D5" w14:textId="77777777" w:rsidR="00B37C6B" w:rsidRDefault="00B37C6B" w:rsidP="00B37C6B">
      <w:pPr>
        <w:pStyle w:val="Form"/>
        <w:tabs>
          <w:tab w:val="left" w:pos="5040"/>
        </w:tabs>
        <w:ind w:firstLine="0"/>
        <w:contextualSpacing/>
        <w:rPr>
          <w:rFonts w:ascii="Times New Roman" w:hAnsi="Times New Roman"/>
          <w:sz w:val="22"/>
          <w:szCs w:val="22"/>
        </w:rPr>
      </w:pPr>
    </w:p>
    <w:p w14:paraId="4FDFC9BF" w14:textId="77777777" w:rsidR="00B37C6B" w:rsidRDefault="00B37C6B" w:rsidP="00B37C6B">
      <w:pPr>
        <w:pStyle w:val="Form"/>
        <w:tabs>
          <w:tab w:val="left" w:pos="5040"/>
        </w:tabs>
        <w:ind w:firstLine="0"/>
        <w:contextualSpacing/>
        <w:rPr>
          <w:rFonts w:ascii="Times New Roman" w:hAnsi="Times New Roman"/>
          <w:sz w:val="22"/>
          <w:szCs w:val="22"/>
        </w:rPr>
      </w:pPr>
    </w:p>
    <w:p w14:paraId="160F60A1" w14:textId="77777777" w:rsidR="007F792A" w:rsidRDefault="007F792A"/>
    <w:sectPr w:rsidR="007F792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Geraci" w:date="2025-05-09T14:38:00Z" w:initials="AG">
    <w:p w14:paraId="574B7409" w14:textId="77777777" w:rsidR="00B37C6B" w:rsidRDefault="00B37C6B" w:rsidP="00B37C6B">
      <w:pPr>
        <w:pStyle w:val="CommentText"/>
        <w:jc w:val="left"/>
      </w:pPr>
      <w:r>
        <w:rPr>
          <w:rStyle w:val="CommentReference"/>
        </w:rPr>
        <w:annotationRef/>
      </w:r>
      <w:r>
        <w:t>Format like this for each Authorized Signatory for Each Borrower Entity</w:t>
      </w:r>
    </w:p>
  </w:comment>
  <w:comment w:id="1" w:author="Anthony Geraci" w:date="2025-05-09T14:38:00Z" w:initials="AG">
    <w:p w14:paraId="04AF5A56" w14:textId="77777777" w:rsidR="00B37C6B" w:rsidRDefault="00B37C6B" w:rsidP="00B37C6B">
      <w:pPr>
        <w:pStyle w:val="CommentText"/>
        <w:jc w:val="left"/>
      </w:pPr>
      <w:r>
        <w:rPr>
          <w:rStyle w:val="CommentReference"/>
        </w:rPr>
        <w:annotationRef/>
      </w:r>
      <w:r>
        <w:t>Format like this for each Authorized Signatory for Each Borrower Entity</w:t>
      </w:r>
    </w:p>
  </w:comment>
  <w:comment w:id="2" w:author="Anthony Geraci" w:date="2025-05-09T14:38:00Z" w:initials="AG">
    <w:p w14:paraId="56293948" w14:textId="77777777" w:rsidR="00B37C6B" w:rsidRDefault="00B37C6B" w:rsidP="00B37C6B">
      <w:pPr>
        <w:pStyle w:val="CommentText"/>
        <w:jc w:val="left"/>
      </w:pPr>
      <w:r>
        <w:rPr>
          <w:rStyle w:val="CommentReference"/>
        </w:rPr>
        <w:annotationRef/>
      </w:r>
      <w:r>
        <w:t>Format like this for each Authorized Signatory for Each Borrower Entity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4B7409" w15:done="0"/>
  <w15:commentEx w15:paraId="04AF5A56" w15:done="0"/>
  <w15:commentEx w15:paraId="562939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6F1BB3" w16cex:dateUtc="2025-05-09T21:38:00Z"/>
  <w16cex:commentExtensible w16cex:durableId="299D623F" w16cex:dateUtc="2025-05-09T21:38:00Z"/>
  <w16cex:commentExtensible w16cex:durableId="685A8FA2" w16cex:dateUtc="2025-05-09T2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4B7409" w16cid:durableId="516F1BB3"/>
  <w16cid:commentId w16cid:paraId="04AF5A56" w16cid:durableId="299D623F"/>
  <w16cid:commentId w16cid:paraId="56293948" w16cid:durableId="685A8FA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60A48"/>
    <w:multiLevelType w:val="multilevel"/>
    <w:tmpl w:val="37E0144E"/>
    <w:lvl w:ilvl="0">
      <w:start w:val="1"/>
      <w:numFmt w:val="decimal"/>
      <w:pStyle w:val="DOTStart"/>
      <w:lvlText w:val="%1"/>
      <w:lvlJc w:val="left"/>
      <w:pPr>
        <w:ind w:left="0" w:firstLine="0"/>
      </w:pPr>
      <w:rPr>
        <w:rFonts w:hint="default"/>
        <w:b/>
        <w:color w:val="FFFFFF" w:themeColor="background1"/>
      </w:rPr>
    </w:lvl>
    <w:lvl w:ilvl="1">
      <w:start w:val="1"/>
      <w:numFmt w:val="decimal"/>
      <w:pStyle w:val="DOTList1"/>
      <w:lvlText w:val="%2."/>
      <w:lvlJc w:val="left"/>
      <w:pPr>
        <w:tabs>
          <w:tab w:val="num" w:pos="720"/>
        </w:tabs>
        <w:ind w:left="0" w:firstLine="0"/>
      </w:pPr>
      <w:rPr>
        <w:rFonts w:hint="default"/>
        <w:b/>
        <w:i w:val="0"/>
      </w:rPr>
    </w:lvl>
    <w:lvl w:ilvl="2">
      <w:start w:val="1"/>
      <w:numFmt w:val="decimal"/>
      <w:pStyle w:val="DOTList2"/>
      <w:lvlText w:val="%2.%3"/>
      <w:lvlJc w:val="left"/>
      <w:pPr>
        <w:tabs>
          <w:tab w:val="num" w:pos="1440"/>
        </w:tabs>
        <w:ind w:left="0" w:firstLine="720"/>
      </w:pPr>
      <w:rPr>
        <w:rFonts w:hint="default"/>
        <w:b/>
        <w:i w:val="0"/>
      </w:rPr>
    </w:lvl>
    <w:lvl w:ilvl="3">
      <w:start w:val="1"/>
      <w:numFmt w:val="decimal"/>
      <w:pStyle w:val="DOTList3"/>
      <w:lvlText w:val="%2.%3.%4."/>
      <w:lvlJc w:val="left"/>
      <w:pPr>
        <w:tabs>
          <w:tab w:val="num" w:pos="2160"/>
        </w:tabs>
        <w:ind w:left="0" w:firstLine="1440"/>
      </w:pPr>
      <w:rPr>
        <w:rFonts w:hint="default"/>
        <w:b w:val="0"/>
        <w:bCs w:val="0"/>
      </w:rPr>
    </w:lvl>
    <w:lvl w:ilvl="4">
      <w:start w:val="1"/>
      <w:numFmt w:val="decimal"/>
      <w:pStyle w:val="DOTList4"/>
      <w:lvlText w:val="%2.%3.%4.%5."/>
      <w:lvlJc w:val="left"/>
      <w:pPr>
        <w:tabs>
          <w:tab w:val="num" w:pos="2880"/>
        </w:tabs>
        <w:ind w:left="0" w:firstLine="2160"/>
      </w:pPr>
      <w:rPr>
        <w:rFonts w:hint="default"/>
      </w:rPr>
    </w:lvl>
    <w:lvl w:ilvl="5">
      <w:start w:val="1"/>
      <w:numFmt w:val="decimal"/>
      <w:lvlRestart w:val="2"/>
      <w:pStyle w:val="DOTList5"/>
      <w:lvlText w:val="%2.%3.%4.%5.%6."/>
      <w:lvlJc w:val="left"/>
      <w:pPr>
        <w:tabs>
          <w:tab w:val="num" w:pos="3600"/>
        </w:tabs>
        <w:ind w:left="0" w:firstLine="2880"/>
      </w:pPr>
      <w:rPr>
        <w:rFonts w:hint="default"/>
      </w:rPr>
    </w:lvl>
    <w:lvl w:ilvl="6">
      <w:start w:val="1"/>
      <w:numFmt w:val="decimal"/>
      <w:pStyle w:val="DOTList6"/>
      <w:lvlText w:val="%2.%3.%4.%5.%6.%7.%1."/>
      <w:lvlJc w:val="left"/>
      <w:pPr>
        <w:tabs>
          <w:tab w:val="num" w:pos="4320"/>
        </w:tabs>
        <w:ind w:left="0" w:firstLine="360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476C460B"/>
    <w:multiLevelType w:val="hybridMultilevel"/>
    <w:tmpl w:val="B714F3E6"/>
    <w:lvl w:ilvl="0" w:tplc="3DFA1F90">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4464133">
    <w:abstractNumId w:val="0"/>
  </w:num>
  <w:num w:numId="2" w16cid:durableId="202227179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Geraci">
    <w15:presenceInfo w15:providerId="Windows Live" w15:userId="d530456b65b47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C6B"/>
    <w:rsid w:val="002E282F"/>
    <w:rsid w:val="006B0F43"/>
    <w:rsid w:val="007C5EF7"/>
    <w:rsid w:val="007F792A"/>
    <w:rsid w:val="00B37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0CE60"/>
  <w15:chartTrackingRefBased/>
  <w15:docId w15:val="{6719899C-0116-4D7C-A109-D0C5B0906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C6B"/>
    <w:pPr>
      <w:spacing w:after="0" w:line="240" w:lineRule="auto"/>
      <w:jc w:val="both"/>
    </w:pPr>
    <w:rPr>
      <w:rFonts w:ascii="Times New Roman" w:hAnsi="Times New Roman"/>
      <w:kern w:val="0"/>
      <w:sz w:val="22"/>
      <w:szCs w:val="22"/>
      <w14:ligatures w14:val="none"/>
    </w:rPr>
  </w:style>
  <w:style w:type="paragraph" w:styleId="Heading1">
    <w:name w:val="heading 1"/>
    <w:basedOn w:val="Normal"/>
    <w:next w:val="Normal"/>
    <w:link w:val="Heading1Char"/>
    <w:uiPriority w:val="9"/>
    <w:qFormat/>
    <w:rsid w:val="00B37C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C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C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C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C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C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C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C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C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C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C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C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C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C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C6B"/>
    <w:rPr>
      <w:rFonts w:eastAsiaTheme="majorEastAsia" w:cstheme="majorBidi"/>
      <w:color w:val="272727" w:themeColor="text1" w:themeTint="D8"/>
    </w:rPr>
  </w:style>
  <w:style w:type="paragraph" w:styleId="Title">
    <w:name w:val="Title"/>
    <w:basedOn w:val="Normal"/>
    <w:next w:val="Normal"/>
    <w:link w:val="TitleChar"/>
    <w:uiPriority w:val="10"/>
    <w:qFormat/>
    <w:rsid w:val="00B37C6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C6B"/>
    <w:pPr>
      <w:spacing w:before="160"/>
      <w:jc w:val="center"/>
    </w:pPr>
    <w:rPr>
      <w:i/>
      <w:iCs/>
      <w:color w:val="404040" w:themeColor="text1" w:themeTint="BF"/>
    </w:rPr>
  </w:style>
  <w:style w:type="character" w:customStyle="1" w:styleId="QuoteChar">
    <w:name w:val="Quote Char"/>
    <w:basedOn w:val="DefaultParagraphFont"/>
    <w:link w:val="Quote"/>
    <w:uiPriority w:val="29"/>
    <w:rsid w:val="00B37C6B"/>
    <w:rPr>
      <w:i/>
      <w:iCs/>
      <w:color w:val="404040" w:themeColor="text1" w:themeTint="BF"/>
    </w:rPr>
  </w:style>
  <w:style w:type="paragraph" w:styleId="ListParagraph">
    <w:name w:val="List Paragraph"/>
    <w:basedOn w:val="Normal"/>
    <w:uiPriority w:val="34"/>
    <w:qFormat/>
    <w:rsid w:val="00B37C6B"/>
    <w:pPr>
      <w:ind w:left="720"/>
      <w:contextualSpacing/>
    </w:pPr>
  </w:style>
  <w:style w:type="character" w:styleId="IntenseEmphasis">
    <w:name w:val="Intense Emphasis"/>
    <w:basedOn w:val="DefaultParagraphFont"/>
    <w:uiPriority w:val="21"/>
    <w:qFormat/>
    <w:rsid w:val="00B37C6B"/>
    <w:rPr>
      <w:i/>
      <w:iCs/>
      <w:color w:val="0F4761" w:themeColor="accent1" w:themeShade="BF"/>
    </w:rPr>
  </w:style>
  <w:style w:type="paragraph" w:styleId="IntenseQuote">
    <w:name w:val="Intense Quote"/>
    <w:basedOn w:val="Normal"/>
    <w:next w:val="Normal"/>
    <w:link w:val="IntenseQuoteChar"/>
    <w:uiPriority w:val="30"/>
    <w:qFormat/>
    <w:rsid w:val="00B37C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C6B"/>
    <w:rPr>
      <w:i/>
      <w:iCs/>
      <w:color w:val="0F4761" w:themeColor="accent1" w:themeShade="BF"/>
    </w:rPr>
  </w:style>
  <w:style w:type="character" w:styleId="IntenseReference">
    <w:name w:val="Intense Reference"/>
    <w:basedOn w:val="DefaultParagraphFont"/>
    <w:uiPriority w:val="32"/>
    <w:qFormat/>
    <w:rsid w:val="00B37C6B"/>
    <w:rPr>
      <w:b/>
      <w:bCs/>
      <w:smallCaps/>
      <w:color w:val="0F4761" w:themeColor="accent1" w:themeShade="BF"/>
      <w:spacing w:val="5"/>
    </w:rPr>
  </w:style>
  <w:style w:type="character" w:customStyle="1" w:styleId="CommentTextChar">
    <w:name w:val="Comment Text Char"/>
    <w:basedOn w:val="DefaultParagraphFont"/>
    <w:link w:val="CommentText"/>
    <w:uiPriority w:val="99"/>
    <w:semiHidden/>
    <w:rsid w:val="00B37C6B"/>
    <w:rPr>
      <w:rFonts w:ascii="Arial" w:eastAsia="Times New Roman" w:hAnsi="Arial" w:cs="Times New Roman"/>
      <w:sz w:val="20"/>
      <w:szCs w:val="20"/>
    </w:rPr>
  </w:style>
  <w:style w:type="paragraph" w:styleId="CommentText">
    <w:name w:val="annotation text"/>
    <w:basedOn w:val="Normal"/>
    <w:link w:val="CommentTextChar"/>
    <w:uiPriority w:val="99"/>
    <w:semiHidden/>
    <w:rsid w:val="00B37C6B"/>
    <w:rPr>
      <w:rFonts w:ascii="Arial" w:eastAsia="Times New Roman" w:hAnsi="Arial" w:cs="Times New Roman"/>
      <w:kern w:val="2"/>
      <w:sz w:val="20"/>
      <w:szCs w:val="20"/>
      <w14:ligatures w14:val="standardContextual"/>
    </w:rPr>
  </w:style>
  <w:style w:type="character" w:customStyle="1" w:styleId="CommentTextChar1">
    <w:name w:val="Comment Text Char1"/>
    <w:basedOn w:val="DefaultParagraphFont"/>
    <w:uiPriority w:val="99"/>
    <w:semiHidden/>
    <w:rsid w:val="00B37C6B"/>
    <w:rPr>
      <w:rFonts w:ascii="Times New Roman" w:hAnsi="Times New Roman"/>
      <w:kern w:val="0"/>
      <w:sz w:val="20"/>
      <w:szCs w:val="20"/>
      <w14:ligatures w14:val="none"/>
    </w:rPr>
  </w:style>
  <w:style w:type="character" w:styleId="CommentReference">
    <w:name w:val="annotation reference"/>
    <w:basedOn w:val="DefaultParagraphFont"/>
    <w:uiPriority w:val="99"/>
    <w:semiHidden/>
    <w:unhideWhenUsed/>
    <w:rsid w:val="00B37C6B"/>
    <w:rPr>
      <w:sz w:val="16"/>
      <w:szCs w:val="16"/>
    </w:rPr>
  </w:style>
  <w:style w:type="paragraph" w:customStyle="1" w:styleId="Form">
    <w:name w:val="Form:"/>
    <w:link w:val="FormChar"/>
    <w:rsid w:val="00B37C6B"/>
    <w:pPr>
      <w:spacing w:after="0" w:line="240" w:lineRule="auto"/>
      <w:ind w:firstLine="240"/>
    </w:pPr>
    <w:rPr>
      <w:rFonts w:ascii="Arial" w:eastAsia="Times New Roman" w:hAnsi="Arial" w:cs="Times New Roman"/>
      <w:kern w:val="0"/>
      <w:szCs w:val="20"/>
      <w14:ligatures w14:val="none"/>
    </w:rPr>
  </w:style>
  <w:style w:type="character" w:customStyle="1" w:styleId="FormChar">
    <w:name w:val="Form: Char"/>
    <w:basedOn w:val="DefaultParagraphFont"/>
    <w:link w:val="Form"/>
    <w:rsid w:val="00B37C6B"/>
    <w:rPr>
      <w:rFonts w:ascii="Arial" w:eastAsia="Times New Roman" w:hAnsi="Arial" w:cs="Times New Roman"/>
      <w:kern w:val="0"/>
      <w:szCs w:val="20"/>
      <w14:ligatures w14:val="none"/>
    </w:rPr>
  </w:style>
  <w:style w:type="paragraph" w:customStyle="1" w:styleId="FormCen">
    <w:name w:val="Form:Cen"/>
    <w:basedOn w:val="Form"/>
    <w:next w:val="Form"/>
    <w:rsid w:val="00B37C6B"/>
    <w:pPr>
      <w:suppressAutoHyphens/>
      <w:ind w:left="720" w:right="720" w:firstLine="0"/>
      <w:jc w:val="center"/>
    </w:pPr>
  </w:style>
  <w:style w:type="paragraph" w:customStyle="1" w:styleId="DOTList1">
    <w:name w:val="DOTList1"/>
    <w:basedOn w:val="Normal"/>
    <w:link w:val="DOTList1Char"/>
    <w:qFormat/>
    <w:rsid w:val="00B37C6B"/>
    <w:pPr>
      <w:numPr>
        <w:ilvl w:val="1"/>
        <w:numId w:val="1"/>
      </w:numPr>
      <w:contextualSpacing/>
    </w:pPr>
    <w:rPr>
      <w:rFonts w:eastAsia="Times New Roman" w:cs="Times New Roman"/>
    </w:rPr>
  </w:style>
  <w:style w:type="paragraph" w:customStyle="1" w:styleId="DOTList2">
    <w:name w:val="DOTList2"/>
    <w:basedOn w:val="DOTList1"/>
    <w:qFormat/>
    <w:rsid w:val="00B37C6B"/>
    <w:pPr>
      <w:numPr>
        <w:ilvl w:val="2"/>
      </w:numPr>
      <w:tabs>
        <w:tab w:val="clear" w:pos="1440"/>
        <w:tab w:val="num" w:pos="360"/>
      </w:tabs>
    </w:pPr>
  </w:style>
  <w:style w:type="character" w:customStyle="1" w:styleId="DOTList1Char">
    <w:name w:val="DOTList1 Char"/>
    <w:basedOn w:val="DefaultParagraphFont"/>
    <w:link w:val="DOTList1"/>
    <w:rsid w:val="00B37C6B"/>
    <w:rPr>
      <w:rFonts w:ascii="Times New Roman" w:eastAsia="Times New Roman" w:hAnsi="Times New Roman" w:cs="Times New Roman"/>
      <w:kern w:val="0"/>
      <w:sz w:val="22"/>
      <w:szCs w:val="22"/>
      <w14:ligatures w14:val="none"/>
    </w:rPr>
  </w:style>
  <w:style w:type="paragraph" w:customStyle="1" w:styleId="DOTList3">
    <w:name w:val="DOTList3"/>
    <w:basedOn w:val="DOTList2"/>
    <w:qFormat/>
    <w:rsid w:val="00B37C6B"/>
    <w:pPr>
      <w:numPr>
        <w:ilvl w:val="3"/>
      </w:numPr>
      <w:tabs>
        <w:tab w:val="clear" w:pos="2160"/>
        <w:tab w:val="num" w:pos="360"/>
      </w:tabs>
    </w:pPr>
  </w:style>
  <w:style w:type="paragraph" w:customStyle="1" w:styleId="DOTList4">
    <w:name w:val="DOTList4"/>
    <w:basedOn w:val="DOTList3"/>
    <w:qFormat/>
    <w:rsid w:val="00B37C6B"/>
    <w:pPr>
      <w:numPr>
        <w:ilvl w:val="4"/>
      </w:numPr>
      <w:tabs>
        <w:tab w:val="clear" w:pos="2880"/>
        <w:tab w:val="num" w:pos="360"/>
      </w:tabs>
    </w:pPr>
    <w:rPr>
      <w:rFonts w:eastAsia="Calibri"/>
    </w:rPr>
  </w:style>
  <w:style w:type="paragraph" w:customStyle="1" w:styleId="DOTList5">
    <w:name w:val="DOTList5"/>
    <w:basedOn w:val="DOTList4"/>
    <w:qFormat/>
    <w:rsid w:val="00B37C6B"/>
    <w:pPr>
      <w:numPr>
        <w:ilvl w:val="5"/>
      </w:numPr>
      <w:tabs>
        <w:tab w:val="clear" w:pos="3600"/>
        <w:tab w:val="num" w:pos="360"/>
      </w:tabs>
    </w:pPr>
  </w:style>
  <w:style w:type="paragraph" w:customStyle="1" w:styleId="DOTList6">
    <w:name w:val="DOTList6"/>
    <w:basedOn w:val="DOTList2"/>
    <w:qFormat/>
    <w:rsid w:val="00B37C6B"/>
    <w:pPr>
      <w:numPr>
        <w:ilvl w:val="6"/>
      </w:numPr>
      <w:tabs>
        <w:tab w:val="clear" w:pos="4320"/>
        <w:tab w:val="num" w:pos="360"/>
      </w:tabs>
    </w:pPr>
  </w:style>
  <w:style w:type="paragraph" w:customStyle="1" w:styleId="DOTStart">
    <w:name w:val="DOTStart"/>
    <w:basedOn w:val="Normal"/>
    <w:qFormat/>
    <w:rsid w:val="00B37C6B"/>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1475</Words>
  <Characters>8413</Characters>
  <Application>Microsoft Office Word</Application>
  <DocSecurity>0</DocSecurity>
  <Lines>70</Lines>
  <Paragraphs>19</Paragraphs>
  <ScaleCrop>false</ScaleCrop>
  <Company/>
  <LinksUpToDate>false</LinksUpToDate>
  <CharactersWithSpaces>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Geraci</dc:creator>
  <cp:keywords/>
  <dc:description/>
  <cp:lastModifiedBy>Anthony Geraci</cp:lastModifiedBy>
  <cp:revision>2</cp:revision>
  <dcterms:created xsi:type="dcterms:W3CDTF">2025-05-10T23:04:00Z</dcterms:created>
  <dcterms:modified xsi:type="dcterms:W3CDTF">2025-05-10T23:06:00Z</dcterms:modified>
</cp:coreProperties>
</file>