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D32" w:rsidRPr="00EA3D32" w:rsidRDefault="00EA3D32" w:rsidP="00EA3D32">
      <w:pPr>
        <w:pStyle w:val="1"/>
        <w:jc w:val="center"/>
        <w:rPr>
          <w:rFonts w:ascii="微软雅黑" w:eastAsia="微软雅黑" w:hAnsi="微软雅黑"/>
        </w:rPr>
      </w:pPr>
      <w:r w:rsidRPr="00EA3D32">
        <w:rPr>
          <w:rFonts w:ascii="微软雅黑" w:eastAsia="微软雅黑" w:hAnsi="微软雅黑" w:hint="eastAsia"/>
        </w:rPr>
        <w:t>国家税务总局</w:t>
      </w:r>
    </w:p>
    <w:p w:rsidR="00EA3D32" w:rsidRPr="00EA3D32" w:rsidRDefault="00EA3D32" w:rsidP="00EA3D32">
      <w:pPr>
        <w:pStyle w:val="2"/>
        <w:jc w:val="center"/>
        <w:rPr>
          <w:rFonts w:ascii="微软雅黑" w:eastAsia="微软雅黑" w:hAnsi="微软雅黑" w:hint="eastAsia"/>
        </w:rPr>
      </w:pPr>
      <w:r w:rsidRPr="00EA3D32">
        <w:rPr>
          <w:rFonts w:ascii="微软雅黑" w:eastAsia="微软雅黑" w:hAnsi="微软雅黑" w:hint="eastAsia"/>
        </w:rPr>
        <w:t>关于全面实施新个人所得税法若干征管衔接问题的公告</w:t>
      </w:r>
    </w:p>
    <w:p w:rsidR="00EA3D32" w:rsidRPr="00EA3D32" w:rsidRDefault="00EA3D32" w:rsidP="00EA3D32">
      <w:pPr>
        <w:pStyle w:val="a6"/>
        <w:rPr>
          <w:rFonts w:ascii="微软雅黑" w:eastAsia="微软雅黑" w:hAnsi="微软雅黑" w:hint="eastAsia"/>
          <w:b w:val="0"/>
          <w:sz w:val="24"/>
          <w:szCs w:val="24"/>
        </w:rPr>
      </w:pPr>
      <w:r w:rsidRPr="00EA3D32">
        <w:rPr>
          <w:rFonts w:ascii="微软雅黑" w:eastAsia="微软雅黑" w:hAnsi="微软雅黑" w:hint="eastAsia"/>
          <w:b w:val="0"/>
          <w:sz w:val="24"/>
          <w:szCs w:val="24"/>
        </w:rPr>
        <w:t>国家税务总局公告2018年第56号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t>为贯彻落实新修改的《中华人民共和国个人所得税法》（以下简称“新个人所得税法”），现就全面实施新个人所得税法后扣缴义务人对居民个人工资、薪金所得，劳务报酬所得，稿酬所得，特许权使用费所得预扣预缴个人所得税的计算方法，对非居民个人上述四项所得扣缴个人所得税的计算方法，公告如下：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2"/>
        <w:rPr>
          <w:rFonts w:hint="eastAsia"/>
          <w:color w:val="333333"/>
        </w:rPr>
      </w:pPr>
      <w:r>
        <w:rPr>
          <w:rStyle w:val="a4"/>
          <w:rFonts w:hint="eastAsia"/>
          <w:color w:val="333333"/>
        </w:rPr>
        <w:t>一、居民个人预扣预缴方法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t>扣缴义务人向居民个人支付工资、薪金所得，劳务报酬所得，稿酬所得，特许权使用费所得时，按以下方法预扣预缴个人所得税，并向主管税务机关报送《个人所得税扣缴申报表》（见附件1）。年度预扣预缴税额与年度应纳税额不一致的，由居民个人于次年3月1日至6月30日向主管税务机关办理综合所得年度汇算清缴，税款多退少补。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t>（一）扣缴义务人向居民个人支付工资、薪金所得时，应当按照累计预扣法计算预扣税款，并按月办理全员全额扣缴申报。具体计算公式如下：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t>本期应预扣预缴税额=（累计预扣预缴应纳税所得额×预扣率-速算扣除数)-累计减免税额-累计已预扣预缴税额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t>累计预扣预缴应纳税所得额=累计收入-累计免税收入-累计减除费用-累计专项扣除-累计专项附加扣除-累计依法确定的其他扣除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t>其中：累计减除费用，按照5000元/月乘以纳税人当年截至本月在本单位的任职受雇月份数计算。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>上述公式中，计算居民个人工资、薪金所得预扣预缴税额的预扣率、速算扣除数，按《个人所得税预扣率表一》(见附件2）执行。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t>（二）扣缴义务人向居民个人支付劳务报酬所得、稿酬所得、特许权使用费所得，按次或者按月预扣预缴个人所得税。具体预扣预缴方法如下：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t>劳务报酬所得、稿酬所得、特许权使用费所得以收入减除费用后的余额为收入额。其中，稿酬所得的收入额减按百分之七十计算。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t>减除费用：劳务报酬所得、稿酬所得、特许权使用费所得每次收入不超过四千元的，减除费用按八百元计算；每次收入四千元以上的，减除费用按百分之二十计算。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t>应纳税所得额：劳务报酬所得、稿酬所得、特许权使用费所得，以每次收入额为预扣预缴应纳税所得额。劳务报酬所得适用百分之二十至百分之四十的超额累进预扣率（见附件2《个人所得税预扣率表二》），稿酬所得、特许权使用费所得适用百分之二十的比例预扣率。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t>劳务报酬所得应预扣预缴税额=预扣预缴应纳税所得额×预扣率-速算扣除数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t>稿酬所得、特许权使用费所得应预扣预缴税额=预扣预缴应纳税所得额×</w:t>
      </w:r>
      <w:r>
        <w:rPr>
          <w:rFonts w:hint="eastAsia"/>
          <w:color w:val="333333"/>
        </w:rPr>
        <w:t>20%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2"/>
        <w:rPr>
          <w:rFonts w:hint="eastAsia"/>
          <w:color w:val="333333"/>
        </w:rPr>
      </w:pPr>
      <w:r>
        <w:rPr>
          <w:rStyle w:val="a4"/>
          <w:rFonts w:hint="eastAsia"/>
          <w:color w:val="333333"/>
        </w:rPr>
        <w:t>二、非居民个人扣缴方法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t>扣缴义务人向非居民个人支付工资、薪金所得，劳务报酬所得，稿酬所得和特许权使用费所得时，应当按以下方法按月或者按次代扣代缴个人所得税：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t>非居民个人的工资、薪金所得，以每月收入额减除费用五千元后的余额为应纳税所得额；劳务报酬所得、稿酬所得、特许权使用费所得，以每次收入额为应纳税所得额，适用按月换算后的非居民个人月度税率表（见附件2《个人所得税税率表三》）计算应纳税额。其中，劳务报酬所得、稿酬所得、</w:t>
      </w:r>
      <w:r>
        <w:rPr>
          <w:rFonts w:hint="eastAsia"/>
          <w:color w:val="333333"/>
        </w:rPr>
        <w:lastRenderedPageBreak/>
        <w:t>特许权使用费所得以收入减除百分之二十的费用后的余额为收入额。稿酬所得的收入额减按百分之七十计算。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t>非居民个人工资、薪金所得，劳务报酬所得，稿酬所得，特许权使用费所得应纳税额=应纳税所得额×税率-速算扣除数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rFonts w:hint="eastAsia"/>
          <w:color w:val="333333"/>
        </w:rPr>
      </w:pPr>
      <w:r>
        <w:rPr>
          <w:rFonts w:hint="eastAsia"/>
          <w:color w:val="333333"/>
        </w:rPr>
        <w:t>本公告自2019年1月1日起施行。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firstLineChars="200" w:firstLine="480"/>
        <w:rPr>
          <w:color w:val="333333"/>
        </w:rPr>
      </w:pPr>
      <w:r>
        <w:rPr>
          <w:rFonts w:hint="eastAsia"/>
          <w:color w:val="333333"/>
        </w:rPr>
        <w:t>特此公告。</w:t>
      </w: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　　附件：1.</w:t>
      </w:r>
      <w:hyperlink r:id="rId6" w:history="1">
        <w:r>
          <w:rPr>
            <w:rStyle w:val="a5"/>
            <w:rFonts w:hint="eastAsia"/>
            <w:u w:val="none"/>
            <w:bdr w:val="none" w:sz="0" w:space="0" w:color="auto" w:frame="1"/>
          </w:rPr>
          <w:t>《个人所得税扣缴申报表》及填表说明</w:t>
        </w:r>
      </w:hyperlink>
      <w:bookmarkStart w:id="0" w:name="_GoBack"/>
      <w:bookmarkEnd w:id="0"/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　　　　　2.</w:t>
      </w:r>
      <w:hyperlink r:id="rId7" w:history="1">
        <w:r>
          <w:rPr>
            <w:rStyle w:val="a5"/>
            <w:rFonts w:hint="eastAsia"/>
            <w:u w:val="none"/>
            <w:bdr w:val="none" w:sz="0" w:space="0" w:color="auto" w:frame="1"/>
          </w:rPr>
          <w:t>个人所得税税率表及预扣率表</w:t>
        </w:r>
      </w:hyperlink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right="120" w:firstLineChars="2350" w:firstLine="5640"/>
        <w:rPr>
          <w:rFonts w:hint="eastAsia"/>
          <w:color w:val="333333"/>
        </w:rPr>
      </w:pPr>
    </w:p>
    <w:p w:rsid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left="360" w:right="120" w:firstLineChars="2350" w:firstLine="5640"/>
        <w:rPr>
          <w:rFonts w:hint="eastAsia"/>
          <w:color w:val="333333"/>
        </w:rPr>
      </w:pPr>
      <w:r>
        <w:rPr>
          <w:rFonts w:hint="eastAsia"/>
          <w:color w:val="333333"/>
        </w:rPr>
        <w:t>国家税务总局</w:t>
      </w:r>
    </w:p>
    <w:p w:rsidR="00D64FAF" w:rsidRPr="00EA3D32" w:rsidRDefault="00EA3D32" w:rsidP="00EA3D32">
      <w:pPr>
        <w:pStyle w:val="a3"/>
        <w:shd w:val="clear" w:color="auto" w:fill="FFFFFF"/>
        <w:spacing w:before="0" w:beforeAutospacing="0" w:after="0" w:afterAutospacing="0" w:line="540" w:lineRule="atLeast"/>
        <w:ind w:right="120" w:firstLineChars="2400" w:firstLine="5760"/>
        <w:rPr>
          <w:color w:val="333333"/>
        </w:rPr>
      </w:pPr>
      <w:r>
        <w:rPr>
          <w:rFonts w:hint="eastAsia"/>
          <w:color w:val="333333"/>
        </w:rPr>
        <w:t>2018年12月19日</w:t>
      </w:r>
    </w:p>
    <w:sectPr w:rsidR="00D64FAF" w:rsidRPr="00EA3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B4968"/>
    <w:multiLevelType w:val="multilevel"/>
    <w:tmpl w:val="E440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54"/>
    <w:rsid w:val="006B5354"/>
    <w:rsid w:val="00BE19F2"/>
    <w:rsid w:val="00D64FAF"/>
    <w:rsid w:val="00EA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D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D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3D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A3D32"/>
    <w:rPr>
      <w:b/>
      <w:bCs/>
    </w:rPr>
  </w:style>
  <w:style w:type="character" w:styleId="a5">
    <w:name w:val="Hyperlink"/>
    <w:basedOn w:val="a0"/>
    <w:uiPriority w:val="99"/>
    <w:semiHidden/>
    <w:unhideWhenUsed/>
    <w:rsid w:val="00EA3D3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A3D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3D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"/>
    <w:uiPriority w:val="10"/>
    <w:qFormat/>
    <w:rsid w:val="00EA3D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EA3D3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D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D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3D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A3D32"/>
    <w:rPr>
      <w:b/>
      <w:bCs/>
    </w:rPr>
  </w:style>
  <w:style w:type="character" w:styleId="a5">
    <w:name w:val="Hyperlink"/>
    <w:basedOn w:val="a0"/>
    <w:uiPriority w:val="99"/>
    <w:semiHidden/>
    <w:unhideWhenUsed/>
    <w:rsid w:val="00EA3D3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A3D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3D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"/>
    <w:uiPriority w:val="10"/>
    <w:qFormat/>
    <w:rsid w:val="00EA3D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EA3D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d.chinatax.gov.cn/guoshui/action/ShowAppend.do?id=163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d.chinatax.gov.cn/guoshui/action/ShowAppend.do?id=1634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236</Words>
  <Characters>1347</Characters>
  <Application>Microsoft Office Word</Application>
  <DocSecurity>0</DocSecurity>
  <Lines>11</Lines>
  <Paragraphs>3</Paragraphs>
  <ScaleCrop>false</ScaleCrop>
  <Company>Microsoft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2018-12-21T07:39:00Z</dcterms:created>
  <dcterms:modified xsi:type="dcterms:W3CDTF">2018-12-21T08:31:00Z</dcterms:modified>
</cp:coreProperties>
</file>