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问题一直是困扰新三板挂牌企业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的重大问题，以往证监会只在反馈意见中提出，一直没有明确的处理意见。今天，终于明确了！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12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日，证监会通过新闻发布会的方式，对于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三类股东企业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有了明确的说法：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、公司控股股东、实际控制人、第一大股东不得为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；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、确保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依法设立并规范运作，已经纳入金融监管部门有效监管；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、对高杠杆结构化产品和层层嵌套的投资主体，发行人需要提出符合监管要求的整改计划，并对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做穿透式披露，同时要求中介机构对发行人及其利益相关人是否直接或间接在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中持有权益进行核查；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4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、为确保能够符合现行锁定期和减持规则，要求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对其存续期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作出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合理安排。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有不少朋友会把证监会的表态内容理解成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企业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的利好！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 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但是：</w:t>
      </w:r>
      <w:r w:rsidRPr="003A0C8E">
        <w:rPr>
          <w:rFonts w:ascii="Helvetica" w:eastAsia="宋体" w:hAnsi="Helvetica" w:cs="Helvetica"/>
          <w:color w:val="0075BE"/>
          <w:kern w:val="0"/>
          <w:sz w:val="23"/>
          <w:szCs w:val="23"/>
        </w:rPr>
        <w:t>证监会这种核查要求，和三类股东不能有嵌套、杠杆等要求，实际上就等于拒绝绝大多数三类股东了。三类股东产品的本质就是为了杆杠、为了吸引更多人投资，本身就有嵌套的，如果都没有这些，也就没有必要采用</w:t>
      </w:r>
      <w:proofErr w:type="gramStart"/>
      <w:r w:rsidRPr="003A0C8E">
        <w:rPr>
          <w:rFonts w:ascii="Helvetica" w:eastAsia="宋体" w:hAnsi="Helvetica" w:cs="Helvetica"/>
          <w:color w:val="0075BE"/>
          <w:kern w:val="0"/>
          <w:sz w:val="23"/>
          <w:szCs w:val="23"/>
        </w:rPr>
        <w:t>“</w:t>
      </w:r>
      <w:proofErr w:type="gramEnd"/>
      <w:r w:rsidRPr="003A0C8E">
        <w:rPr>
          <w:rFonts w:ascii="Helvetica" w:eastAsia="宋体" w:hAnsi="Helvetica" w:cs="Helvetica"/>
          <w:color w:val="0075BE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0075BE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0075BE"/>
          <w:kern w:val="0"/>
          <w:sz w:val="23"/>
          <w:szCs w:val="23"/>
        </w:rPr>
        <w:t>的形式了。所以这根本就是变相要求强制清理三类股东。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无独有偶，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9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日，时代装饰（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832090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）在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证监会官网更新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披露招股书，显示公司已清理完毕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，代价有点大，比停牌价格高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64%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，耗时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个月。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lastRenderedPageBreak/>
        <w:t>时代装饰于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2015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17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日登陆新三板。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2015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12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月底，时代装饰启动上市辅导工作；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日发布公告称已经领取了《中国证监会行政许可申请受理通知书》，公司股票随即在新三板也停止交易。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17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日，时代装饰在证监会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官网首次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披露招股书，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名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赫然在列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2017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8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8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日，时代装饰发布公告称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为配合境内资本市场上市的长期战略发展规划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，拟申请从新三板摘牌，同时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开始开始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逐步清理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8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月底，实际控制人曲毅、李越受让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名契约型基金股东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德骏中国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纳斯达克新三板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期基金、新方程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启辰新三板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指数增强基金持有的时代装饰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19.96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万股、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7000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股股票。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9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5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日，两位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实控人再次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受让国保新三板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号资产管理计划、国保新三板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号资产管理计划合计持有的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6.5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万股。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11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月份，其余两家契约型基金清盘，将持股转让给各自的基金份额持有人。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从更新披露的招股书分析，时代装饰大概用了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个月时间完成了对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名三类股东的清理。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招股书显示，时代装饰实际控制人此次受让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4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名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持股合计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27.16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万股，累计花费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359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万元，认购价格为每股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13.22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元。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时代装饰股票于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14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日开始在新三板停牌。停牌前的收盘价为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8.05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元，公司实际控制人此次接盘三类股东全部股票，溢价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64.22%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lastRenderedPageBreak/>
        <w:t>附：</w:t>
      </w:r>
      <w:r w:rsidRPr="003A0C8E">
        <w:rPr>
          <w:rFonts w:ascii="Helvetica" w:eastAsia="宋体" w:hAnsi="Helvetica" w:cs="Helvetica"/>
          <w:b/>
          <w:bCs/>
          <w:color w:val="0075BE"/>
          <w:kern w:val="0"/>
          <w:sz w:val="23"/>
          <w:szCs w:val="23"/>
        </w:rPr>
        <w:t>1</w:t>
      </w:r>
      <w:r w:rsidRPr="003A0C8E">
        <w:rPr>
          <w:rFonts w:ascii="Helvetica" w:eastAsia="宋体" w:hAnsi="Helvetica" w:cs="Helvetica"/>
          <w:b/>
          <w:bCs/>
          <w:color w:val="0075BE"/>
          <w:kern w:val="0"/>
          <w:sz w:val="23"/>
          <w:szCs w:val="23"/>
        </w:rPr>
        <w:t>月</w:t>
      </w:r>
      <w:r w:rsidRPr="003A0C8E">
        <w:rPr>
          <w:rFonts w:ascii="Helvetica" w:eastAsia="宋体" w:hAnsi="Helvetica" w:cs="Helvetica"/>
          <w:b/>
          <w:bCs/>
          <w:color w:val="0075BE"/>
          <w:kern w:val="0"/>
          <w:sz w:val="23"/>
          <w:szCs w:val="23"/>
        </w:rPr>
        <w:t>12</w:t>
      </w:r>
      <w:r w:rsidRPr="003A0C8E">
        <w:rPr>
          <w:rFonts w:ascii="Helvetica" w:eastAsia="宋体" w:hAnsi="Helvetica" w:cs="Helvetica"/>
          <w:b/>
          <w:bCs/>
          <w:color w:val="0075BE"/>
          <w:kern w:val="0"/>
          <w:sz w:val="23"/>
          <w:szCs w:val="23"/>
        </w:rPr>
        <w:t>日证监会新闻发布会有关问答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问：近期，有市场舆论反映，新三板挂牌企业申请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过程中遇到的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问题，已有明确的审核政策。请问发行审核中具体如何把握？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答：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2016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年以来，随着新三板挂牌企业申请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数量逐步增多，部分企业出现了契约型私募基金、资产管理计划、信托计划等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。鉴于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具有一定的特殊性，可能存在层层嵌套和高杠杆，以及股东身份不透明、无法穿透等问题，在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发行审核过程中予以重点关注。此前，部分在审企业对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采取了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主动清理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的办法。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考虑到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问题不仅涉及到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监管政策，还涉及到新三板发展问题，证监会对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问题的处理非常慎重，经反复研究论证，近期明确了新三板挂牌企业申请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时存在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的监管政策，具体如下：</w:t>
      </w:r>
    </w:p>
    <w:p w:rsidR="003A0C8E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br/>
      </w:r>
    </w:p>
    <w:p w:rsidR="004363FC" w:rsidRPr="003A0C8E" w:rsidRDefault="003A0C8E" w:rsidP="003A0C8E">
      <w:pPr>
        <w:widowControl/>
        <w:spacing w:line="420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一是基于证券法、公司法和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IPO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办法的基本要求，公司的稳定性与控股股东与实际控制人的明确性是基本条件，为保证拟上市公司的稳定性、确保控股股东履行诚信义务，要求公司控股股东、实际控制人、第一大股东不得为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；二是鉴于目前管理部门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对资管业务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正在规范过程中，为确保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依法设立并规范运作，要求其已经纳入金融监管部门有效监管；三是为从源头上防范利益输送行为，防控潜在风险，从严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监管高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杠杆结构化产品和层层嵌套的投资主体，要求存在上述情形的发行人提出符合监管要求的整改计划，并对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做穿透式披露，同时要求中介机构对发行人及其利益相关人是否直接或间接在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中持有权益进行核查；四是为确保能够符合现行锁定期和减持规则，要求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三类股东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”</w:t>
      </w:r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对其存续期</w:t>
      </w:r>
      <w:proofErr w:type="gramStart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作出</w:t>
      </w:r>
      <w:proofErr w:type="gramEnd"/>
      <w:r w:rsidRPr="003A0C8E">
        <w:rPr>
          <w:rFonts w:ascii="Helvetica" w:eastAsia="宋体" w:hAnsi="Helvetica" w:cs="Helvetica"/>
          <w:color w:val="595959"/>
          <w:kern w:val="0"/>
          <w:sz w:val="23"/>
          <w:szCs w:val="23"/>
        </w:rPr>
        <w:t>合理安排。</w:t>
      </w:r>
      <w:bookmarkStart w:id="0" w:name="_GoBack"/>
      <w:bookmarkEnd w:id="0"/>
    </w:p>
    <w:sectPr w:rsidR="004363FC" w:rsidRPr="003A0C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7DB" w:rsidRDefault="008037DB" w:rsidP="00E27177">
      <w:r>
        <w:separator/>
      </w:r>
    </w:p>
  </w:endnote>
  <w:endnote w:type="continuationSeparator" w:id="0">
    <w:p w:rsidR="008037DB" w:rsidRDefault="008037DB" w:rsidP="00E2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177" w:rsidRDefault="00E27177">
    <w:pPr>
      <w:pStyle w:val="a6"/>
    </w:pPr>
    <w:r>
      <w:rPr>
        <w:rFonts w:hint="eastAsia"/>
      </w:rPr>
      <w:t>同业汇通 |</w:t>
    </w:r>
    <w:r>
      <w:t xml:space="preserve"> </w:t>
    </w:r>
    <w:r>
      <w:rPr>
        <w:rFonts w:hint="eastAsia"/>
      </w:rPr>
      <w:t>同业交易一站通</w:t>
    </w:r>
    <w:r>
      <w:ptab w:relativeTo="margin" w:alignment="center" w:leader="none"/>
    </w:r>
    <w:r w:rsidRPr="00E27177">
      <w:t>http://www.tongyetrading.com/</w:t>
    </w:r>
    <w:r>
      <w:ptab w:relativeTo="margin" w:alignment="right" w:leader="none"/>
    </w:r>
    <w:r>
      <w:rPr>
        <w:noProof/>
      </w:rPr>
      <w:drawing>
        <wp:inline distT="0" distB="0" distL="0" distR="0">
          <wp:extent cx="614045" cy="61404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同业汇通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4371" cy="6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7DB" w:rsidRDefault="008037DB" w:rsidP="00E27177">
      <w:r>
        <w:separator/>
      </w:r>
    </w:p>
  </w:footnote>
  <w:footnote w:type="continuationSeparator" w:id="0">
    <w:p w:rsidR="008037DB" w:rsidRDefault="008037DB" w:rsidP="00E27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177" w:rsidRDefault="00E27177">
    <w:pPr>
      <w:pStyle w:val="a4"/>
    </w:pPr>
    <w:proofErr w:type="gramStart"/>
    <w:r w:rsidRPr="00E27177">
      <w:rPr>
        <w:rFonts w:hint="eastAsia"/>
        <w:b/>
        <w:color w:val="FF0000"/>
        <w:sz w:val="24"/>
        <w:szCs w:val="24"/>
      </w:rPr>
      <w:t>微信公众号</w:t>
    </w:r>
    <w:proofErr w:type="gramEnd"/>
    <w:r w:rsidRPr="00E27177">
      <w:rPr>
        <w:rFonts w:hint="eastAsia"/>
        <w:b/>
        <w:color w:val="FF0000"/>
        <w:sz w:val="24"/>
        <w:szCs w:val="24"/>
      </w:rPr>
      <w:t xml:space="preserve"> ：交易圈</w:t>
    </w:r>
    <w:r w:rsidRPr="00E27177">
      <w:rPr>
        <w:b/>
        <w:color w:val="FF0000"/>
        <w:sz w:val="24"/>
        <w:szCs w:val="24"/>
      </w:rPr>
      <w:ptab w:relativeTo="margin" w:alignment="center" w:leader="none"/>
    </w:r>
    <w:r w:rsidRPr="00E27177">
      <w:rPr>
        <w:rFonts w:hint="eastAsia"/>
        <w:b/>
        <w:color w:val="FF0000"/>
        <w:sz w:val="24"/>
        <w:szCs w:val="24"/>
      </w:rPr>
      <w:t>同业报价平台：同业汇通</w:t>
    </w:r>
    <w:r>
      <w:ptab w:relativeTo="margin" w:alignment="right" w:leader="none"/>
    </w:r>
    <w:r>
      <w:rPr>
        <w:noProof/>
      </w:rPr>
      <w:drawing>
        <wp:inline distT="0" distB="0" distL="0" distR="0">
          <wp:extent cx="542608" cy="54260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公众号：交易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741" cy="552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AE0"/>
    <w:multiLevelType w:val="hybridMultilevel"/>
    <w:tmpl w:val="BFCEFDE6"/>
    <w:lvl w:ilvl="0" w:tplc="86586F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24940"/>
    <w:multiLevelType w:val="hybridMultilevel"/>
    <w:tmpl w:val="7A766318"/>
    <w:lvl w:ilvl="0" w:tplc="BD68CD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936D4"/>
    <w:multiLevelType w:val="hybridMultilevel"/>
    <w:tmpl w:val="CBB6BD06"/>
    <w:lvl w:ilvl="0" w:tplc="8A4ABD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7"/>
    <w:rsid w:val="00275E37"/>
    <w:rsid w:val="003A0C8E"/>
    <w:rsid w:val="004363FC"/>
    <w:rsid w:val="004D3F6F"/>
    <w:rsid w:val="00570E8A"/>
    <w:rsid w:val="008037DB"/>
    <w:rsid w:val="00AA19DD"/>
    <w:rsid w:val="00B015E1"/>
    <w:rsid w:val="00E2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5B401"/>
  <w15:chartTrackingRefBased/>
  <w15:docId w15:val="{B93CD262-D9EA-47E0-9AD0-5B2E2987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177"/>
    <w:rPr>
      <w:sz w:val="18"/>
      <w:szCs w:val="18"/>
    </w:rPr>
  </w:style>
  <w:style w:type="character" w:styleId="a8">
    <w:name w:val="Strong"/>
    <w:basedOn w:val="a0"/>
    <w:uiPriority w:val="22"/>
    <w:qFormat/>
    <w:rsid w:val="00570E8A"/>
    <w:rPr>
      <w:b/>
      <w:bCs/>
    </w:rPr>
  </w:style>
  <w:style w:type="paragraph" w:styleId="a9">
    <w:name w:val="List Paragraph"/>
    <w:basedOn w:val="a"/>
    <w:uiPriority w:val="34"/>
    <w:qFormat/>
    <w:rsid w:val="00436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6E73-30DC-41CA-84D1-6DCE5829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yunlong li</dc:creator>
  <cp:keywords/>
  <dc:description/>
  <cp:lastModifiedBy>yunlong li</cp:lastModifiedBy>
  <cp:revision>3</cp:revision>
  <cp:lastPrinted>2018-01-19T16:13:00Z</cp:lastPrinted>
  <dcterms:created xsi:type="dcterms:W3CDTF">2018-01-19T09:06:00Z</dcterms:created>
  <dcterms:modified xsi:type="dcterms:W3CDTF">2018-01-20T15:16:00Z</dcterms:modified>
</cp:coreProperties>
</file>