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Style w:val="a6"/>
          <w:rFonts w:ascii="Helvetica" w:hAnsi="Helvetica"/>
          <w:color w:val="3E3E3E"/>
          <w:sz w:val="27"/>
          <w:szCs w:val="27"/>
        </w:rPr>
        <w:t>关于进一步规范银行理财产品穿透登记工作的通知</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Style w:val="a6"/>
          <w:rFonts w:ascii="Helvetica" w:hAnsi="Helvetica"/>
          <w:color w:val="3E3E3E"/>
          <w:sz w:val="27"/>
          <w:szCs w:val="27"/>
        </w:rPr>
        <w:t>理财中心发</w:t>
      </w:r>
      <w:r>
        <w:rPr>
          <w:rStyle w:val="a6"/>
          <w:rFonts w:ascii="Helvetica" w:hAnsi="Helvetica"/>
          <w:color w:val="3E3E3E"/>
          <w:sz w:val="27"/>
          <w:szCs w:val="27"/>
        </w:rPr>
        <w:t>[2017]14</w:t>
      </w:r>
      <w:r>
        <w:rPr>
          <w:rStyle w:val="a6"/>
          <w:rFonts w:ascii="Helvetica" w:hAnsi="Helvetica"/>
          <w:color w:val="3E3E3E"/>
          <w:sz w:val="27"/>
          <w:szCs w:val="27"/>
        </w:rPr>
        <w:t>号</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b/>
          <w:bCs/>
          <w:color w:val="3E3E3E"/>
          <w:sz w:val="27"/>
          <w:szCs w:val="27"/>
        </w:rPr>
        <w:br/>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各政策性银行、大型银行、股份制银行、邮储银行、外资银行：</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为贯彻落实近期银监会有关文件精神和银行业理财业务穿透管理的要求，全面、及时掌握理财资金投向，防范理财业务风险，各银行业金融机构应严格按照银监会各项规定尽快完善本行理财投资业务和登记工作制度，并且在全国银行业理财信息登记系统（以下简称</w:t>
      </w:r>
      <w:r>
        <w:rPr>
          <w:rFonts w:ascii="Helvetica" w:hAnsi="Helvetica"/>
          <w:color w:val="3E3E3E"/>
          <w:sz w:val="27"/>
          <w:szCs w:val="27"/>
        </w:rPr>
        <w:t>“</w:t>
      </w:r>
      <w:r>
        <w:rPr>
          <w:rFonts w:ascii="Helvetica" w:hAnsi="Helvetica"/>
          <w:color w:val="3E3E3E"/>
          <w:sz w:val="27"/>
          <w:szCs w:val="27"/>
        </w:rPr>
        <w:t>理财登记系统</w:t>
      </w:r>
      <w:r>
        <w:rPr>
          <w:rFonts w:ascii="Helvetica" w:hAnsi="Helvetica"/>
          <w:color w:val="3E3E3E"/>
          <w:sz w:val="27"/>
          <w:szCs w:val="27"/>
        </w:rPr>
        <w:t>”</w:t>
      </w:r>
      <w:r>
        <w:rPr>
          <w:rFonts w:ascii="Helvetica" w:hAnsi="Helvetica"/>
          <w:color w:val="3E3E3E"/>
          <w:sz w:val="27"/>
          <w:szCs w:val="27"/>
        </w:rPr>
        <w:t>）中真实、准确、完整、及时地登记底层基础资产和负债信息。</w:t>
      </w:r>
      <w:proofErr w:type="gramStart"/>
      <w:r>
        <w:rPr>
          <w:rFonts w:ascii="Helvetica" w:hAnsi="Helvetica"/>
          <w:color w:val="3E3E3E"/>
          <w:sz w:val="27"/>
          <w:szCs w:val="27"/>
        </w:rPr>
        <w:t>经银监</w:t>
      </w:r>
      <w:proofErr w:type="gramEnd"/>
      <w:r>
        <w:rPr>
          <w:rFonts w:ascii="Helvetica" w:hAnsi="Helvetica"/>
          <w:color w:val="3E3E3E"/>
          <w:sz w:val="27"/>
          <w:szCs w:val="27"/>
        </w:rPr>
        <w:t>会</w:t>
      </w:r>
      <w:proofErr w:type="gramStart"/>
      <w:r>
        <w:rPr>
          <w:rFonts w:ascii="Helvetica" w:hAnsi="Helvetica"/>
          <w:color w:val="3E3E3E"/>
          <w:sz w:val="27"/>
          <w:szCs w:val="27"/>
        </w:rPr>
        <w:t>创新部</w:t>
      </w:r>
      <w:proofErr w:type="gramEnd"/>
      <w:r>
        <w:rPr>
          <w:rFonts w:ascii="Helvetica" w:hAnsi="Helvetica"/>
          <w:color w:val="3E3E3E"/>
          <w:sz w:val="27"/>
          <w:szCs w:val="27"/>
        </w:rPr>
        <w:t>同意，现就有关要求通知如下：</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一、</w:t>
      </w:r>
      <w:r>
        <w:rPr>
          <w:rStyle w:val="a6"/>
          <w:rFonts w:ascii="Helvetica" w:hAnsi="Helvetica"/>
          <w:color w:val="3E3E3E"/>
          <w:sz w:val="27"/>
          <w:szCs w:val="27"/>
        </w:rPr>
        <w:t>对于银行理财资金购买各类资产管理计划和通过与其他金融机构签订委托投资协议的方式进行投资（以下简称</w:t>
      </w:r>
      <w:r>
        <w:rPr>
          <w:rStyle w:val="a6"/>
          <w:rFonts w:ascii="Helvetica" w:hAnsi="Helvetica"/>
          <w:color w:val="3E3E3E"/>
          <w:sz w:val="27"/>
          <w:szCs w:val="27"/>
        </w:rPr>
        <w:t>“</w:t>
      </w:r>
      <w:r>
        <w:rPr>
          <w:rStyle w:val="a6"/>
          <w:rFonts w:ascii="Helvetica" w:hAnsi="Helvetica"/>
          <w:color w:val="3E3E3E"/>
          <w:sz w:val="27"/>
          <w:szCs w:val="27"/>
        </w:rPr>
        <w:t>协议委外</w:t>
      </w:r>
      <w:r>
        <w:rPr>
          <w:rStyle w:val="a6"/>
          <w:rFonts w:ascii="Helvetica" w:hAnsi="Helvetica"/>
          <w:color w:val="3E3E3E"/>
          <w:sz w:val="27"/>
          <w:szCs w:val="27"/>
        </w:rPr>
        <w:t>”</w:t>
      </w:r>
      <w:r>
        <w:rPr>
          <w:rStyle w:val="a6"/>
          <w:rFonts w:ascii="Helvetica" w:hAnsi="Helvetica"/>
          <w:color w:val="3E3E3E"/>
          <w:sz w:val="27"/>
          <w:szCs w:val="27"/>
        </w:rPr>
        <w:t>）的情况，必须通过理财登记系统对底层基础资产或负债进行登记。</w:t>
      </w:r>
      <w:r>
        <w:rPr>
          <w:rFonts w:ascii="Helvetica" w:hAnsi="Helvetica"/>
          <w:color w:val="3E3E3E"/>
          <w:sz w:val="27"/>
          <w:szCs w:val="27"/>
        </w:rPr>
        <w:t>底层基础资产和负债信息的分类见《全国银行业理财信息登记系统数据元规范》中的分类标准。</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二、遵循分层登记原则，先登记理财产品首次投资的各类资产管理计划和</w:t>
      </w:r>
      <w:proofErr w:type="gramStart"/>
      <w:r>
        <w:rPr>
          <w:rFonts w:ascii="Helvetica" w:hAnsi="Helvetica"/>
          <w:color w:val="3E3E3E"/>
          <w:sz w:val="27"/>
          <w:szCs w:val="27"/>
        </w:rPr>
        <w:t>协议委</w:t>
      </w:r>
      <w:proofErr w:type="gramEnd"/>
      <w:r>
        <w:rPr>
          <w:rFonts w:ascii="Helvetica" w:hAnsi="Helvetica"/>
          <w:color w:val="3E3E3E"/>
          <w:sz w:val="27"/>
          <w:szCs w:val="27"/>
        </w:rPr>
        <w:t>外信息，再登记其持有的所有底层基础资产和负债信息，不得省略资产管理计划和</w:t>
      </w:r>
      <w:proofErr w:type="gramStart"/>
      <w:r>
        <w:rPr>
          <w:rFonts w:ascii="Helvetica" w:hAnsi="Helvetica"/>
          <w:color w:val="3E3E3E"/>
          <w:sz w:val="27"/>
          <w:szCs w:val="27"/>
        </w:rPr>
        <w:t>协议委</w:t>
      </w:r>
      <w:proofErr w:type="gramEnd"/>
      <w:r>
        <w:rPr>
          <w:rFonts w:ascii="Helvetica" w:hAnsi="Helvetica"/>
          <w:color w:val="3E3E3E"/>
          <w:sz w:val="27"/>
          <w:szCs w:val="27"/>
        </w:rPr>
        <w:t>外而直接登记底层信息。</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lastRenderedPageBreak/>
        <w:t>各银行业金融机构应于每周五前登记</w:t>
      </w:r>
      <w:proofErr w:type="gramStart"/>
      <w:r>
        <w:rPr>
          <w:rFonts w:ascii="Helvetica" w:hAnsi="Helvetica"/>
          <w:color w:val="3E3E3E"/>
          <w:sz w:val="27"/>
          <w:szCs w:val="27"/>
        </w:rPr>
        <w:t>资管计划和协议委</w:t>
      </w:r>
      <w:proofErr w:type="gramEnd"/>
      <w:r>
        <w:rPr>
          <w:rFonts w:ascii="Helvetica" w:hAnsi="Helvetica"/>
          <w:color w:val="3E3E3E"/>
          <w:sz w:val="27"/>
          <w:szCs w:val="27"/>
        </w:rPr>
        <w:t>外截至上周日的底层资产情况，并于每月前五个工作日内登记上月最后一个自然日的底层资产情况，确保登记的及时性。</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Style w:val="a6"/>
          <w:rFonts w:ascii="Helvetica" w:hAnsi="Helvetica"/>
          <w:color w:val="3E3E3E"/>
          <w:sz w:val="27"/>
          <w:szCs w:val="27"/>
        </w:rPr>
        <w:t>对于多层嵌套情况，也须按照逐层穿透原则登记至</w:t>
      </w:r>
      <w:proofErr w:type="gramStart"/>
      <w:r>
        <w:rPr>
          <w:rStyle w:val="a6"/>
          <w:rFonts w:ascii="Helvetica" w:hAnsi="Helvetica"/>
          <w:color w:val="3E3E3E"/>
          <w:sz w:val="27"/>
          <w:szCs w:val="27"/>
        </w:rPr>
        <w:t>最</w:t>
      </w:r>
      <w:proofErr w:type="gramEnd"/>
      <w:r>
        <w:rPr>
          <w:rStyle w:val="a6"/>
          <w:rFonts w:ascii="Helvetica" w:hAnsi="Helvetica"/>
          <w:color w:val="3E3E3E"/>
          <w:sz w:val="27"/>
          <w:szCs w:val="27"/>
        </w:rPr>
        <w:t>底层基础资产和负债信息。</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三、登记底层基础资产及负债时必须以整个资产管理计划或</w:t>
      </w:r>
      <w:proofErr w:type="gramStart"/>
      <w:r>
        <w:rPr>
          <w:rFonts w:ascii="Helvetica" w:hAnsi="Helvetica"/>
          <w:color w:val="3E3E3E"/>
          <w:sz w:val="27"/>
          <w:szCs w:val="27"/>
        </w:rPr>
        <w:t>协议委</w:t>
      </w:r>
      <w:proofErr w:type="gramEnd"/>
      <w:r>
        <w:rPr>
          <w:rFonts w:ascii="Helvetica" w:hAnsi="Helvetica"/>
          <w:color w:val="3E3E3E"/>
          <w:sz w:val="27"/>
          <w:szCs w:val="27"/>
        </w:rPr>
        <w:t>外在登记日期的实际规模为单位，不得少登或按理财资金投资比例拆分登记；不得漏登或主观不登底层负债；不得为逃避穿透登记的监管要求故意将资产管理计划和</w:t>
      </w:r>
      <w:proofErr w:type="gramStart"/>
      <w:r>
        <w:rPr>
          <w:rFonts w:ascii="Helvetica" w:hAnsi="Helvetica"/>
          <w:color w:val="3E3E3E"/>
          <w:sz w:val="27"/>
          <w:szCs w:val="27"/>
        </w:rPr>
        <w:t>协议委外登记</w:t>
      </w:r>
      <w:proofErr w:type="gramEnd"/>
      <w:r>
        <w:rPr>
          <w:rFonts w:ascii="Helvetica" w:hAnsi="Helvetica"/>
          <w:color w:val="3E3E3E"/>
          <w:sz w:val="27"/>
          <w:szCs w:val="27"/>
        </w:rPr>
        <w:t>为其他债券、其他货币市场工具等资产类别</w:t>
      </w:r>
      <w:r>
        <w:rPr>
          <w:rStyle w:val="a6"/>
          <w:rFonts w:ascii="Helvetica" w:hAnsi="Helvetica"/>
          <w:color w:val="3E3E3E"/>
          <w:sz w:val="27"/>
          <w:szCs w:val="27"/>
        </w:rPr>
        <w:t>。</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四、各银行业金融机构原则上应从资产管理机构处获取底层基础资产和负债信息，也可利用托管机构为其提供底层信息。</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五、各银行业金融机构应要求资产管理机构或托管机构在提供底层信息时加盖单位公章或部门章，做到有据可依、便于查证。</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六、各银行业金融机构应切实履行自身投资管理职责，建立健全理财信息登记质量责任制，加强对合作机构提供的底层基础资产和负债信息的自主核查，避免在登记信息中出现持仓资产实际已到期、总量规模与底层加总规模偏差过大等各类错误，确保登记信息的真实、准确、完整、及时。</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lastRenderedPageBreak/>
        <w:t>七、银行业理财登记托管中心将进一步规范理财登记信息修改流程及要求，制定相关细则并尽快发布。同时，信息修改原因、频率、数量以及对统计数据的影响等因素将纳入理财登记工作评价。</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八、银行业理财登记托管中心将持续加强理财登记质量尤其是穿透登记质量的抽查、监测工作，不断丰富、完善抽查内容、手段，帮助和督促各银行业金融机构提升登记质量。对登记质量较差、问题较多的机构将报告监管部门采取监管措施。</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九、城市商业银行、农村商业银行、农村合作银行、农村信用社等其他银行业金融机构开展理财业务的，参照本通知执行。</w:t>
      </w: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p>
    <w:p w:rsidR="009407C2" w:rsidRDefault="009407C2" w:rsidP="009407C2">
      <w:pPr>
        <w:pStyle w:val="a5"/>
        <w:shd w:val="clear" w:color="auto" w:fill="F7F7F7"/>
        <w:spacing w:before="0" w:beforeAutospacing="0" w:after="0" w:afterAutospacing="0"/>
        <w:jc w:val="both"/>
        <w:rPr>
          <w:rFonts w:ascii="Helvetica" w:hAnsi="Helvetica"/>
          <w:color w:val="3E3E3E"/>
          <w:sz w:val="27"/>
          <w:szCs w:val="27"/>
        </w:rPr>
      </w:pPr>
      <w:r>
        <w:rPr>
          <w:rFonts w:ascii="Helvetica" w:hAnsi="Helvetica"/>
          <w:color w:val="3E3E3E"/>
          <w:sz w:val="27"/>
          <w:szCs w:val="27"/>
        </w:rPr>
        <w:t>十、本通知自印发之日起施行。</w:t>
      </w:r>
    </w:p>
    <w:p w:rsidR="00FE68DB" w:rsidRPr="009407C2" w:rsidRDefault="00FE68DB">
      <w:bookmarkStart w:id="0" w:name="_GoBack"/>
      <w:bookmarkEnd w:id="0"/>
    </w:p>
    <w:sectPr w:rsidR="00FE68DB" w:rsidRPr="009407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08F7" w:rsidRDefault="009708F7" w:rsidP="009407C2">
      <w:r>
        <w:separator/>
      </w:r>
    </w:p>
  </w:endnote>
  <w:endnote w:type="continuationSeparator" w:id="0">
    <w:p w:rsidR="009708F7" w:rsidRDefault="009708F7" w:rsidP="00940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 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08F7" w:rsidRDefault="009708F7" w:rsidP="009407C2">
      <w:r>
        <w:separator/>
      </w:r>
    </w:p>
  </w:footnote>
  <w:footnote w:type="continuationSeparator" w:id="0">
    <w:p w:rsidR="009708F7" w:rsidRDefault="009708F7" w:rsidP="009407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26F9"/>
    <w:rsid w:val="009407C2"/>
    <w:rsid w:val="009708F7"/>
    <w:rsid w:val="009926F9"/>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7C2"/>
    <w:rPr>
      <w:sz w:val="18"/>
      <w:szCs w:val="18"/>
    </w:rPr>
  </w:style>
  <w:style w:type="paragraph" w:styleId="a4">
    <w:name w:val="footer"/>
    <w:basedOn w:val="a"/>
    <w:link w:val="Char0"/>
    <w:uiPriority w:val="99"/>
    <w:unhideWhenUsed/>
    <w:rsid w:val="009407C2"/>
    <w:pPr>
      <w:tabs>
        <w:tab w:val="center" w:pos="4153"/>
        <w:tab w:val="right" w:pos="8306"/>
      </w:tabs>
      <w:snapToGrid w:val="0"/>
      <w:jc w:val="left"/>
    </w:pPr>
    <w:rPr>
      <w:sz w:val="18"/>
      <w:szCs w:val="18"/>
    </w:rPr>
  </w:style>
  <w:style w:type="character" w:customStyle="1" w:styleId="Char0">
    <w:name w:val="页脚 Char"/>
    <w:basedOn w:val="a0"/>
    <w:link w:val="a4"/>
    <w:uiPriority w:val="99"/>
    <w:rsid w:val="009407C2"/>
    <w:rPr>
      <w:sz w:val="18"/>
      <w:szCs w:val="18"/>
    </w:rPr>
  </w:style>
  <w:style w:type="paragraph" w:styleId="a5">
    <w:name w:val="Normal (Web)"/>
    <w:basedOn w:val="a"/>
    <w:uiPriority w:val="99"/>
    <w:semiHidden/>
    <w:unhideWhenUsed/>
    <w:rsid w:val="009407C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407C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07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07C2"/>
    <w:rPr>
      <w:sz w:val="18"/>
      <w:szCs w:val="18"/>
    </w:rPr>
  </w:style>
  <w:style w:type="paragraph" w:styleId="a4">
    <w:name w:val="footer"/>
    <w:basedOn w:val="a"/>
    <w:link w:val="Char0"/>
    <w:uiPriority w:val="99"/>
    <w:unhideWhenUsed/>
    <w:rsid w:val="009407C2"/>
    <w:pPr>
      <w:tabs>
        <w:tab w:val="center" w:pos="4153"/>
        <w:tab w:val="right" w:pos="8306"/>
      </w:tabs>
      <w:snapToGrid w:val="0"/>
      <w:jc w:val="left"/>
    </w:pPr>
    <w:rPr>
      <w:sz w:val="18"/>
      <w:szCs w:val="18"/>
    </w:rPr>
  </w:style>
  <w:style w:type="character" w:customStyle="1" w:styleId="Char0">
    <w:name w:val="页脚 Char"/>
    <w:basedOn w:val="a0"/>
    <w:link w:val="a4"/>
    <w:uiPriority w:val="99"/>
    <w:rsid w:val="009407C2"/>
    <w:rPr>
      <w:sz w:val="18"/>
      <w:szCs w:val="18"/>
    </w:rPr>
  </w:style>
  <w:style w:type="paragraph" w:styleId="a5">
    <w:name w:val="Normal (Web)"/>
    <w:basedOn w:val="a"/>
    <w:uiPriority w:val="99"/>
    <w:semiHidden/>
    <w:unhideWhenUsed/>
    <w:rsid w:val="009407C2"/>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407C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599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181</Words>
  <Characters>1034</Characters>
  <Application>Microsoft Office Word</Application>
  <DocSecurity>0</DocSecurity>
  <Lines>8</Lines>
  <Paragraphs>2</Paragraphs>
  <ScaleCrop>false</ScaleCrop>
  <Company>Microsoft</Company>
  <LinksUpToDate>false</LinksUpToDate>
  <CharactersWithSpaces>1213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2018-06-27T15:58:00Z</dcterms:created>
  <dcterms:modified xsi:type="dcterms:W3CDTF">2018-06-27T15:58:00Z</dcterms:modified>
</cp:coreProperties>
</file>