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5F0" w:rsidRPr="005725F0" w:rsidRDefault="005725F0" w:rsidP="005725F0">
      <w:pPr>
        <w:widowControl/>
        <w:shd w:val="clear" w:color="auto" w:fill="FFFFFF"/>
        <w:ind w:firstLine="480"/>
        <w:jc w:val="center"/>
        <w:outlineLvl w:val="0"/>
        <w:rPr>
          <w:rFonts w:ascii="宋体" w:eastAsia="宋体" w:hAnsi="宋体" w:cs="宋体"/>
          <w:color w:val="333333"/>
          <w:kern w:val="36"/>
          <w:sz w:val="38"/>
          <w:szCs w:val="38"/>
        </w:rPr>
      </w:pPr>
      <w:bookmarkStart w:id="0" w:name="_GoBack"/>
      <w:r w:rsidRPr="005725F0">
        <w:rPr>
          <w:rFonts w:ascii="宋体" w:eastAsia="宋体" w:hAnsi="宋体" w:cs="宋体" w:hint="eastAsia"/>
          <w:b/>
          <w:bCs/>
          <w:color w:val="333333"/>
          <w:kern w:val="36"/>
          <w:sz w:val="24"/>
          <w:szCs w:val="24"/>
        </w:rPr>
        <w:t>关于规范债券市场参与者债券交易业务的通知</w:t>
      </w:r>
      <w:bookmarkEnd w:id="0"/>
    </w:p>
    <w:p w:rsidR="005725F0" w:rsidRPr="005725F0" w:rsidRDefault="005725F0" w:rsidP="005725F0">
      <w:pPr>
        <w:widowControl/>
        <w:shd w:val="clear" w:color="auto" w:fill="FFFFFF"/>
        <w:wordWrap w:val="0"/>
        <w:ind w:firstLine="480"/>
        <w:jc w:val="center"/>
        <w:rPr>
          <w:rFonts w:ascii="微软雅黑" w:eastAsia="微软雅黑" w:hAnsi="微软雅黑" w:cs="宋体" w:hint="eastAsia"/>
          <w:color w:val="777777"/>
          <w:kern w:val="0"/>
          <w:szCs w:val="21"/>
        </w:rPr>
      </w:pPr>
      <w:r w:rsidRPr="005725F0">
        <w:rPr>
          <w:rFonts w:ascii="宋体" w:eastAsia="宋体" w:hAnsi="宋体" w:cs="宋体" w:hint="eastAsia"/>
          <w:b/>
          <w:bCs/>
          <w:color w:val="000000"/>
          <w:kern w:val="0"/>
          <w:sz w:val="24"/>
          <w:szCs w:val="24"/>
          <w:shd w:val="clear" w:color="auto" w:fill="FFFFFF"/>
        </w:rPr>
        <w:t>银发[2017]302号</w:t>
      </w:r>
    </w:p>
    <w:p w:rsidR="005725F0" w:rsidRPr="005725F0" w:rsidRDefault="005725F0" w:rsidP="005725F0">
      <w:pPr>
        <w:widowControl/>
        <w:shd w:val="clear" w:color="auto" w:fill="FFFFFF"/>
        <w:wordWrap w:val="0"/>
        <w:ind w:firstLine="480"/>
        <w:jc w:val="center"/>
        <w:rPr>
          <w:rFonts w:ascii="微软雅黑" w:eastAsia="微软雅黑" w:hAnsi="微软雅黑" w:cs="宋体" w:hint="eastAsia"/>
          <w:color w:val="777777"/>
          <w:kern w:val="0"/>
          <w:szCs w:val="21"/>
        </w:rPr>
      </w:pP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为进一步规范债券市场参与者债券交易业务，促进债券市场健康平稳发展，根据《全国银行间债券市场债券交易管理办法》(中国人民银行令〔2000〕第2号）、《银行间债券市场债券登记托管结算管理办法》（中国人民银行令〔2009〕第1号）、《公司债券发行与交易管理办法》（中国证券监督管理委员会令第113号）等有关规定，现就有关事宜通知如下：</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一、本通知所称债券市场参与者（以下简称参与者），包括符合债券市场有关准入规定的各类金融机构及各类非法人产品等境内合格机构投资者，以及非法人产品的资产管理人与托管人。本通知所指债券交易包括现券买卖、债券回购、债券远期、债券借贷等符合规定的债券交易业务。</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二、参与者应按照中国人民银行和银监会、证监会、保监会(以下统称各金融监管部门）有关规定，加强内部控制与风险管理，健全债券交易合规制度。</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（一）参与者应根据所从事的债券交易业务性质、规模和复杂程度，建立贯穿全环节、覆盖</w:t>
      </w:r>
      <w:proofErr w:type="gramStart"/>
      <w:r w:rsidRPr="005725F0">
        <w:rPr>
          <w:rFonts w:ascii="宋体" w:eastAsia="宋体" w:hAnsi="宋体" w:cs="宋体" w:hint="eastAsia"/>
          <w:color w:val="333333"/>
          <w:kern w:val="0"/>
          <w:sz w:val="24"/>
          <w:szCs w:val="24"/>
        </w:rPr>
        <w:t>全业务</w:t>
      </w:r>
      <w:proofErr w:type="gramEnd"/>
      <w:r w:rsidRPr="005725F0">
        <w:rPr>
          <w:rFonts w:ascii="宋体" w:eastAsia="宋体" w:hAnsi="宋体" w:cs="宋体" w:hint="eastAsia"/>
          <w:color w:val="333333"/>
          <w:kern w:val="0"/>
          <w:sz w:val="24"/>
          <w:szCs w:val="24"/>
        </w:rPr>
        <w:t>的内控体系，并通过信息技术手段，审慎设置规模、授信、杠杆率、价格偏离等指标，实现债券交易业务全程留痕。</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二）参与者应将自营、资产管理、投资顾问等各类前台业务相互隔离，在资产、人员、系统、制度等方面建立有效防火墙，且不得以人员挂靠、业务包干等承包方式开展业务，或以其他形式放松管理、实施过度激励。</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（三）参与者的合</w:t>
      </w:r>
      <w:proofErr w:type="gramStart"/>
      <w:r w:rsidRPr="005725F0">
        <w:rPr>
          <w:rFonts w:ascii="宋体" w:eastAsia="宋体" w:hAnsi="宋体" w:cs="宋体" w:hint="eastAsia"/>
          <w:color w:val="333333"/>
          <w:kern w:val="0"/>
          <w:sz w:val="24"/>
          <w:szCs w:val="24"/>
        </w:rPr>
        <w:t>规</w:t>
      </w:r>
      <w:proofErr w:type="gramEnd"/>
      <w:r w:rsidRPr="005725F0">
        <w:rPr>
          <w:rFonts w:ascii="宋体" w:eastAsia="宋体" w:hAnsi="宋体" w:cs="宋体" w:hint="eastAsia"/>
          <w:color w:val="333333"/>
          <w:kern w:val="0"/>
          <w:sz w:val="24"/>
          <w:szCs w:val="24"/>
        </w:rPr>
        <w:t>管理、风险控制、清算交收财务核算等中后台业务部门应全面掌握前台部门债券交易情况，加强对债券交易的合</w:t>
      </w:r>
      <w:proofErr w:type="gramStart"/>
      <w:r w:rsidRPr="005725F0">
        <w:rPr>
          <w:rFonts w:ascii="宋体" w:eastAsia="宋体" w:hAnsi="宋体" w:cs="宋体" w:hint="eastAsia"/>
          <w:color w:val="333333"/>
          <w:kern w:val="0"/>
          <w:sz w:val="24"/>
          <w:szCs w:val="24"/>
        </w:rPr>
        <w:t>规</w:t>
      </w:r>
      <w:proofErr w:type="gramEnd"/>
      <w:r w:rsidRPr="005725F0">
        <w:rPr>
          <w:rFonts w:ascii="宋体" w:eastAsia="宋体" w:hAnsi="宋体" w:cs="宋体" w:hint="eastAsia"/>
          <w:color w:val="333333"/>
          <w:kern w:val="0"/>
          <w:sz w:val="24"/>
          <w:szCs w:val="24"/>
        </w:rPr>
        <w:t>性审查与风险控制。</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（四）前中后台等业务岗位设置应相互分离，并由具备相应执业能力的人员专门担任，不得岗位兼任或混合操作。</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（五）金融监管部门另有规定的，按照从严标准执行。</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三、参与者不得通过任何债券交易形式进行利益输送、内慕交易、操纵市场、规避内控或监管，或者为他人规避内控与监管提供便利。非法人产品的资产管理人与托管人应按照有关规定履行交易结算等合</w:t>
      </w:r>
      <w:proofErr w:type="gramStart"/>
      <w:r w:rsidRPr="005725F0">
        <w:rPr>
          <w:rFonts w:ascii="宋体" w:eastAsia="宋体" w:hAnsi="宋体" w:cs="宋体" w:hint="eastAsia"/>
          <w:color w:val="333333"/>
          <w:kern w:val="0"/>
          <w:sz w:val="24"/>
          <w:szCs w:val="24"/>
          <w:shd w:val="clear" w:color="auto" w:fill="FFFFFF"/>
        </w:rPr>
        <w:t>规</w:t>
      </w:r>
      <w:proofErr w:type="gramEnd"/>
      <w:r w:rsidRPr="005725F0">
        <w:rPr>
          <w:rFonts w:ascii="宋体" w:eastAsia="宋体" w:hAnsi="宋体" w:cs="宋体" w:hint="eastAsia"/>
          <w:color w:val="333333"/>
          <w:kern w:val="0"/>
          <w:sz w:val="24"/>
          <w:szCs w:val="24"/>
          <w:shd w:val="clear" w:color="auto" w:fill="FFFFFF"/>
        </w:rPr>
        <w:t>义务，并承担相应责任。</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四、参与者应严格遵守债券市场账户管理有关规定，不得出借自己的债券账户，不得借用他人债券账户进行债券交易。</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lastRenderedPageBreak/>
        <w:t>五、参与者应严格遵守债券市场有关规定，在指定交易平台规范开展债券交易，未事先向金融监管部门报备不得开展线下债券交易。货币经纪公司应按照有关规定规范开展各类经纪业务。</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六、参与者应该按照实质重于形式的原则，按照规定签订交易合同及相关主协议。其中，开展债券回购交易的应签订回购主协议，开展债券远期交易的应签订</w:t>
      </w:r>
      <w:proofErr w:type="gramStart"/>
      <w:r w:rsidRPr="005725F0">
        <w:rPr>
          <w:rFonts w:ascii="宋体" w:eastAsia="宋体" w:hAnsi="宋体" w:cs="宋体" w:hint="eastAsia"/>
          <w:color w:val="333333"/>
          <w:kern w:val="0"/>
          <w:sz w:val="24"/>
          <w:szCs w:val="24"/>
          <w:shd w:val="clear" w:color="auto" w:fill="FFFFFF"/>
        </w:rPr>
        <w:t>衍生品主协议</w:t>
      </w:r>
      <w:proofErr w:type="gramEnd"/>
      <w:r w:rsidRPr="005725F0">
        <w:rPr>
          <w:rFonts w:ascii="宋体" w:eastAsia="宋体" w:hAnsi="宋体" w:cs="宋体" w:hint="eastAsia"/>
          <w:color w:val="333333"/>
          <w:kern w:val="0"/>
          <w:sz w:val="24"/>
          <w:szCs w:val="24"/>
          <w:shd w:val="clear" w:color="auto" w:fill="FFFFFF"/>
        </w:rPr>
        <w:t>等。严禁通过任何形式的“抽屉协议”或通过变相交易、组合交易等方式规避内控及监管要求。</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七、参与者开展债券回购交易，应按照会计准则要求将交易纳入机构资产负债表内及非法人产品表内核算，计入机构资产负债表内及非法人产品表内核算，计入“买入返售”或“卖出回购”科目。</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约定由他人暂时持有但最终须购回或者为他人暂时持有但</w:t>
      </w:r>
      <w:proofErr w:type="gramStart"/>
      <w:r w:rsidRPr="005725F0">
        <w:rPr>
          <w:rFonts w:ascii="宋体" w:eastAsia="宋体" w:hAnsi="宋体" w:cs="宋体" w:hint="eastAsia"/>
          <w:color w:val="333333"/>
          <w:kern w:val="0"/>
          <w:sz w:val="24"/>
          <w:szCs w:val="24"/>
        </w:rPr>
        <w:t>最终须返售</w:t>
      </w:r>
      <w:proofErr w:type="gramEnd"/>
      <w:r w:rsidRPr="005725F0">
        <w:rPr>
          <w:rFonts w:ascii="宋体" w:eastAsia="宋体" w:hAnsi="宋体" w:cs="宋体" w:hint="eastAsia"/>
          <w:color w:val="333333"/>
          <w:kern w:val="0"/>
          <w:sz w:val="24"/>
          <w:szCs w:val="24"/>
        </w:rPr>
        <w:t>的债券交易，均属于买断式回购，债券发行分销</w:t>
      </w:r>
      <w:proofErr w:type="gramStart"/>
      <w:r w:rsidRPr="005725F0">
        <w:rPr>
          <w:rFonts w:ascii="宋体" w:eastAsia="宋体" w:hAnsi="宋体" w:cs="宋体" w:hint="eastAsia"/>
          <w:color w:val="333333"/>
          <w:kern w:val="0"/>
          <w:sz w:val="24"/>
          <w:szCs w:val="24"/>
        </w:rPr>
        <w:t>期间代</w:t>
      </w:r>
      <w:proofErr w:type="gramEnd"/>
      <w:r w:rsidRPr="005725F0">
        <w:rPr>
          <w:rFonts w:ascii="宋体" w:eastAsia="宋体" w:hAnsi="宋体" w:cs="宋体" w:hint="eastAsia"/>
          <w:color w:val="333333"/>
          <w:kern w:val="0"/>
          <w:sz w:val="24"/>
          <w:szCs w:val="24"/>
        </w:rPr>
        <w:t>申购、代缴款的情形除外。开展买断式回购交易的，正回购方应将逆回购方暂时持有的债券继续按照自有债券进行会计核算，并以此计算相应监管资本、风险准备</w:t>
      </w:r>
      <w:proofErr w:type="gramStart"/>
      <w:r w:rsidRPr="005725F0">
        <w:rPr>
          <w:rFonts w:ascii="宋体" w:eastAsia="宋体" w:hAnsi="宋体" w:cs="宋体" w:hint="eastAsia"/>
          <w:color w:val="333333"/>
          <w:kern w:val="0"/>
          <w:sz w:val="24"/>
          <w:szCs w:val="24"/>
        </w:rPr>
        <w:t>等风控指标</w:t>
      </w:r>
      <w:proofErr w:type="gramEnd"/>
      <w:r w:rsidRPr="005725F0">
        <w:rPr>
          <w:rFonts w:ascii="宋体" w:eastAsia="宋体" w:hAnsi="宋体" w:cs="宋体" w:hint="eastAsia"/>
          <w:color w:val="333333"/>
          <w:kern w:val="0"/>
          <w:sz w:val="24"/>
          <w:szCs w:val="24"/>
        </w:rPr>
        <w:t>，统一纳入规模、杠杆、集中度等指标控制。</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八、参与者在债券市场开展质押式回购交易，应按照有关法律法规办理质押登记，参与者开展质押式回购与买断式回购最长期限均不得超过365天。经交易双方协商一致，质押式回购交易可以换</w:t>
      </w:r>
      <w:proofErr w:type="gramStart"/>
      <w:r w:rsidRPr="005725F0">
        <w:rPr>
          <w:rFonts w:ascii="宋体" w:eastAsia="宋体" w:hAnsi="宋体" w:cs="宋体" w:hint="eastAsia"/>
          <w:color w:val="333333"/>
          <w:kern w:val="0"/>
          <w:sz w:val="24"/>
          <w:szCs w:val="24"/>
          <w:shd w:val="clear" w:color="auto" w:fill="FFFFFF"/>
        </w:rPr>
        <w:t>券</w:t>
      </w:r>
      <w:proofErr w:type="gramEnd"/>
      <w:r w:rsidRPr="005725F0">
        <w:rPr>
          <w:rFonts w:ascii="宋体" w:eastAsia="宋体" w:hAnsi="宋体" w:cs="宋体" w:hint="eastAsia"/>
          <w:color w:val="333333"/>
          <w:kern w:val="0"/>
          <w:sz w:val="24"/>
          <w:szCs w:val="24"/>
          <w:shd w:val="clear" w:color="auto" w:fill="FFFFFF"/>
        </w:rPr>
        <w:t>，买断式回购交易可以现金交割和提前赎回。</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九、参与者应按照审慎展业原则，严格遵守中国人民银行和各金融监管部门制定的流动性、杠杆率等风险监管指标要求，并合理控制债券交易杠杆比率。出现下列情形的，参与者应及时向相关金融监管部门报告：</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（一）存款类金融机构（不含开发性银行与政策性银行）自营债券正回购资金余额或逆回购资金余额超过其上季度末净资产80%的。</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（二）其他金融机构，包括但不限于信托公司、金融资产管理公司、证券公司、基金公司、期货公司等，债券正回购资金余额或逆回购资金余额超过其上月末净资产120%的。</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（三）保险公司自营债券正回购资金余额或逆回购资金余额超过其上季度末总资产20%的。</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（四）公</w:t>
      </w:r>
      <w:proofErr w:type="gramStart"/>
      <w:r w:rsidRPr="005725F0">
        <w:rPr>
          <w:rFonts w:ascii="宋体" w:eastAsia="宋体" w:hAnsi="宋体" w:cs="宋体" w:hint="eastAsia"/>
          <w:color w:val="333333"/>
          <w:kern w:val="0"/>
          <w:sz w:val="24"/>
          <w:szCs w:val="24"/>
        </w:rPr>
        <w:t>募性质</w:t>
      </w:r>
      <w:proofErr w:type="gramEnd"/>
      <w:r w:rsidRPr="005725F0">
        <w:rPr>
          <w:rFonts w:ascii="宋体" w:eastAsia="宋体" w:hAnsi="宋体" w:cs="宋体" w:hint="eastAsia"/>
          <w:color w:val="333333"/>
          <w:kern w:val="0"/>
          <w:sz w:val="24"/>
          <w:szCs w:val="24"/>
        </w:rPr>
        <w:t>的非法人产品，包括但不限于以公开方式向不特定社会公众发行的银行理财产品、公募证券投资基金等，债券正回购资金余额或逆回购资金余额超过其上一日净资产40%的。其中，封闭运作基金和避险策略基金债券正回购资金余额或逆回购资金余额超过其上一日净资产100％的。</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lastRenderedPageBreak/>
        <w:t>（五）私募性质的非法人产品，包括但不限于银行向私人</w:t>
      </w:r>
      <w:proofErr w:type="gramStart"/>
      <w:r w:rsidRPr="005725F0">
        <w:rPr>
          <w:rFonts w:ascii="宋体" w:eastAsia="宋体" w:hAnsi="宋体" w:cs="宋体" w:hint="eastAsia"/>
          <w:color w:val="333333"/>
          <w:kern w:val="0"/>
          <w:sz w:val="24"/>
          <w:szCs w:val="24"/>
        </w:rPr>
        <w:t>银行银行</w:t>
      </w:r>
      <w:proofErr w:type="gramEnd"/>
      <w:r w:rsidRPr="005725F0">
        <w:rPr>
          <w:rFonts w:ascii="宋体" w:eastAsia="宋体" w:hAnsi="宋体" w:cs="宋体" w:hint="eastAsia"/>
          <w:color w:val="333333"/>
          <w:kern w:val="0"/>
          <w:sz w:val="24"/>
          <w:szCs w:val="24"/>
        </w:rPr>
        <w:t>客户、高资产净值客户和合格机构客户非公开发行的理财产品，资金信托计划，证券、基金、期货公司及其子公司发行的客户资产管理计划，保险资产管理产品等，债券正回购资金余额或逆回购资金余额超过其上一日净资产100%的。</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参与者应向全国银行间同业拆借中心、上海证券交易所、深圳证券交易所和相关债券登记托管机构（以下简称市场中介机构）报送相关财务数据。参与者未按相关要求报送数据的，市场中介机构可拒绝为其提供服务。</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本条所指的债券回购不包含与中国人民银行进行的债券回购。</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对于多层嵌套的产品，其净资产按照穿透至公</w:t>
      </w:r>
      <w:proofErr w:type="gramStart"/>
      <w:r w:rsidRPr="005725F0">
        <w:rPr>
          <w:rFonts w:ascii="宋体" w:eastAsia="宋体" w:hAnsi="宋体" w:cs="宋体" w:hint="eastAsia"/>
          <w:color w:val="333333"/>
          <w:kern w:val="0"/>
          <w:sz w:val="24"/>
          <w:szCs w:val="24"/>
        </w:rPr>
        <w:t>募产品</w:t>
      </w:r>
      <w:proofErr w:type="gramEnd"/>
      <w:r w:rsidRPr="005725F0">
        <w:rPr>
          <w:rFonts w:ascii="宋体" w:eastAsia="宋体" w:hAnsi="宋体" w:cs="宋体" w:hint="eastAsia"/>
          <w:color w:val="333333"/>
          <w:kern w:val="0"/>
          <w:sz w:val="24"/>
          <w:szCs w:val="24"/>
        </w:rPr>
        <w:t>或法人、自然人等委托方计算，相关金融监管部门另有规定的除外。</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br/>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十、市场中介机构应加强债券市场债券交易日常监测，建立数据信息共享机制，发现参与者有第九条所列情形的，应及时向中国人民银行和金融监管部门报告，并根据中国人民银行及金融监管部门的要求向市场进行信息披露。</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r w:rsidRPr="005725F0">
        <w:rPr>
          <w:rFonts w:ascii="宋体" w:eastAsia="宋体" w:hAnsi="宋体" w:cs="宋体" w:hint="eastAsia"/>
          <w:color w:val="333333"/>
          <w:kern w:val="0"/>
          <w:sz w:val="24"/>
          <w:szCs w:val="24"/>
          <w:shd w:val="clear" w:color="auto" w:fill="FFFFFF"/>
        </w:rPr>
        <w:t>十一、中国人民银行对债券市场实施宏观审慎管理，必要时可对参与者杠杆要求进行逆周期的动态调整，并协调各金融监管部门开展债券交易业务规范管理工作。各金融监管部门加强对所管理的金融机构及其他债券市场参与者内控制度建设、债券交易规范、杠杆比率审慎水平的监督检查，并依法对有关违法违规行为进行处罚。</w:t>
      </w:r>
    </w:p>
    <w:p w:rsidR="005725F0" w:rsidRPr="005725F0" w:rsidRDefault="005725F0" w:rsidP="005725F0">
      <w:pPr>
        <w:widowControl/>
        <w:shd w:val="clear" w:color="auto" w:fill="FFFFFF"/>
        <w:wordWrap w:val="0"/>
        <w:ind w:firstLine="480"/>
        <w:jc w:val="left"/>
        <w:rPr>
          <w:rFonts w:ascii="微软雅黑" w:eastAsia="微软雅黑" w:hAnsi="微软雅黑" w:cs="宋体" w:hint="eastAsia"/>
          <w:color w:val="777777"/>
          <w:kern w:val="0"/>
          <w:szCs w:val="21"/>
        </w:rPr>
      </w:pP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十二、中国银行间市场交易商协会等行业自律组织应完善相关自律规则，加强对参与者的自律管理，维护市场秩序。</w:t>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br/>
      </w:r>
    </w:p>
    <w:p w:rsidR="005725F0" w:rsidRPr="005725F0" w:rsidRDefault="005725F0" w:rsidP="005725F0">
      <w:pPr>
        <w:widowControl/>
        <w:shd w:val="clear" w:color="auto" w:fill="FFFFFF"/>
        <w:wordWrap w:val="0"/>
        <w:ind w:firstLine="480"/>
        <w:jc w:val="left"/>
        <w:rPr>
          <w:rFonts w:ascii="宋体" w:eastAsia="宋体" w:hAnsi="宋体" w:cs="宋体" w:hint="eastAsia"/>
          <w:color w:val="333333"/>
          <w:kern w:val="0"/>
          <w:szCs w:val="21"/>
        </w:rPr>
      </w:pPr>
      <w:r w:rsidRPr="005725F0">
        <w:rPr>
          <w:rFonts w:ascii="宋体" w:eastAsia="宋体" w:hAnsi="宋体" w:cs="宋体" w:hint="eastAsia"/>
          <w:color w:val="333333"/>
          <w:kern w:val="0"/>
          <w:sz w:val="24"/>
          <w:szCs w:val="24"/>
        </w:rPr>
        <w:t>十三、本通知自印发之日起施行，参与者应严格按照本通知要求，对内控制度等进行自查整改，一年内未完成整改的，不得新开展各类债券交易。对于本通知印发之日尚未了结的不符合本通知要求的各类债券交易，可以按合同继续履行，但不得续作，同时应当向金融监管部门报告，并按有关要求纳入表内规范。因纳入表内造成相关规模、杠杆、集中度不达标的，一年之内予以豁免。</w:t>
      </w:r>
    </w:p>
    <w:p w:rsidR="005725F0" w:rsidRPr="005725F0" w:rsidRDefault="005725F0" w:rsidP="005725F0">
      <w:pPr>
        <w:widowControl/>
        <w:shd w:val="clear" w:color="auto" w:fill="FFFFFF"/>
        <w:wordWrap w:val="0"/>
        <w:ind w:firstLine="480"/>
        <w:jc w:val="right"/>
        <w:rPr>
          <w:rFonts w:ascii="宋体" w:eastAsia="宋体" w:hAnsi="宋体" w:cs="宋体" w:hint="eastAsia"/>
          <w:color w:val="333333"/>
          <w:kern w:val="0"/>
          <w:szCs w:val="21"/>
        </w:rPr>
      </w:pPr>
      <w:r w:rsidRPr="005725F0">
        <w:rPr>
          <w:rFonts w:ascii="宋体" w:eastAsia="宋体" w:hAnsi="宋体" w:cs="宋体" w:hint="eastAsia"/>
          <w:b/>
          <w:bCs/>
          <w:color w:val="000000"/>
          <w:kern w:val="0"/>
          <w:szCs w:val="21"/>
        </w:rPr>
        <w:br/>
      </w:r>
    </w:p>
    <w:p w:rsidR="005725F0" w:rsidRPr="005725F0" w:rsidRDefault="005725F0" w:rsidP="005725F0">
      <w:pPr>
        <w:widowControl/>
        <w:shd w:val="clear" w:color="auto" w:fill="FFFFFF"/>
        <w:wordWrap w:val="0"/>
        <w:ind w:firstLine="480"/>
        <w:jc w:val="right"/>
        <w:rPr>
          <w:rFonts w:ascii="宋体" w:eastAsia="宋体" w:hAnsi="宋体" w:cs="宋体" w:hint="eastAsia"/>
          <w:color w:val="333333"/>
          <w:kern w:val="0"/>
          <w:szCs w:val="21"/>
        </w:rPr>
      </w:pPr>
      <w:r w:rsidRPr="005725F0">
        <w:rPr>
          <w:rFonts w:ascii="宋体" w:eastAsia="宋体" w:hAnsi="宋体" w:cs="宋体" w:hint="eastAsia"/>
          <w:b/>
          <w:bCs/>
          <w:color w:val="000000"/>
          <w:kern w:val="0"/>
          <w:sz w:val="24"/>
          <w:szCs w:val="24"/>
        </w:rPr>
        <w:t>中国人民银行</w:t>
      </w:r>
    </w:p>
    <w:p w:rsidR="005725F0" w:rsidRPr="005725F0" w:rsidRDefault="005725F0" w:rsidP="005725F0">
      <w:pPr>
        <w:widowControl/>
        <w:shd w:val="clear" w:color="auto" w:fill="FFFFFF"/>
        <w:wordWrap w:val="0"/>
        <w:ind w:firstLine="480"/>
        <w:jc w:val="right"/>
        <w:rPr>
          <w:rFonts w:ascii="宋体" w:eastAsia="宋体" w:hAnsi="宋体" w:cs="宋体" w:hint="eastAsia"/>
          <w:color w:val="333333"/>
          <w:kern w:val="0"/>
          <w:szCs w:val="21"/>
        </w:rPr>
      </w:pPr>
      <w:r w:rsidRPr="005725F0">
        <w:rPr>
          <w:rFonts w:ascii="宋体" w:eastAsia="宋体" w:hAnsi="宋体" w:cs="宋体" w:hint="eastAsia"/>
          <w:b/>
          <w:bCs/>
          <w:color w:val="000000"/>
          <w:kern w:val="0"/>
          <w:sz w:val="24"/>
          <w:szCs w:val="24"/>
        </w:rPr>
        <w:t>中国银行业监督管理委员会</w:t>
      </w:r>
    </w:p>
    <w:p w:rsidR="005725F0" w:rsidRPr="005725F0" w:rsidRDefault="005725F0" w:rsidP="005725F0">
      <w:pPr>
        <w:widowControl/>
        <w:shd w:val="clear" w:color="auto" w:fill="FFFFFF"/>
        <w:wordWrap w:val="0"/>
        <w:ind w:firstLine="480"/>
        <w:jc w:val="right"/>
        <w:rPr>
          <w:rFonts w:ascii="宋体" w:eastAsia="宋体" w:hAnsi="宋体" w:cs="宋体" w:hint="eastAsia"/>
          <w:color w:val="333333"/>
          <w:kern w:val="0"/>
          <w:szCs w:val="21"/>
        </w:rPr>
      </w:pPr>
      <w:r w:rsidRPr="005725F0">
        <w:rPr>
          <w:rFonts w:ascii="宋体" w:eastAsia="宋体" w:hAnsi="宋体" w:cs="宋体" w:hint="eastAsia"/>
          <w:b/>
          <w:bCs/>
          <w:color w:val="000000"/>
          <w:kern w:val="0"/>
          <w:sz w:val="24"/>
          <w:szCs w:val="24"/>
        </w:rPr>
        <w:t>中国证券监督管理委员会</w:t>
      </w:r>
    </w:p>
    <w:p w:rsidR="005725F0" w:rsidRPr="005725F0" w:rsidRDefault="005725F0" w:rsidP="005725F0">
      <w:pPr>
        <w:widowControl/>
        <w:shd w:val="clear" w:color="auto" w:fill="FFFFFF"/>
        <w:wordWrap w:val="0"/>
        <w:ind w:firstLine="480"/>
        <w:jc w:val="right"/>
        <w:rPr>
          <w:rFonts w:ascii="宋体" w:eastAsia="宋体" w:hAnsi="宋体" w:cs="宋体" w:hint="eastAsia"/>
          <w:color w:val="333333"/>
          <w:kern w:val="0"/>
          <w:szCs w:val="21"/>
        </w:rPr>
      </w:pPr>
      <w:r w:rsidRPr="005725F0">
        <w:rPr>
          <w:rFonts w:ascii="宋体" w:eastAsia="宋体" w:hAnsi="宋体" w:cs="宋体" w:hint="eastAsia"/>
          <w:b/>
          <w:bCs/>
          <w:color w:val="000000"/>
          <w:kern w:val="0"/>
          <w:sz w:val="24"/>
          <w:szCs w:val="24"/>
        </w:rPr>
        <w:t>中国保险监督管理委员会</w:t>
      </w:r>
    </w:p>
    <w:p w:rsidR="005725F0" w:rsidRPr="005725F0" w:rsidRDefault="005725F0" w:rsidP="005725F0">
      <w:pPr>
        <w:widowControl/>
        <w:shd w:val="clear" w:color="auto" w:fill="FFFFFF"/>
        <w:wordWrap w:val="0"/>
        <w:ind w:firstLine="480"/>
        <w:jc w:val="right"/>
        <w:rPr>
          <w:rFonts w:ascii="微软雅黑" w:eastAsia="微软雅黑" w:hAnsi="微软雅黑" w:cs="宋体" w:hint="eastAsia"/>
          <w:color w:val="777777"/>
          <w:kern w:val="0"/>
          <w:szCs w:val="21"/>
        </w:rPr>
      </w:pPr>
      <w:r w:rsidRPr="005725F0">
        <w:rPr>
          <w:rFonts w:ascii="宋体" w:eastAsia="宋体" w:hAnsi="宋体" w:cs="宋体" w:hint="eastAsia"/>
          <w:b/>
          <w:bCs/>
          <w:color w:val="000000"/>
          <w:kern w:val="0"/>
          <w:sz w:val="24"/>
          <w:szCs w:val="24"/>
          <w:shd w:val="clear" w:color="auto" w:fill="FFFFFF"/>
        </w:rPr>
        <w:t>2017年12月</w:t>
      </w:r>
    </w:p>
    <w:p w:rsidR="007B08E5" w:rsidRDefault="007B08E5"/>
    <w:sectPr w:rsidR="007B0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B3F"/>
    <w:rsid w:val="005725F0"/>
    <w:rsid w:val="007B08E5"/>
    <w:rsid w:val="0087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72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5F0"/>
    <w:rPr>
      <w:rFonts w:ascii="宋体" w:eastAsia="宋体" w:hAnsi="宋体" w:cs="宋体"/>
      <w:b/>
      <w:bCs/>
      <w:kern w:val="36"/>
      <w:sz w:val="48"/>
      <w:szCs w:val="48"/>
    </w:rPr>
  </w:style>
  <w:style w:type="character" w:styleId="a3">
    <w:name w:val="Strong"/>
    <w:basedOn w:val="a0"/>
    <w:uiPriority w:val="22"/>
    <w:qFormat/>
    <w:rsid w:val="005725F0"/>
    <w:rPr>
      <w:b/>
      <w:bCs/>
    </w:rPr>
  </w:style>
  <w:style w:type="paragraph" w:styleId="a4">
    <w:name w:val="Normal (Web)"/>
    <w:basedOn w:val="a"/>
    <w:uiPriority w:val="99"/>
    <w:semiHidden/>
    <w:unhideWhenUsed/>
    <w:rsid w:val="005725F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72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5F0"/>
    <w:rPr>
      <w:rFonts w:ascii="宋体" w:eastAsia="宋体" w:hAnsi="宋体" w:cs="宋体"/>
      <w:b/>
      <w:bCs/>
      <w:kern w:val="36"/>
      <w:sz w:val="48"/>
      <w:szCs w:val="48"/>
    </w:rPr>
  </w:style>
  <w:style w:type="character" w:styleId="a3">
    <w:name w:val="Strong"/>
    <w:basedOn w:val="a0"/>
    <w:uiPriority w:val="22"/>
    <w:qFormat/>
    <w:rsid w:val="005725F0"/>
    <w:rPr>
      <w:b/>
      <w:bCs/>
    </w:rPr>
  </w:style>
  <w:style w:type="paragraph" w:styleId="a4">
    <w:name w:val="Normal (Web)"/>
    <w:basedOn w:val="a"/>
    <w:uiPriority w:val="99"/>
    <w:semiHidden/>
    <w:unhideWhenUsed/>
    <w:rsid w:val="005725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2295</Characters>
  <Application>Microsoft Office Word</Application>
  <DocSecurity>0</DocSecurity>
  <Lines>19</Lines>
  <Paragraphs>5</Paragraphs>
  <ScaleCrop>false</ScaleCrop>
  <Company>Microsoft</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2018-06-13T07:19:00Z</dcterms:created>
  <dcterms:modified xsi:type="dcterms:W3CDTF">2018-06-13T07:19:00Z</dcterms:modified>
</cp:coreProperties>
</file>