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D2" w:rsidRPr="002027D2" w:rsidRDefault="002027D2" w:rsidP="00AD060B">
      <w:pPr>
        <w:widowControl/>
        <w:jc w:val="center"/>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b/>
          <w:bCs/>
          <w:color w:val="4D4F53"/>
          <w:spacing w:val="15"/>
          <w:kern w:val="0"/>
          <w:sz w:val="27"/>
          <w:szCs w:val="27"/>
        </w:rPr>
        <w:t>关于调整商业银行贷款损失准备监管要求的通知</w:t>
      </w:r>
    </w:p>
    <w:p w:rsidR="00AD060B" w:rsidRDefault="00AD060B" w:rsidP="00AD060B">
      <w:pPr>
        <w:widowControl/>
        <w:jc w:val="center"/>
        <w:rPr>
          <w:rFonts w:ascii="微软雅黑" w:eastAsia="微软雅黑" w:hAnsi="微软雅黑" w:cs="宋体" w:hint="eastAsia"/>
          <w:b/>
          <w:bCs/>
          <w:color w:val="4D4F53"/>
          <w:spacing w:val="15"/>
          <w:kern w:val="0"/>
          <w:sz w:val="27"/>
          <w:szCs w:val="27"/>
        </w:rPr>
      </w:pPr>
    </w:p>
    <w:p w:rsidR="002027D2" w:rsidRPr="002027D2" w:rsidRDefault="002027D2" w:rsidP="00AD060B">
      <w:pPr>
        <w:widowControl/>
        <w:jc w:val="center"/>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b/>
          <w:bCs/>
          <w:color w:val="4D4F53"/>
          <w:spacing w:val="15"/>
          <w:kern w:val="0"/>
          <w:sz w:val="27"/>
          <w:szCs w:val="27"/>
        </w:rPr>
        <w:t>银监发[2018]7号</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proofErr w:type="gramStart"/>
      <w:r w:rsidRPr="002027D2">
        <w:rPr>
          <w:rFonts w:ascii="微软雅黑" w:eastAsia="微软雅黑" w:hAnsi="微软雅黑" w:cs="宋体" w:hint="eastAsia"/>
          <w:color w:val="4D4F53"/>
          <w:spacing w:val="15"/>
          <w:kern w:val="0"/>
          <w:sz w:val="27"/>
          <w:szCs w:val="27"/>
        </w:rPr>
        <w:t>各银监</w:t>
      </w:r>
      <w:proofErr w:type="gramEnd"/>
      <w:r w:rsidRPr="002027D2">
        <w:rPr>
          <w:rFonts w:ascii="微软雅黑" w:eastAsia="微软雅黑" w:hAnsi="微软雅黑" w:cs="宋体" w:hint="eastAsia"/>
          <w:color w:val="4D4F53"/>
          <w:spacing w:val="15"/>
          <w:kern w:val="0"/>
          <w:sz w:val="27"/>
          <w:szCs w:val="27"/>
        </w:rPr>
        <w:t>局：</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为有效服务供给侧结构性改革，督促商业银行加大不良贷款处置力度，真实反映资产质量，腾出更多信贷资源提升服务实体经济能力，根据《商业银行贷款损失准备管理办法》（银监会令2011年第4号）有关规定，决定调整商业银行贷款损失准备监管要求。</w:t>
      </w:r>
      <w:bookmarkStart w:id="0" w:name="_GoBack"/>
      <w:bookmarkEnd w:id="0"/>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现就有关事项通知如下。</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一、调整内容</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拨备覆盖率监管要求由150%调整为120%~150%，贷款</w:t>
      </w:r>
      <w:proofErr w:type="gramStart"/>
      <w:r w:rsidRPr="002027D2">
        <w:rPr>
          <w:rFonts w:ascii="微软雅黑" w:eastAsia="微软雅黑" w:hAnsi="微软雅黑" w:cs="宋体" w:hint="eastAsia"/>
          <w:color w:val="4D4F53"/>
          <w:spacing w:val="15"/>
          <w:kern w:val="0"/>
          <w:sz w:val="27"/>
          <w:szCs w:val="27"/>
        </w:rPr>
        <w:t>拨备率监管</w:t>
      </w:r>
      <w:proofErr w:type="gramEnd"/>
      <w:r w:rsidRPr="002027D2">
        <w:rPr>
          <w:rFonts w:ascii="微软雅黑" w:eastAsia="微软雅黑" w:hAnsi="微软雅黑" w:cs="宋体" w:hint="eastAsia"/>
          <w:color w:val="4D4F53"/>
          <w:spacing w:val="15"/>
          <w:kern w:val="0"/>
          <w:sz w:val="27"/>
          <w:szCs w:val="27"/>
        </w:rPr>
        <w:t>要求由2.5%调整为1.5%~2.5%。</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二、调整方式及参考因素</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各级监管部门在上述调整区间范围内，按照同质同类、一行</w:t>
      </w:r>
      <w:proofErr w:type="gramStart"/>
      <w:r w:rsidRPr="002027D2">
        <w:rPr>
          <w:rFonts w:ascii="微软雅黑" w:eastAsia="微软雅黑" w:hAnsi="微软雅黑" w:cs="宋体" w:hint="eastAsia"/>
          <w:color w:val="4D4F53"/>
          <w:spacing w:val="15"/>
          <w:kern w:val="0"/>
          <w:sz w:val="27"/>
          <w:szCs w:val="27"/>
        </w:rPr>
        <w:t>一</w:t>
      </w:r>
      <w:proofErr w:type="gramEnd"/>
      <w:r w:rsidRPr="002027D2">
        <w:rPr>
          <w:rFonts w:ascii="微软雅黑" w:eastAsia="微软雅黑" w:hAnsi="微软雅黑" w:cs="宋体" w:hint="eastAsia"/>
          <w:color w:val="4D4F53"/>
          <w:spacing w:val="15"/>
          <w:kern w:val="0"/>
          <w:sz w:val="27"/>
          <w:szCs w:val="27"/>
        </w:rPr>
        <w:t>策原则，明确银行贷款损失准备监管要求。</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“同质同类”是指，各机构监管部门原则上应制定相应类别机构的差异化实施细则并及时印发实施。</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lastRenderedPageBreak/>
        <w:t xml:space="preserve">　　“一行一策”是指，各机构监管部门和银监局按照本通知和实施细则，进一步明确单家银行的贷款损失准备监管要求。</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各类机构实施细则及对单家银行的监管要求不能低于本通知要求。确定单家银行具体监管要求时，应考虑以下三方面因素（定量标准参见附件）。</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（一）贷款分类准确性。</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根据单家银行逾期90天以上贷款纳入不良贷款的比例，对风险分类结果准确性高的银行，可适度下调贷款损失准备监管要求。各级监管部门结合风险排查、现场检查发现的不良贷款违规</w:t>
      </w:r>
      <w:proofErr w:type="gramStart"/>
      <w:r w:rsidRPr="002027D2">
        <w:rPr>
          <w:rFonts w:ascii="微软雅黑" w:eastAsia="微软雅黑" w:hAnsi="微软雅黑" w:cs="宋体" w:hint="eastAsia"/>
          <w:color w:val="4D4F53"/>
          <w:spacing w:val="15"/>
          <w:kern w:val="0"/>
          <w:sz w:val="27"/>
          <w:szCs w:val="27"/>
        </w:rPr>
        <w:t>虚假出表等</w:t>
      </w:r>
      <w:proofErr w:type="gramEnd"/>
      <w:r w:rsidRPr="002027D2">
        <w:rPr>
          <w:rFonts w:ascii="微软雅黑" w:eastAsia="微软雅黑" w:hAnsi="微软雅黑" w:cs="宋体" w:hint="eastAsia"/>
          <w:color w:val="4D4F53"/>
          <w:spacing w:val="15"/>
          <w:kern w:val="0"/>
          <w:sz w:val="27"/>
          <w:szCs w:val="27"/>
        </w:rPr>
        <w:t>掩藏风险情况，可适度提高单家银行贷款损失准备监管要求。</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（二）处置不良贷款主动性。</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根据单家银行处置的不良贷款与新形成不良贷款的比例，对积极主动利用贷款损失准备处置不良贷款的银行，可适度下调贷款损失准备监管要求。</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（三）资本充足性。</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根据单家银行资本充足率情况，对资本充足率高的银行，可适度下调贷款损失准备监管要求。对资本充足率不达标的银行，不得下调贷款损失准备监管要求。</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lastRenderedPageBreak/>
        <w:t xml:space="preserve">　　</w:t>
      </w:r>
      <w:r w:rsidRPr="002027D2">
        <w:rPr>
          <w:rFonts w:ascii="微软雅黑" w:eastAsia="微软雅黑" w:hAnsi="微软雅黑" w:cs="宋体" w:hint="eastAsia"/>
          <w:b/>
          <w:bCs/>
          <w:color w:val="4D4F53"/>
          <w:spacing w:val="15"/>
          <w:kern w:val="0"/>
          <w:sz w:val="27"/>
          <w:szCs w:val="27"/>
        </w:rPr>
        <w:t>三、相关要求</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（一）各级监管部门应督促商业银行严格执行贷款风险分类监管要求，完善内部风险分类政策和流程，认真排查整改贷款风险分类不准确等问题，确保分类结果真实反映贷款风险，提高审慎经营水平。</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二）各级监管部门应加强对商业银行不良贷款水平和贷款损失准备变化情况的监测，督促商业银行积极利用贷款损失准备处置不良贷款，切实发挥贷款损失准备的风险缓冲功能，确保释放贷款损失准备与处置不良贷款基本同步。</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（三）对下调贷款损失准备监管要求且</w:t>
      </w:r>
      <w:proofErr w:type="gramStart"/>
      <w:r w:rsidRPr="002027D2">
        <w:rPr>
          <w:rFonts w:ascii="微软雅黑" w:eastAsia="微软雅黑" w:hAnsi="微软雅黑" w:cs="宋体" w:hint="eastAsia"/>
          <w:color w:val="4D4F53"/>
          <w:spacing w:val="15"/>
          <w:kern w:val="0"/>
          <w:sz w:val="27"/>
          <w:szCs w:val="27"/>
        </w:rPr>
        <w:t>实际拨</w:t>
      </w:r>
      <w:proofErr w:type="gramEnd"/>
      <w:r w:rsidRPr="002027D2">
        <w:rPr>
          <w:rFonts w:ascii="微软雅黑" w:eastAsia="微软雅黑" w:hAnsi="微软雅黑" w:cs="宋体" w:hint="eastAsia"/>
          <w:color w:val="4D4F53"/>
          <w:spacing w:val="15"/>
          <w:kern w:val="0"/>
          <w:sz w:val="27"/>
          <w:szCs w:val="27"/>
        </w:rPr>
        <w:t>备覆盖率低于150%或贷款</w:t>
      </w:r>
      <w:proofErr w:type="gramStart"/>
      <w:r w:rsidRPr="002027D2">
        <w:rPr>
          <w:rFonts w:ascii="微软雅黑" w:eastAsia="微软雅黑" w:hAnsi="微软雅黑" w:cs="宋体" w:hint="eastAsia"/>
          <w:color w:val="4D4F53"/>
          <w:spacing w:val="15"/>
          <w:kern w:val="0"/>
          <w:sz w:val="27"/>
          <w:szCs w:val="27"/>
        </w:rPr>
        <w:t>拨备率低于</w:t>
      </w:r>
      <w:proofErr w:type="gramEnd"/>
      <w:r w:rsidRPr="002027D2">
        <w:rPr>
          <w:rFonts w:ascii="微软雅黑" w:eastAsia="微软雅黑" w:hAnsi="微软雅黑" w:cs="宋体" w:hint="eastAsia"/>
          <w:color w:val="4D4F53"/>
          <w:spacing w:val="15"/>
          <w:kern w:val="0"/>
          <w:sz w:val="27"/>
          <w:szCs w:val="27"/>
        </w:rPr>
        <w:t>2.5%的商业银行，各级监管部门应督促其加大不良贷款处置力度，当年处置的不良贷款总额同比不得减少。因少计</w:t>
      </w:r>
      <w:proofErr w:type="gramStart"/>
      <w:r w:rsidRPr="002027D2">
        <w:rPr>
          <w:rFonts w:ascii="微软雅黑" w:eastAsia="微软雅黑" w:hAnsi="微软雅黑" w:cs="宋体" w:hint="eastAsia"/>
          <w:color w:val="4D4F53"/>
          <w:spacing w:val="15"/>
          <w:kern w:val="0"/>
          <w:sz w:val="27"/>
          <w:szCs w:val="27"/>
        </w:rPr>
        <w:t>提贷</w:t>
      </w:r>
      <w:proofErr w:type="gramEnd"/>
      <w:r w:rsidRPr="002027D2">
        <w:rPr>
          <w:rFonts w:ascii="微软雅黑" w:eastAsia="微软雅黑" w:hAnsi="微软雅黑" w:cs="宋体" w:hint="eastAsia"/>
          <w:color w:val="4D4F53"/>
          <w:spacing w:val="15"/>
          <w:kern w:val="0"/>
          <w:sz w:val="27"/>
          <w:szCs w:val="27"/>
        </w:rPr>
        <w:t>款损失准备增加的利润不得用于发放奖金，不得增加分红，确保因少计</w:t>
      </w:r>
      <w:proofErr w:type="gramStart"/>
      <w:r w:rsidRPr="002027D2">
        <w:rPr>
          <w:rFonts w:ascii="微软雅黑" w:eastAsia="微软雅黑" w:hAnsi="微软雅黑" w:cs="宋体" w:hint="eastAsia"/>
          <w:color w:val="4D4F53"/>
          <w:spacing w:val="15"/>
          <w:kern w:val="0"/>
          <w:sz w:val="27"/>
          <w:szCs w:val="27"/>
        </w:rPr>
        <w:t>提贷</w:t>
      </w:r>
      <w:proofErr w:type="gramEnd"/>
      <w:r w:rsidRPr="002027D2">
        <w:rPr>
          <w:rFonts w:ascii="微软雅黑" w:eastAsia="微软雅黑" w:hAnsi="微软雅黑" w:cs="宋体" w:hint="eastAsia"/>
          <w:color w:val="4D4F53"/>
          <w:spacing w:val="15"/>
          <w:kern w:val="0"/>
          <w:sz w:val="27"/>
          <w:szCs w:val="27"/>
        </w:rPr>
        <w:t>款损失准备增加的利润留存在银行，保持银行损失吸收能力基本稳定。在其他因素不变的情况下，不能将少计</w:t>
      </w:r>
      <w:proofErr w:type="gramStart"/>
      <w:r w:rsidRPr="002027D2">
        <w:rPr>
          <w:rFonts w:ascii="微软雅黑" w:eastAsia="微软雅黑" w:hAnsi="微软雅黑" w:cs="宋体" w:hint="eastAsia"/>
          <w:color w:val="4D4F53"/>
          <w:spacing w:val="15"/>
          <w:kern w:val="0"/>
          <w:sz w:val="27"/>
          <w:szCs w:val="27"/>
        </w:rPr>
        <w:t>提贷</w:t>
      </w:r>
      <w:proofErr w:type="gramEnd"/>
      <w:r w:rsidRPr="002027D2">
        <w:rPr>
          <w:rFonts w:ascii="微软雅黑" w:eastAsia="微软雅黑" w:hAnsi="微软雅黑" w:cs="宋体" w:hint="eastAsia"/>
          <w:color w:val="4D4F53"/>
          <w:spacing w:val="15"/>
          <w:kern w:val="0"/>
          <w:sz w:val="27"/>
          <w:szCs w:val="27"/>
        </w:rPr>
        <w:t>款损失准备而节约的支出用于降低信贷成本率。</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（四）各级监管部门应督促商业银行加强拨备覆盖率和贷款拨</w:t>
      </w:r>
      <w:proofErr w:type="gramStart"/>
      <w:r w:rsidRPr="002027D2">
        <w:rPr>
          <w:rFonts w:ascii="微软雅黑" w:eastAsia="微软雅黑" w:hAnsi="微软雅黑" w:cs="宋体" w:hint="eastAsia"/>
          <w:color w:val="4D4F53"/>
          <w:spacing w:val="15"/>
          <w:kern w:val="0"/>
          <w:sz w:val="27"/>
          <w:szCs w:val="27"/>
        </w:rPr>
        <w:t>备率信息</w:t>
      </w:r>
      <w:proofErr w:type="gramEnd"/>
      <w:r w:rsidRPr="002027D2">
        <w:rPr>
          <w:rFonts w:ascii="微软雅黑" w:eastAsia="微软雅黑" w:hAnsi="微软雅黑" w:cs="宋体" w:hint="eastAsia"/>
          <w:color w:val="4D4F53"/>
          <w:spacing w:val="15"/>
          <w:kern w:val="0"/>
          <w:sz w:val="27"/>
          <w:szCs w:val="27"/>
        </w:rPr>
        <w:t>披露，在贷款损失准备监管要求调整后的最近一次公开披露信息中，应披露本行的拨备覆盖率和贷款</w:t>
      </w:r>
      <w:proofErr w:type="gramStart"/>
      <w:r w:rsidRPr="002027D2">
        <w:rPr>
          <w:rFonts w:ascii="微软雅黑" w:eastAsia="微软雅黑" w:hAnsi="微软雅黑" w:cs="宋体" w:hint="eastAsia"/>
          <w:color w:val="4D4F53"/>
          <w:spacing w:val="15"/>
          <w:kern w:val="0"/>
          <w:sz w:val="27"/>
          <w:szCs w:val="27"/>
        </w:rPr>
        <w:t>拨备率监管</w:t>
      </w:r>
      <w:proofErr w:type="gramEnd"/>
      <w:r w:rsidRPr="002027D2">
        <w:rPr>
          <w:rFonts w:ascii="微软雅黑" w:eastAsia="微软雅黑" w:hAnsi="微软雅黑" w:cs="宋体" w:hint="eastAsia"/>
          <w:color w:val="4D4F53"/>
          <w:spacing w:val="15"/>
          <w:kern w:val="0"/>
          <w:sz w:val="27"/>
          <w:szCs w:val="27"/>
        </w:rPr>
        <w:t>要求及实际水平。</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lastRenderedPageBreak/>
        <w:t xml:space="preserve">　　（五）</w:t>
      </w:r>
      <w:proofErr w:type="gramStart"/>
      <w:r w:rsidRPr="002027D2">
        <w:rPr>
          <w:rFonts w:ascii="微软雅黑" w:eastAsia="微软雅黑" w:hAnsi="微软雅黑" w:cs="宋体" w:hint="eastAsia"/>
          <w:color w:val="4D4F53"/>
          <w:spacing w:val="15"/>
          <w:kern w:val="0"/>
          <w:sz w:val="27"/>
          <w:szCs w:val="27"/>
        </w:rPr>
        <w:t>各银监</w:t>
      </w:r>
      <w:proofErr w:type="gramEnd"/>
      <w:r w:rsidRPr="002027D2">
        <w:rPr>
          <w:rFonts w:ascii="微软雅黑" w:eastAsia="微软雅黑" w:hAnsi="微软雅黑" w:cs="宋体" w:hint="eastAsia"/>
          <w:color w:val="4D4F53"/>
          <w:spacing w:val="15"/>
          <w:kern w:val="0"/>
          <w:sz w:val="27"/>
          <w:szCs w:val="27"/>
        </w:rPr>
        <w:t>局对辖内商业银行贷款损失准备监管要求</w:t>
      </w:r>
      <w:proofErr w:type="gramStart"/>
      <w:r w:rsidRPr="002027D2">
        <w:rPr>
          <w:rFonts w:ascii="微软雅黑" w:eastAsia="微软雅黑" w:hAnsi="微软雅黑" w:cs="宋体" w:hint="eastAsia"/>
          <w:color w:val="4D4F53"/>
          <w:spacing w:val="15"/>
          <w:kern w:val="0"/>
          <w:sz w:val="27"/>
          <w:szCs w:val="27"/>
        </w:rPr>
        <w:t>作出</w:t>
      </w:r>
      <w:proofErr w:type="gramEnd"/>
      <w:r w:rsidRPr="002027D2">
        <w:rPr>
          <w:rFonts w:ascii="微软雅黑" w:eastAsia="微软雅黑" w:hAnsi="微软雅黑" w:cs="宋体" w:hint="eastAsia"/>
          <w:color w:val="4D4F53"/>
          <w:spacing w:val="15"/>
          <w:kern w:val="0"/>
          <w:sz w:val="27"/>
          <w:szCs w:val="27"/>
        </w:rPr>
        <w:t>调整决定后，应在5个工作日内向银监会报备。</w:t>
      </w:r>
    </w:p>
    <w:p w:rsidR="002027D2" w:rsidRPr="002027D2" w:rsidRDefault="002027D2" w:rsidP="00AD060B">
      <w:pPr>
        <w:widowControl/>
        <w:spacing w:after="450"/>
        <w:jc w:val="righ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2018年2月28日</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附件：</w:t>
      </w:r>
    </w:p>
    <w:p w:rsidR="002027D2" w:rsidRPr="002027D2" w:rsidRDefault="002027D2" w:rsidP="002027D2">
      <w:pPr>
        <w:widowControl/>
        <w:jc w:val="center"/>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调整贷款损失准备监管要求的定量参考标准</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各级监管部门应综合考虑商业银行贷款分类准确性、处置不良贷款主动性、资本充足性三方面因素，按照</w:t>
      </w:r>
      <w:proofErr w:type="gramStart"/>
      <w:r w:rsidRPr="002027D2">
        <w:rPr>
          <w:rFonts w:ascii="微软雅黑" w:eastAsia="微软雅黑" w:hAnsi="微软雅黑" w:cs="宋体" w:hint="eastAsia"/>
          <w:color w:val="4D4F53"/>
          <w:spacing w:val="15"/>
          <w:kern w:val="0"/>
          <w:sz w:val="27"/>
          <w:szCs w:val="27"/>
        </w:rPr>
        <w:t>孰</w:t>
      </w:r>
      <w:proofErr w:type="gramEnd"/>
      <w:r w:rsidRPr="002027D2">
        <w:rPr>
          <w:rFonts w:ascii="微软雅黑" w:eastAsia="微软雅黑" w:hAnsi="微软雅黑" w:cs="宋体" w:hint="eastAsia"/>
          <w:color w:val="4D4F53"/>
          <w:spacing w:val="15"/>
          <w:kern w:val="0"/>
          <w:sz w:val="27"/>
          <w:szCs w:val="27"/>
        </w:rPr>
        <w:t>高原则，确定贷款损失准备最低监管要求。</w:t>
      </w:r>
    </w:p>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一、贷款分类准确性。</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按照逾期90天以上贷款纳入不良贷款的比例，确定拨备覆盖率和贷款</w:t>
      </w:r>
      <w:proofErr w:type="gramStart"/>
      <w:r w:rsidRPr="002027D2">
        <w:rPr>
          <w:rFonts w:ascii="微软雅黑" w:eastAsia="微软雅黑" w:hAnsi="微软雅黑" w:cs="宋体" w:hint="eastAsia"/>
          <w:color w:val="4D4F53"/>
          <w:spacing w:val="15"/>
          <w:kern w:val="0"/>
          <w:sz w:val="27"/>
          <w:szCs w:val="27"/>
        </w:rPr>
        <w:t>拨备率最低</w:t>
      </w:r>
      <w:proofErr w:type="gramEnd"/>
      <w:r w:rsidRPr="002027D2">
        <w:rPr>
          <w:rFonts w:ascii="微软雅黑" w:eastAsia="微软雅黑" w:hAnsi="微软雅黑" w:cs="宋体" w:hint="eastAsia"/>
          <w:color w:val="4D4F53"/>
          <w:spacing w:val="15"/>
          <w:kern w:val="0"/>
          <w:sz w:val="27"/>
          <w:szCs w:val="27"/>
        </w:rPr>
        <w:t>监管要求。</w:t>
      </w:r>
    </w:p>
    <w:tbl>
      <w:tblPr>
        <w:tblStyle w:val="a6"/>
        <w:tblW w:w="8613" w:type="dxa"/>
        <w:tblLook w:val="04A0" w:firstRow="1" w:lastRow="0" w:firstColumn="1" w:lastColumn="0" w:noHBand="0" w:noVBand="1"/>
      </w:tblPr>
      <w:tblGrid>
        <w:gridCol w:w="3090"/>
        <w:gridCol w:w="2263"/>
        <w:gridCol w:w="3260"/>
      </w:tblGrid>
      <w:tr w:rsidR="002027D2" w:rsidRPr="002027D2" w:rsidTr="002027D2">
        <w:trPr>
          <w:trHeight w:val="750"/>
        </w:trPr>
        <w:tc>
          <w:tcPr>
            <w:tcW w:w="3090" w:type="dxa"/>
            <w:hideMark/>
          </w:tcPr>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逾期90天以上贷款</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纳入不良贷款的比例</w:t>
            </w:r>
          </w:p>
        </w:tc>
        <w:tc>
          <w:tcPr>
            <w:tcW w:w="226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拨备覆盖率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最低监管要求</w:t>
            </w:r>
          </w:p>
        </w:tc>
        <w:tc>
          <w:tcPr>
            <w:tcW w:w="326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贷款拨备率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最低监管要求</w:t>
            </w:r>
          </w:p>
        </w:tc>
      </w:tr>
      <w:tr w:rsidR="002027D2" w:rsidRPr="002027D2" w:rsidTr="002027D2">
        <w:trPr>
          <w:trHeight w:val="375"/>
        </w:trPr>
        <w:tc>
          <w:tcPr>
            <w:tcW w:w="309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100%</w:t>
            </w:r>
          </w:p>
        </w:tc>
        <w:tc>
          <w:tcPr>
            <w:tcW w:w="226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120%</w:t>
            </w:r>
          </w:p>
        </w:tc>
        <w:tc>
          <w:tcPr>
            <w:tcW w:w="326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1.5%</w:t>
            </w:r>
          </w:p>
        </w:tc>
      </w:tr>
      <w:tr w:rsidR="002027D2" w:rsidRPr="002027D2" w:rsidTr="002027D2">
        <w:trPr>
          <w:trHeight w:val="375"/>
        </w:trPr>
        <w:tc>
          <w:tcPr>
            <w:tcW w:w="309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[85%，100%）</w:t>
            </w:r>
          </w:p>
        </w:tc>
        <w:tc>
          <w:tcPr>
            <w:tcW w:w="226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130%</w:t>
            </w:r>
          </w:p>
        </w:tc>
        <w:tc>
          <w:tcPr>
            <w:tcW w:w="326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1.8%</w:t>
            </w:r>
          </w:p>
        </w:tc>
      </w:tr>
      <w:tr w:rsidR="002027D2" w:rsidRPr="002027D2" w:rsidTr="002027D2">
        <w:trPr>
          <w:trHeight w:val="375"/>
        </w:trPr>
        <w:tc>
          <w:tcPr>
            <w:tcW w:w="309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[70%，85%）</w:t>
            </w:r>
          </w:p>
        </w:tc>
        <w:tc>
          <w:tcPr>
            <w:tcW w:w="226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140%</w:t>
            </w:r>
          </w:p>
        </w:tc>
        <w:tc>
          <w:tcPr>
            <w:tcW w:w="326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2.1%</w:t>
            </w:r>
          </w:p>
        </w:tc>
      </w:tr>
      <w:tr w:rsidR="002027D2" w:rsidRPr="002027D2" w:rsidTr="002027D2">
        <w:trPr>
          <w:trHeight w:val="375"/>
        </w:trPr>
        <w:tc>
          <w:tcPr>
            <w:tcW w:w="309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70%以下</w:t>
            </w:r>
          </w:p>
        </w:tc>
        <w:tc>
          <w:tcPr>
            <w:tcW w:w="226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150%</w:t>
            </w:r>
          </w:p>
        </w:tc>
        <w:tc>
          <w:tcPr>
            <w:tcW w:w="326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2.5%</w:t>
            </w:r>
          </w:p>
        </w:tc>
      </w:tr>
    </w:tbl>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二、处置不良贷款主动性。</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lastRenderedPageBreak/>
        <w:t xml:space="preserve">　　按照处置的不良贷款占新形成不良贷款的比例，确定拨备覆盖率和贷款</w:t>
      </w:r>
      <w:proofErr w:type="gramStart"/>
      <w:r w:rsidRPr="002027D2">
        <w:rPr>
          <w:rFonts w:ascii="微软雅黑" w:eastAsia="微软雅黑" w:hAnsi="微软雅黑" w:cs="宋体" w:hint="eastAsia"/>
          <w:color w:val="4D4F53"/>
          <w:spacing w:val="15"/>
          <w:kern w:val="0"/>
          <w:sz w:val="27"/>
          <w:szCs w:val="27"/>
        </w:rPr>
        <w:t>拨备率最低</w:t>
      </w:r>
      <w:proofErr w:type="gramEnd"/>
      <w:r w:rsidRPr="002027D2">
        <w:rPr>
          <w:rFonts w:ascii="微软雅黑" w:eastAsia="微软雅黑" w:hAnsi="微软雅黑" w:cs="宋体" w:hint="eastAsia"/>
          <w:color w:val="4D4F53"/>
          <w:spacing w:val="15"/>
          <w:kern w:val="0"/>
          <w:sz w:val="27"/>
          <w:szCs w:val="27"/>
        </w:rPr>
        <w:t>监管要求。</w:t>
      </w:r>
    </w:p>
    <w:tbl>
      <w:tblPr>
        <w:tblStyle w:val="a6"/>
        <w:tblW w:w="0" w:type="auto"/>
        <w:tblLook w:val="04A0" w:firstRow="1" w:lastRow="0" w:firstColumn="1" w:lastColumn="0" w:noHBand="0" w:noVBand="1"/>
      </w:tblPr>
      <w:tblGrid>
        <w:gridCol w:w="3369"/>
        <w:gridCol w:w="2976"/>
        <w:gridCol w:w="2127"/>
      </w:tblGrid>
      <w:tr w:rsidR="002027D2" w:rsidRPr="002027D2" w:rsidTr="002027D2">
        <w:trPr>
          <w:trHeight w:val="750"/>
        </w:trPr>
        <w:tc>
          <w:tcPr>
            <w:tcW w:w="3369" w:type="dxa"/>
            <w:hideMark/>
          </w:tcPr>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处置的不良贷款占</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新形成不良贷款的比例</w:t>
            </w:r>
          </w:p>
        </w:tc>
        <w:tc>
          <w:tcPr>
            <w:tcW w:w="2976"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拨备覆盖率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最低监管要求</w:t>
            </w:r>
          </w:p>
        </w:tc>
        <w:tc>
          <w:tcPr>
            <w:tcW w:w="2127"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贷款拨备率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最低监管要求</w:t>
            </w:r>
          </w:p>
        </w:tc>
      </w:tr>
      <w:tr w:rsidR="002027D2" w:rsidRPr="002027D2" w:rsidTr="002027D2">
        <w:trPr>
          <w:trHeight w:val="375"/>
        </w:trPr>
        <w:tc>
          <w:tcPr>
            <w:tcW w:w="3369"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90%及以上</w:t>
            </w:r>
          </w:p>
        </w:tc>
        <w:tc>
          <w:tcPr>
            <w:tcW w:w="2976"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120%</w:t>
            </w:r>
          </w:p>
        </w:tc>
        <w:tc>
          <w:tcPr>
            <w:tcW w:w="2127"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1.5%</w:t>
            </w:r>
          </w:p>
        </w:tc>
      </w:tr>
      <w:tr w:rsidR="002027D2" w:rsidRPr="002027D2" w:rsidTr="002027D2">
        <w:trPr>
          <w:trHeight w:val="375"/>
        </w:trPr>
        <w:tc>
          <w:tcPr>
            <w:tcW w:w="3369"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[75%，90%）</w:t>
            </w:r>
          </w:p>
        </w:tc>
        <w:tc>
          <w:tcPr>
            <w:tcW w:w="2976"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130%</w:t>
            </w:r>
          </w:p>
        </w:tc>
        <w:tc>
          <w:tcPr>
            <w:tcW w:w="2127"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1.8%</w:t>
            </w:r>
          </w:p>
        </w:tc>
      </w:tr>
      <w:tr w:rsidR="002027D2" w:rsidRPr="002027D2" w:rsidTr="002027D2">
        <w:trPr>
          <w:trHeight w:val="375"/>
        </w:trPr>
        <w:tc>
          <w:tcPr>
            <w:tcW w:w="3369"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[60%，75%）</w:t>
            </w:r>
          </w:p>
        </w:tc>
        <w:tc>
          <w:tcPr>
            <w:tcW w:w="2976"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140%</w:t>
            </w:r>
          </w:p>
        </w:tc>
        <w:tc>
          <w:tcPr>
            <w:tcW w:w="2127"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2.1%</w:t>
            </w:r>
          </w:p>
        </w:tc>
      </w:tr>
      <w:tr w:rsidR="002027D2" w:rsidRPr="002027D2" w:rsidTr="002027D2">
        <w:trPr>
          <w:trHeight w:val="375"/>
        </w:trPr>
        <w:tc>
          <w:tcPr>
            <w:tcW w:w="3369"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60%以下</w:t>
            </w:r>
          </w:p>
        </w:tc>
        <w:tc>
          <w:tcPr>
            <w:tcW w:w="2976"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150%</w:t>
            </w:r>
          </w:p>
        </w:tc>
        <w:tc>
          <w:tcPr>
            <w:tcW w:w="2127"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2.5%</w:t>
            </w:r>
          </w:p>
        </w:tc>
      </w:tr>
    </w:tbl>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w:t>
      </w:r>
      <w:r w:rsidRPr="002027D2">
        <w:rPr>
          <w:rFonts w:ascii="微软雅黑" w:eastAsia="微软雅黑" w:hAnsi="微软雅黑" w:cs="宋体" w:hint="eastAsia"/>
          <w:b/>
          <w:bCs/>
          <w:color w:val="4D4F53"/>
          <w:spacing w:val="15"/>
          <w:kern w:val="0"/>
          <w:sz w:val="27"/>
          <w:szCs w:val="27"/>
        </w:rPr>
        <w:t>三、资本充足性。</w:t>
      </w:r>
    </w:p>
    <w:p w:rsidR="002027D2" w:rsidRPr="002027D2" w:rsidRDefault="002027D2" w:rsidP="002027D2">
      <w:pPr>
        <w:widowControl/>
        <w:spacing w:after="450"/>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 xml:space="preserve">　　按照不同类别商业银行的资本充足率情况，确定拨备覆盖率和贷款</w:t>
      </w:r>
      <w:proofErr w:type="gramStart"/>
      <w:r w:rsidRPr="002027D2">
        <w:rPr>
          <w:rFonts w:ascii="微软雅黑" w:eastAsia="微软雅黑" w:hAnsi="微软雅黑" w:cs="宋体" w:hint="eastAsia"/>
          <w:color w:val="4D4F53"/>
          <w:spacing w:val="15"/>
          <w:kern w:val="0"/>
          <w:sz w:val="27"/>
          <w:szCs w:val="27"/>
        </w:rPr>
        <w:t>拨备率最低</w:t>
      </w:r>
      <w:proofErr w:type="gramEnd"/>
      <w:r w:rsidRPr="002027D2">
        <w:rPr>
          <w:rFonts w:ascii="微软雅黑" w:eastAsia="微软雅黑" w:hAnsi="微软雅黑" w:cs="宋体" w:hint="eastAsia"/>
          <w:color w:val="4D4F53"/>
          <w:spacing w:val="15"/>
          <w:kern w:val="0"/>
          <w:sz w:val="27"/>
          <w:szCs w:val="27"/>
        </w:rPr>
        <w:t>监管要求。</w:t>
      </w:r>
    </w:p>
    <w:tbl>
      <w:tblPr>
        <w:tblStyle w:val="a6"/>
        <w:tblW w:w="8472" w:type="dxa"/>
        <w:tblLook w:val="04A0" w:firstRow="1" w:lastRow="0" w:firstColumn="1" w:lastColumn="0" w:noHBand="0" w:noVBand="1"/>
      </w:tblPr>
      <w:tblGrid>
        <w:gridCol w:w="2518"/>
        <w:gridCol w:w="2410"/>
        <w:gridCol w:w="1701"/>
        <w:gridCol w:w="1843"/>
      </w:tblGrid>
      <w:tr w:rsidR="002027D2" w:rsidRPr="002027D2" w:rsidTr="002027D2">
        <w:trPr>
          <w:trHeight w:val="750"/>
        </w:trPr>
        <w:tc>
          <w:tcPr>
            <w:tcW w:w="2518" w:type="dxa"/>
            <w:hideMark/>
          </w:tcPr>
          <w:p w:rsidR="002027D2" w:rsidRPr="002027D2" w:rsidRDefault="002027D2" w:rsidP="002027D2">
            <w:pPr>
              <w:widowControl/>
              <w:jc w:val="left"/>
              <w:rPr>
                <w:rFonts w:ascii="微软雅黑" w:eastAsia="微软雅黑" w:hAnsi="微软雅黑" w:cs="宋体" w:hint="eastAsia"/>
                <w:color w:val="4D4F53"/>
                <w:spacing w:val="15"/>
                <w:kern w:val="0"/>
                <w:sz w:val="27"/>
                <w:szCs w:val="27"/>
              </w:rPr>
            </w:pPr>
            <w:r w:rsidRPr="002027D2">
              <w:rPr>
                <w:rFonts w:ascii="微软雅黑" w:eastAsia="微软雅黑" w:hAnsi="微软雅黑" w:cs="宋体" w:hint="eastAsia"/>
                <w:color w:val="4D4F53"/>
                <w:spacing w:val="15"/>
                <w:kern w:val="0"/>
                <w:sz w:val="27"/>
                <w:szCs w:val="27"/>
              </w:rPr>
              <w:t>资本充足率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（系统重要性银行）</w:t>
            </w:r>
          </w:p>
        </w:tc>
        <w:tc>
          <w:tcPr>
            <w:tcW w:w="241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资本充足率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（非系统重要性银行）</w:t>
            </w:r>
          </w:p>
        </w:tc>
        <w:tc>
          <w:tcPr>
            <w:tcW w:w="1701"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拨备覆盖率最低监管要求</w:t>
            </w:r>
          </w:p>
        </w:tc>
        <w:tc>
          <w:tcPr>
            <w:tcW w:w="184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贷款拨备率</w:t>
            </w:r>
          </w:p>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最低监管要求</w:t>
            </w:r>
          </w:p>
        </w:tc>
      </w:tr>
      <w:tr w:rsidR="002027D2" w:rsidRPr="002027D2" w:rsidTr="002027D2">
        <w:trPr>
          <w:trHeight w:val="375"/>
        </w:trPr>
        <w:tc>
          <w:tcPr>
            <w:tcW w:w="2518"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13.5%及以上</w:t>
            </w:r>
          </w:p>
        </w:tc>
        <w:tc>
          <w:tcPr>
            <w:tcW w:w="241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12.5%及以上</w:t>
            </w:r>
          </w:p>
        </w:tc>
        <w:tc>
          <w:tcPr>
            <w:tcW w:w="1701"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120%</w:t>
            </w:r>
          </w:p>
        </w:tc>
        <w:tc>
          <w:tcPr>
            <w:tcW w:w="184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1.5%</w:t>
            </w:r>
          </w:p>
        </w:tc>
      </w:tr>
      <w:tr w:rsidR="002027D2" w:rsidRPr="002027D2" w:rsidTr="002027D2">
        <w:trPr>
          <w:trHeight w:val="375"/>
        </w:trPr>
        <w:tc>
          <w:tcPr>
            <w:tcW w:w="2518"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[12.5%，13.5%）</w:t>
            </w:r>
          </w:p>
        </w:tc>
        <w:tc>
          <w:tcPr>
            <w:tcW w:w="241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[11.5%，12.5%）</w:t>
            </w:r>
          </w:p>
        </w:tc>
        <w:tc>
          <w:tcPr>
            <w:tcW w:w="1701"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130%</w:t>
            </w:r>
          </w:p>
        </w:tc>
        <w:tc>
          <w:tcPr>
            <w:tcW w:w="184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1.8%</w:t>
            </w:r>
          </w:p>
        </w:tc>
      </w:tr>
      <w:tr w:rsidR="002027D2" w:rsidRPr="002027D2" w:rsidTr="002027D2">
        <w:trPr>
          <w:trHeight w:val="375"/>
        </w:trPr>
        <w:tc>
          <w:tcPr>
            <w:tcW w:w="2518"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[11.5%，12.5%）</w:t>
            </w:r>
          </w:p>
        </w:tc>
        <w:tc>
          <w:tcPr>
            <w:tcW w:w="241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[10.5%，11.5%）</w:t>
            </w:r>
          </w:p>
        </w:tc>
        <w:tc>
          <w:tcPr>
            <w:tcW w:w="1701"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140%</w:t>
            </w:r>
          </w:p>
        </w:tc>
        <w:tc>
          <w:tcPr>
            <w:tcW w:w="184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2.1%</w:t>
            </w:r>
          </w:p>
        </w:tc>
      </w:tr>
      <w:tr w:rsidR="002027D2" w:rsidRPr="002027D2" w:rsidTr="002027D2">
        <w:trPr>
          <w:trHeight w:val="375"/>
        </w:trPr>
        <w:tc>
          <w:tcPr>
            <w:tcW w:w="2518"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11.5%以下</w:t>
            </w:r>
          </w:p>
        </w:tc>
        <w:tc>
          <w:tcPr>
            <w:tcW w:w="2410"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10.5%以下</w:t>
            </w:r>
          </w:p>
        </w:tc>
        <w:tc>
          <w:tcPr>
            <w:tcW w:w="1701"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150%</w:t>
            </w:r>
          </w:p>
        </w:tc>
        <w:tc>
          <w:tcPr>
            <w:tcW w:w="1843" w:type="dxa"/>
            <w:hideMark/>
          </w:tcPr>
          <w:p w:rsidR="002027D2" w:rsidRPr="002027D2" w:rsidRDefault="002027D2" w:rsidP="002027D2">
            <w:pPr>
              <w:widowControl/>
              <w:jc w:val="left"/>
              <w:rPr>
                <w:rFonts w:ascii="微软雅黑" w:eastAsia="微软雅黑" w:hAnsi="微软雅黑" w:cs="宋体"/>
                <w:color w:val="4D4F53"/>
                <w:spacing w:val="15"/>
                <w:kern w:val="0"/>
                <w:sz w:val="27"/>
                <w:szCs w:val="27"/>
              </w:rPr>
            </w:pPr>
            <w:r w:rsidRPr="002027D2">
              <w:rPr>
                <w:rFonts w:ascii="微软雅黑" w:eastAsia="微软雅黑" w:hAnsi="微软雅黑" w:cs="宋体" w:hint="eastAsia"/>
                <w:color w:val="4D4F53"/>
                <w:spacing w:val="15"/>
                <w:kern w:val="0"/>
                <w:sz w:val="27"/>
                <w:szCs w:val="27"/>
              </w:rPr>
              <w:t>2.5%</w:t>
            </w:r>
          </w:p>
        </w:tc>
      </w:tr>
    </w:tbl>
    <w:p w:rsidR="00382371" w:rsidRDefault="00382371"/>
    <w:sectPr w:rsidR="00382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28E"/>
    <w:rsid w:val="002027D2"/>
    <w:rsid w:val="00382371"/>
    <w:rsid w:val="00AD060B"/>
    <w:rsid w:val="00F3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27D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27D2"/>
    <w:rPr>
      <w:b/>
      <w:bCs/>
    </w:rPr>
  </w:style>
  <w:style w:type="character" w:styleId="a5">
    <w:name w:val="Hyperlink"/>
    <w:basedOn w:val="a0"/>
    <w:uiPriority w:val="99"/>
    <w:semiHidden/>
    <w:unhideWhenUsed/>
    <w:rsid w:val="002027D2"/>
    <w:rPr>
      <w:color w:val="0000FF"/>
      <w:u w:val="single"/>
    </w:rPr>
  </w:style>
  <w:style w:type="table" w:styleId="a6">
    <w:name w:val="Table Grid"/>
    <w:basedOn w:val="a1"/>
    <w:uiPriority w:val="59"/>
    <w:rsid w:val="0020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27D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27D2"/>
    <w:rPr>
      <w:b/>
      <w:bCs/>
    </w:rPr>
  </w:style>
  <w:style w:type="character" w:styleId="a5">
    <w:name w:val="Hyperlink"/>
    <w:basedOn w:val="a0"/>
    <w:uiPriority w:val="99"/>
    <w:semiHidden/>
    <w:unhideWhenUsed/>
    <w:rsid w:val="002027D2"/>
    <w:rPr>
      <w:color w:val="0000FF"/>
      <w:u w:val="single"/>
    </w:rPr>
  </w:style>
  <w:style w:type="table" w:styleId="a6">
    <w:name w:val="Table Grid"/>
    <w:basedOn w:val="a1"/>
    <w:uiPriority w:val="59"/>
    <w:rsid w:val="0020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6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303</Words>
  <Characters>1732</Characters>
  <Application>Microsoft Office Word</Application>
  <DocSecurity>0</DocSecurity>
  <Lines>14</Lines>
  <Paragraphs>4</Paragraphs>
  <ScaleCrop>false</ScaleCrop>
  <Company>Microsoft</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2018-06-13T06:50:00Z</dcterms:created>
  <dcterms:modified xsi:type="dcterms:W3CDTF">2018-06-13T06:52:00Z</dcterms:modified>
</cp:coreProperties>
</file>