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329" w:rsidRPr="00D70329" w:rsidRDefault="00D70329" w:rsidP="00D70329">
      <w:pPr>
        <w:widowControl/>
        <w:jc w:val="center"/>
        <w:rPr>
          <w:rFonts w:ascii="微软雅黑" w:eastAsia="微软雅黑" w:hAnsi="微软雅黑" w:cs="宋体"/>
          <w:b/>
          <w:bCs/>
          <w:color w:val="FC0001"/>
          <w:kern w:val="0"/>
          <w:sz w:val="33"/>
          <w:szCs w:val="33"/>
        </w:rPr>
      </w:pPr>
      <w:r w:rsidRPr="00D70329">
        <w:rPr>
          <w:rFonts w:ascii="微软雅黑" w:eastAsia="微软雅黑" w:hAnsi="微软雅黑" w:cs="宋体" w:hint="eastAsia"/>
          <w:b/>
          <w:bCs/>
          <w:color w:val="FC0001"/>
          <w:kern w:val="0"/>
          <w:sz w:val="33"/>
          <w:szCs w:val="33"/>
        </w:rPr>
        <w:t>中国银行业监督管理委员会</w:t>
      </w:r>
    </w:p>
    <w:p w:rsidR="00D70329" w:rsidRPr="00D70329" w:rsidRDefault="00D70329" w:rsidP="00D70329">
      <w:pPr>
        <w:widowControl/>
        <w:jc w:val="center"/>
        <w:rPr>
          <w:rFonts w:ascii="微软雅黑" w:eastAsia="微软雅黑" w:hAnsi="微软雅黑" w:cs="宋体" w:hint="eastAsia"/>
          <w:color w:val="000000"/>
          <w:kern w:val="0"/>
          <w:szCs w:val="21"/>
        </w:rPr>
      </w:pPr>
      <w:r w:rsidRPr="00D70329">
        <w:rPr>
          <w:rFonts w:ascii="微软雅黑" w:eastAsia="微软雅黑" w:hAnsi="微软雅黑" w:cs="宋体" w:hint="eastAsia"/>
          <w:color w:val="000000"/>
          <w:kern w:val="0"/>
          <w:szCs w:val="21"/>
        </w:rPr>
        <w:t>银监办发[2018]29号</w:t>
      </w:r>
    </w:p>
    <w:tbl>
      <w:tblPr>
        <w:tblW w:w="9417" w:type="dxa"/>
        <w:jc w:val="center"/>
        <w:tblCellSpacing w:w="0" w:type="dxa"/>
        <w:tblInd w:w="1212" w:type="dxa"/>
        <w:tblCellMar>
          <w:left w:w="0" w:type="dxa"/>
          <w:right w:w="0" w:type="dxa"/>
        </w:tblCellMar>
        <w:tblLook w:val="04A0" w:firstRow="1" w:lastRow="0" w:firstColumn="1" w:lastColumn="0" w:noHBand="0" w:noVBand="1"/>
      </w:tblPr>
      <w:tblGrid>
        <w:gridCol w:w="9417"/>
      </w:tblGrid>
      <w:tr w:rsidR="00D70329" w:rsidRPr="00D70329" w:rsidTr="00DB3057">
        <w:trPr>
          <w:tblCellSpacing w:w="0" w:type="dxa"/>
          <w:jc w:val="center"/>
        </w:trPr>
        <w:tc>
          <w:tcPr>
            <w:tcW w:w="9417" w:type="dxa"/>
            <w:vAlign w:val="center"/>
            <w:hideMark/>
          </w:tcPr>
          <w:p w:rsidR="00D70329" w:rsidRPr="00D70329" w:rsidRDefault="00D70329" w:rsidP="00D70329">
            <w:pPr>
              <w:widowControl/>
              <w:jc w:val="center"/>
              <w:rPr>
                <w:rFonts w:ascii="微软雅黑" w:eastAsia="微软雅黑" w:hAnsi="微软雅黑" w:cs="宋体"/>
                <w:kern w:val="0"/>
                <w:sz w:val="24"/>
                <w:szCs w:val="24"/>
              </w:rPr>
            </w:pPr>
          </w:p>
        </w:tc>
      </w:tr>
      <w:tr w:rsidR="00D70329" w:rsidRPr="00D70329" w:rsidTr="00DB3057">
        <w:trPr>
          <w:tblCellSpacing w:w="0" w:type="dxa"/>
          <w:jc w:val="center"/>
        </w:trPr>
        <w:tc>
          <w:tcPr>
            <w:tcW w:w="9417" w:type="dxa"/>
            <w:vAlign w:val="center"/>
            <w:hideMark/>
          </w:tcPr>
          <w:p w:rsidR="00D70329" w:rsidRPr="00D70329" w:rsidRDefault="00D70329" w:rsidP="00D70329">
            <w:pPr>
              <w:widowControl/>
              <w:spacing w:line="640" w:lineRule="atLeast"/>
              <w:ind w:firstLine="720"/>
              <w:jc w:val="center"/>
              <w:rPr>
                <w:rFonts w:ascii="Calibri" w:eastAsia="微软雅黑" w:hAnsi="Calibri" w:cs="Calibri" w:hint="eastAsia"/>
                <w:kern w:val="0"/>
                <w:szCs w:val="21"/>
              </w:rPr>
            </w:pPr>
            <w:r w:rsidRPr="00D70329">
              <w:rPr>
                <w:rFonts w:ascii="黑体" w:eastAsia="黑体" w:hAnsi="黑体" w:cs="Calibri" w:hint="eastAsia"/>
                <w:kern w:val="0"/>
                <w:sz w:val="36"/>
                <w:szCs w:val="36"/>
              </w:rPr>
              <w:t>中国银监会办公厅关于2018年推动银行业小</w:t>
            </w:r>
            <w:proofErr w:type="gramStart"/>
            <w:r w:rsidRPr="00D70329">
              <w:rPr>
                <w:rFonts w:ascii="黑体" w:eastAsia="黑体" w:hAnsi="黑体" w:cs="Calibri" w:hint="eastAsia"/>
                <w:kern w:val="0"/>
                <w:sz w:val="36"/>
                <w:szCs w:val="36"/>
              </w:rPr>
              <w:t>微企业</w:t>
            </w:r>
            <w:proofErr w:type="gramEnd"/>
            <w:r w:rsidRPr="00D70329">
              <w:rPr>
                <w:rFonts w:ascii="黑体" w:eastAsia="黑体" w:hAnsi="黑体" w:cs="Calibri" w:hint="eastAsia"/>
                <w:kern w:val="0"/>
                <w:sz w:val="36"/>
                <w:szCs w:val="36"/>
              </w:rPr>
              <w:t>金融服务高质量发展的通知</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 </w:t>
            </w:r>
          </w:p>
          <w:p w:rsidR="00D70329" w:rsidRPr="00D70329" w:rsidRDefault="00D70329" w:rsidP="00D70329">
            <w:pPr>
              <w:widowControl/>
              <w:spacing w:line="640" w:lineRule="atLeast"/>
              <w:rPr>
                <w:rFonts w:ascii="Calibri" w:eastAsia="微软雅黑" w:hAnsi="Calibri" w:cs="Calibri"/>
                <w:kern w:val="0"/>
                <w:szCs w:val="21"/>
              </w:rPr>
            </w:pPr>
            <w:proofErr w:type="gramStart"/>
            <w:r w:rsidRPr="00D70329">
              <w:rPr>
                <w:rFonts w:ascii="仿宋_GB2312" w:eastAsia="仿宋_GB2312" w:hAnsi="Calibri" w:cs="Calibri" w:hint="eastAsia"/>
                <w:kern w:val="0"/>
                <w:sz w:val="36"/>
                <w:szCs w:val="36"/>
              </w:rPr>
              <w:t>各银监</w:t>
            </w:r>
            <w:proofErr w:type="gramEnd"/>
            <w:r w:rsidRPr="00D70329">
              <w:rPr>
                <w:rFonts w:ascii="仿宋_GB2312" w:eastAsia="仿宋_GB2312" w:hAnsi="Calibri" w:cs="Calibri" w:hint="eastAsia"/>
                <w:kern w:val="0"/>
                <w:sz w:val="36"/>
                <w:szCs w:val="36"/>
              </w:rPr>
              <w:t>局，各政策性银行、大型银行、股份制银行，邮储银行，外资银行：</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为深入贯彻落实党的十九大、中央经济工作会议和全国金融工作会议精神，着力缓解小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金融服务供给不充分、结构</w:t>
            </w:r>
            <w:proofErr w:type="gramStart"/>
            <w:r w:rsidRPr="00D70329">
              <w:rPr>
                <w:rFonts w:ascii="仿宋_GB2312" w:eastAsia="仿宋_GB2312" w:hAnsi="Calibri" w:cs="Calibri" w:hint="eastAsia"/>
                <w:kern w:val="0"/>
                <w:sz w:val="36"/>
                <w:szCs w:val="36"/>
              </w:rPr>
              <w:t>不</w:t>
            </w:r>
            <w:proofErr w:type="gramEnd"/>
            <w:r w:rsidRPr="00D70329">
              <w:rPr>
                <w:rFonts w:ascii="仿宋_GB2312" w:eastAsia="仿宋_GB2312" w:hAnsi="Calibri" w:cs="Calibri" w:hint="eastAsia"/>
                <w:kern w:val="0"/>
                <w:sz w:val="36"/>
                <w:szCs w:val="36"/>
              </w:rPr>
              <w:t>均衡的问题，引导银行业小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金融服务由高速增长转向高质量发展，现就2018年进一步做好小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金融服务工作有关事项通知如下：</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一、总体要求</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引导银行业金融机构加强对普惠金融重点领域的支持，聚焦小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中的相对薄弱群体。自2018年起，在银行业普惠金融重点领域贷款统计指标体系的基础上，以</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贷款（包括小型微型企业贷款+个体工商户贷款+小微企业主贷款，下同）为考核重点，努力实现</w:t>
            </w:r>
            <w:r w:rsidRPr="00D70329">
              <w:rPr>
                <w:rFonts w:ascii="仿宋_GB2312" w:eastAsia="仿宋_GB2312" w:hAnsi="Calibri" w:cs="Calibri" w:hint="eastAsia"/>
                <w:b/>
                <w:bCs/>
                <w:kern w:val="0"/>
                <w:sz w:val="36"/>
                <w:szCs w:val="36"/>
              </w:rPr>
              <w:t>“两增两控”目标</w:t>
            </w:r>
            <w:r w:rsidRPr="00D70329">
              <w:rPr>
                <w:rFonts w:ascii="仿宋_GB2312" w:eastAsia="仿宋_GB2312" w:hAnsi="Calibri" w:cs="Calibri" w:hint="eastAsia"/>
                <w:kern w:val="0"/>
                <w:sz w:val="36"/>
                <w:szCs w:val="36"/>
              </w:rPr>
              <w:t>：“两增”即</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贷款同比增速不低于各项贷款同比增速，有贷款余额的户数不低于上年同期水平；“两控”</w:t>
            </w:r>
            <w:r w:rsidRPr="00D70329">
              <w:rPr>
                <w:rFonts w:ascii="Calibri" w:eastAsia="微软雅黑" w:hAnsi="Calibri" w:cs="Calibri"/>
                <w:kern w:val="0"/>
                <w:sz w:val="36"/>
                <w:szCs w:val="36"/>
              </w:rPr>
              <w:t>即</w:t>
            </w:r>
            <w:r w:rsidRPr="00D70329">
              <w:rPr>
                <w:rFonts w:ascii="Calibri" w:eastAsia="微软雅黑" w:hAnsi="Calibri" w:cs="Calibri"/>
                <w:kern w:val="0"/>
                <w:sz w:val="36"/>
                <w:szCs w:val="36"/>
              </w:rPr>
              <w:lastRenderedPageBreak/>
              <w:t>合理控制小</w:t>
            </w:r>
            <w:proofErr w:type="gramStart"/>
            <w:r w:rsidRPr="00D70329">
              <w:rPr>
                <w:rFonts w:ascii="Calibri" w:eastAsia="微软雅黑" w:hAnsi="Calibri" w:cs="Calibri"/>
                <w:kern w:val="0"/>
                <w:sz w:val="36"/>
                <w:szCs w:val="36"/>
              </w:rPr>
              <w:t>微企业</w:t>
            </w:r>
            <w:proofErr w:type="gramEnd"/>
            <w:r w:rsidRPr="00D70329">
              <w:rPr>
                <w:rFonts w:ascii="Calibri" w:eastAsia="微软雅黑" w:hAnsi="Calibri" w:cs="Calibri"/>
                <w:kern w:val="0"/>
                <w:sz w:val="36"/>
                <w:szCs w:val="36"/>
              </w:rPr>
              <w:t>贷款资产质量水平和贷款综合成本</w:t>
            </w:r>
            <w:r w:rsidRPr="00D70329">
              <w:rPr>
                <w:rFonts w:ascii="仿宋_GB2312" w:eastAsia="仿宋_GB2312" w:hAnsi="Calibri" w:cs="Calibri" w:hint="eastAsia"/>
                <w:kern w:val="0"/>
                <w:sz w:val="36"/>
                <w:szCs w:val="36"/>
              </w:rPr>
              <w:t>（包括利率和贷款相关的银行服务收费）</w:t>
            </w:r>
            <w:r w:rsidRPr="00D70329">
              <w:rPr>
                <w:rFonts w:ascii="Calibri" w:eastAsia="微软雅黑" w:hAnsi="Calibri" w:cs="Calibri"/>
                <w:kern w:val="0"/>
                <w:sz w:val="36"/>
                <w:szCs w:val="36"/>
              </w:rPr>
              <w:t>水平。</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为落实《中共中央</w:t>
            </w:r>
            <w:r w:rsidRPr="00D70329">
              <w:rPr>
                <w:rFonts w:ascii="仿宋_GB2312" w:eastAsia="仿宋_GB2312" w:hAnsi="Calibri" w:cs="Calibri" w:hint="eastAsia"/>
                <w:kern w:val="0"/>
                <w:sz w:val="36"/>
                <w:szCs w:val="36"/>
              </w:rPr>
              <w:t> </w:t>
            </w:r>
            <w:r w:rsidRPr="00D70329">
              <w:rPr>
                <w:rFonts w:ascii="仿宋_GB2312" w:eastAsia="仿宋_GB2312" w:hAnsi="Calibri" w:cs="Calibri" w:hint="eastAsia"/>
                <w:kern w:val="0"/>
                <w:sz w:val="36"/>
                <w:szCs w:val="36"/>
              </w:rPr>
              <w:t>国务院关于服务实体经济防控金融风险深化金融改革的若干意见》（中发〔2017〕23号）“确保小微企业金融服务增速、户数、申贷获得率维持在合理区间”的要求，2018年将继续统计、</w:t>
            </w:r>
            <w:proofErr w:type="gramStart"/>
            <w:r w:rsidRPr="00D70329">
              <w:rPr>
                <w:rFonts w:ascii="仿宋_GB2312" w:eastAsia="仿宋_GB2312" w:hAnsi="Calibri" w:cs="Calibri" w:hint="eastAsia"/>
                <w:kern w:val="0"/>
                <w:sz w:val="36"/>
                <w:szCs w:val="36"/>
              </w:rPr>
              <w:t>监测全</w:t>
            </w:r>
            <w:proofErr w:type="gramEnd"/>
            <w:r w:rsidRPr="00D70329">
              <w:rPr>
                <w:rFonts w:ascii="仿宋_GB2312" w:eastAsia="仿宋_GB2312" w:hAnsi="Calibri" w:cs="Calibri" w:hint="eastAsia"/>
                <w:kern w:val="0"/>
                <w:sz w:val="36"/>
                <w:szCs w:val="36"/>
              </w:rPr>
              <w:t>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贷款（即国标小型微型企业+个体工商户+小微企业主贷款，下同）数据，但不再作为考核要求。</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二、分类实施考核，兼顾总量增长和结构优化</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（一）大型银行、股份制银行和邮储银行</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1.考核指标：</w:t>
            </w:r>
            <w:r w:rsidRPr="00D70329">
              <w:rPr>
                <w:rFonts w:ascii="仿宋_GB2312" w:eastAsia="仿宋_GB2312" w:hAnsi="Calibri" w:cs="Calibri" w:hint="eastAsia"/>
                <w:kern w:val="0"/>
                <w:sz w:val="36"/>
                <w:szCs w:val="36"/>
              </w:rPr>
              <w:t>努力实现“单户授信总额1000万元以下（含）小微企业贷款同比增速不低于各项贷款同比增速，有贷款余额的户数不低于上年同期水平”。</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2.差异化考核：</w:t>
            </w:r>
            <w:r w:rsidRPr="00D70329">
              <w:rPr>
                <w:rFonts w:ascii="仿宋_GB2312" w:eastAsia="仿宋_GB2312" w:hAnsi="Calibri" w:cs="Calibri" w:hint="eastAsia"/>
                <w:kern w:val="0"/>
                <w:sz w:val="36"/>
                <w:szCs w:val="36"/>
              </w:rPr>
              <w:t>（1）对2017年末</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余额占其各项贷款比重超过一定比例的机构，可适度放宽考核要求，确保实现“单户授信总额1000万元以下（含）小微企业贷款余额和户数均不低于上年同期水平”。（2）已按《中国银监会关于印发大中型商业银行设立普惠金融事业部实施方案的通知》（银监发〔2017〕25号）设立普惠金融事业部的银行和以服务小微企业、“三农”、城乡居民为定位的邮储银行，可选择将考核范围扩大</w:t>
            </w:r>
            <w:r w:rsidRPr="00D70329">
              <w:rPr>
                <w:rFonts w:ascii="仿宋_GB2312" w:eastAsia="仿宋_GB2312" w:hAnsi="Calibri" w:cs="Calibri" w:hint="eastAsia"/>
                <w:kern w:val="0"/>
                <w:sz w:val="36"/>
                <w:szCs w:val="36"/>
              </w:rPr>
              <w:lastRenderedPageBreak/>
              <w:t>为：</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贷款和普惠</w:t>
            </w:r>
            <w:proofErr w:type="gramStart"/>
            <w:r w:rsidRPr="00D70329">
              <w:rPr>
                <w:rFonts w:ascii="仿宋_GB2312" w:eastAsia="仿宋_GB2312" w:hAnsi="Calibri" w:cs="Calibri" w:hint="eastAsia"/>
                <w:kern w:val="0"/>
                <w:sz w:val="36"/>
                <w:szCs w:val="36"/>
              </w:rPr>
              <w:t>型其它</w:t>
            </w:r>
            <w:proofErr w:type="gramEnd"/>
            <w:r w:rsidRPr="00D70329">
              <w:rPr>
                <w:rFonts w:ascii="仿宋_GB2312" w:eastAsia="仿宋_GB2312" w:hAnsi="Calibri" w:cs="Calibri" w:hint="eastAsia"/>
                <w:kern w:val="0"/>
                <w:sz w:val="36"/>
                <w:szCs w:val="36"/>
              </w:rPr>
              <w:t>组织及个人经营性（非农户）贷款、</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总额500万元以下（含）的普惠型农户经营性贷款。</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（二）地方性法人机构</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1.考核对象：</w:t>
            </w:r>
            <w:r w:rsidRPr="00D70329">
              <w:rPr>
                <w:rFonts w:ascii="仿宋_GB2312" w:eastAsia="仿宋_GB2312" w:hAnsi="Calibri" w:cs="Calibri" w:hint="eastAsia"/>
                <w:kern w:val="0"/>
                <w:sz w:val="36"/>
                <w:szCs w:val="36"/>
              </w:rPr>
              <w:t>城市商业银行、民营银行、农村商业银行、农村信用社、农村合作银行、村镇银行。</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2.考核指标：</w:t>
            </w:r>
            <w:proofErr w:type="gramStart"/>
            <w:r w:rsidRPr="00D70329">
              <w:rPr>
                <w:rFonts w:ascii="仿宋_GB2312" w:eastAsia="仿宋_GB2312" w:hAnsi="Calibri" w:cs="Calibri" w:hint="eastAsia"/>
                <w:kern w:val="0"/>
                <w:sz w:val="36"/>
                <w:szCs w:val="36"/>
              </w:rPr>
              <w:t>各银监</w:t>
            </w:r>
            <w:proofErr w:type="gramEnd"/>
            <w:r w:rsidRPr="00D70329">
              <w:rPr>
                <w:rFonts w:ascii="仿宋_GB2312" w:eastAsia="仿宋_GB2312" w:hAnsi="Calibri" w:cs="Calibri" w:hint="eastAsia"/>
                <w:kern w:val="0"/>
                <w:sz w:val="36"/>
                <w:szCs w:val="36"/>
              </w:rPr>
              <w:t>局辖内法人机构努力总体实现“单户授信总额1000万元以下（含）小微企业贷款同比增速不低于各项贷款同比增速，有贷款余额的户数不低于上年同期水平”。</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3.差异化考核：</w:t>
            </w:r>
            <w:r w:rsidRPr="00D70329">
              <w:rPr>
                <w:rFonts w:ascii="仿宋_GB2312" w:eastAsia="仿宋_GB2312" w:hAnsi="Calibri" w:cs="Calibri" w:hint="eastAsia"/>
                <w:kern w:val="0"/>
                <w:sz w:val="36"/>
                <w:szCs w:val="36"/>
              </w:rPr>
              <w:t>在辖内法人机构总体实现考核目标的前提下，银监局可对2017年末</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总额1000万以下（含）小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贷款余额占其各项贷款比重超过一定比例的法人机构作差异化考核。以支农支小为业务重心、户均贷款余额低的银行，可选择将考核范围扩大为：</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贷款和普惠</w:t>
            </w:r>
            <w:proofErr w:type="gramStart"/>
            <w:r w:rsidRPr="00D70329">
              <w:rPr>
                <w:rFonts w:ascii="仿宋_GB2312" w:eastAsia="仿宋_GB2312" w:hAnsi="Calibri" w:cs="Calibri" w:hint="eastAsia"/>
                <w:kern w:val="0"/>
                <w:sz w:val="36"/>
                <w:szCs w:val="36"/>
              </w:rPr>
              <w:t>型其它</w:t>
            </w:r>
            <w:proofErr w:type="gramEnd"/>
            <w:r w:rsidRPr="00D70329">
              <w:rPr>
                <w:rFonts w:ascii="仿宋_GB2312" w:eastAsia="仿宋_GB2312" w:hAnsi="Calibri" w:cs="Calibri" w:hint="eastAsia"/>
                <w:kern w:val="0"/>
                <w:sz w:val="36"/>
                <w:szCs w:val="36"/>
              </w:rPr>
              <w:t>组织及个人经营性（非农户）贷款、</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总额500万元以下（含）的普惠型农户经营性贷款。</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（三）开发银行及政策性银行</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1.不作指标考核，保持日常监测、通报。</w:t>
            </w:r>
            <w:r w:rsidRPr="00D70329">
              <w:rPr>
                <w:rFonts w:ascii="仿宋_GB2312" w:eastAsia="仿宋_GB2312" w:hAnsi="Calibri" w:cs="Calibri" w:hint="eastAsia"/>
                <w:kern w:val="0"/>
                <w:sz w:val="36"/>
                <w:szCs w:val="36"/>
              </w:rPr>
              <w:t>主要监测</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贷款余额、户数。</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lastRenderedPageBreak/>
              <w:t>2．相关要求：</w:t>
            </w:r>
            <w:r w:rsidRPr="00D70329">
              <w:rPr>
                <w:rFonts w:ascii="仿宋_GB2312" w:eastAsia="仿宋_GB2312" w:hAnsi="Calibri" w:cs="Calibri" w:hint="eastAsia"/>
                <w:kern w:val="0"/>
                <w:sz w:val="36"/>
                <w:szCs w:val="36"/>
              </w:rPr>
              <w:t>支持开发银行及政策性银行</w:t>
            </w:r>
            <w:proofErr w:type="gramStart"/>
            <w:r w:rsidRPr="00D70329">
              <w:rPr>
                <w:rFonts w:ascii="仿宋_GB2312" w:eastAsia="仿宋_GB2312" w:hAnsi="Calibri" w:cs="Calibri" w:hint="eastAsia"/>
                <w:kern w:val="0"/>
                <w:sz w:val="36"/>
                <w:szCs w:val="36"/>
              </w:rPr>
              <w:t>践行</w:t>
            </w:r>
            <w:proofErr w:type="gramEnd"/>
            <w:r w:rsidRPr="00D70329">
              <w:rPr>
                <w:rFonts w:ascii="仿宋_GB2312" w:eastAsia="仿宋_GB2312" w:hAnsi="Calibri" w:cs="Calibri" w:hint="eastAsia"/>
                <w:kern w:val="0"/>
                <w:sz w:val="36"/>
                <w:szCs w:val="36"/>
              </w:rPr>
              <w:t>社会责任，探索以事业</w:t>
            </w:r>
            <w:proofErr w:type="gramStart"/>
            <w:r w:rsidRPr="00D70329">
              <w:rPr>
                <w:rFonts w:ascii="仿宋_GB2312" w:eastAsia="仿宋_GB2312" w:hAnsi="Calibri" w:cs="Calibri" w:hint="eastAsia"/>
                <w:kern w:val="0"/>
                <w:sz w:val="36"/>
                <w:szCs w:val="36"/>
              </w:rPr>
              <w:t>部机制</w:t>
            </w:r>
            <w:proofErr w:type="gramEnd"/>
            <w:r w:rsidRPr="00D70329">
              <w:rPr>
                <w:rFonts w:ascii="仿宋_GB2312" w:eastAsia="仿宋_GB2312" w:hAnsi="Calibri" w:cs="Calibri" w:hint="eastAsia"/>
                <w:kern w:val="0"/>
                <w:sz w:val="36"/>
                <w:szCs w:val="36"/>
              </w:rPr>
              <w:t>开展普惠金融服务。鼓励开发银行及政策性银行结合机构和业务特点,以转贷形式,向银行业金融机构批发资金,专门用于支持小微企业。转贷双方均应建立单独的批发资金账户，实行台账管理，统计贷款投向明细，避免重复计算；加强对资金用途的跟踪监测，确保批发资金全部用于支持小微企业。</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（四）外资银行和非银行业金融机构</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楷体_GB2312" w:eastAsia="楷体_GB2312" w:hAnsi="Calibri" w:cs="Calibri" w:hint="eastAsia"/>
                <w:kern w:val="0"/>
                <w:sz w:val="36"/>
                <w:szCs w:val="36"/>
              </w:rPr>
              <w:t>不作指标考核，保持日常监测、通报</w:t>
            </w:r>
            <w:r w:rsidRPr="00D70329">
              <w:rPr>
                <w:rFonts w:ascii="仿宋_GB2312" w:eastAsia="仿宋_GB2312" w:hAnsi="Calibri" w:cs="Calibri" w:hint="eastAsia"/>
                <w:kern w:val="0"/>
                <w:sz w:val="36"/>
                <w:szCs w:val="36"/>
              </w:rPr>
              <w:t>。主要监测</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1000万元以下（含）的小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贷款余额、户数。</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三、单列信贷计划，确保信贷投放</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各银行业金融机构年初要单列全年监管考核口径下的信贷计划，经本行主要负责人签字认可后向监管部门报送，执行过程中不得挤占、挪用。</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大型银行、股份制银行、邮储银行应于2018年3月31日前向银监会普惠金融部报送全行监管考核口径下的信贷计划以及各一级分行信贷计划。</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开发银行和政策性银行应当于2018年3月31日前向银监会普惠金融部报送全年通过转贷形式向银行业金融机构批发资金支持小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的计划。</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地方性法人机构应向属地监管部门报送全行监管考核口</w:t>
            </w:r>
            <w:r w:rsidRPr="00D70329">
              <w:rPr>
                <w:rFonts w:ascii="仿宋_GB2312" w:eastAsia="仿宋_GB2312" w:hAnsi="Calibri" w:cs="Calibri" w:hint="eastAsia"/>
                <w:kern w:val="0"/>
                <w:sz w:val="36"/>
                <w:szCs w:val="36"/>
              </w:rPr>
              <w:lastRenderedPageBreak/>
              <w:t>径下的信贷计划。</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同时，各银行业金融机构要继续制定、分解、</w:t>
            </w:r>
            <w:proofErr w:type="gramStart"/>
            <w:r w:rsidRPr="00D70329">
              <w:rPr>
                <w:rFonts w:ascii="仿宋_GB2312" w:eastAsia="仿宋_GB2312" w:hAnsi="Calibri" w:cs="Calibri" w:hint="eastAsia"/>
                <w:kern w:val="0"/>
                <w:sz w:val="36"/>
                <w:szCs w:val="36"/>
              </w:rPr>
              <w:t>落实全</w:t>
            </w:r>
            <w:proofErr w:type="gramEnd"/>
            <w:r w:rsidRPr="00D70329">
              <w:rPr>
                <w:rFonts w:ascii="仿宋_GB2312" w:eastAsia="仿宋_GB2312" w:hAnsi="Calibri" w:cs="Calibri" w:hint="eastAsia"/>
                <w:kern w:val="0"/>
                <w:sz w:val="36"/>
                <w:szCs w:val="36"/>
              </w:rPr>
              <w:t>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信贷计划，保持对全口径小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的信贷支持力度。</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四、合理控制小</w:t>
            </w:r>
            <w:proofErr w:type="gramStart"/>
            <w:r w:rsidRPr="00D70329">
              <w:rPr>
                <w:rFonts w:ascii="黑体" w:eastAsia="黑体" w:hAnsi="黑体" w:cs="Calibri" w:hint="eastAsia"/>
                <w:kern w:val="0"/>
                <w:sz w:val="36"/>
                <w:szCs w:val="36"/>
              </w:rPr>
              <w:t>微企业</w:t>
            </w:r>
            <w:proofErr w:type="gramEnd"/>
            <w:r w:rsidRPr="00D70329">
              <w:rPr>
                <w:rFonts w:ascii="黑体" w:eastAsia="黑体" w:hAnsi="黑体" w:cs="Calibri" w:hint="eastAsia"/>
                <w:kern w:val="0"/>
                <w:sz w:val="36"/>
                <w:szCs w:val="36"/>
              </w:rPr>
              <w:t>贷款资产质量和综合成本，提升服务水平</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color w:val="000000"/>
                <w:kern w:val="0"/>
                <w:sz w:val="36"/>
                <w:szCs w:val="36"/>
              </w:rPr>
              <w:t>各银行业金融机构要在商业可持续前提下，结合小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不良贷款容忍度的监管要求，加强对小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贷款的风险管理，努力将全口径小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贷款不良率控制在不超过自身各项贷款不良率2个百分点的水平。</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各银行业金融机构要按照收益覆盖风险原则，合理设定小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贷款利率。在落实“两禁两限”收费政策的基础上，进一步主动向小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减费让利，切实巩固清费减负成果，降低小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贷款综合成本。</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五、完善机构体系，强化市场定位</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大型银行要继续深化普惠金融事业部建设，向基层延伸普惠金融服务机构网点，加快落实“五专”经营机制，参照银行业普惠金融重点领域贷款统计指标体系，制定普惠金融事业部的信贷管理政策，进行资源配置和内部核算，进一步简化业务流程，缩短决策链条。股份制银行要结合自身业务特点，探索设立普惠金融事业部，增设扎根基层、服务小微</w:t>
            </w:r>
            <w:r w:rsidRPr="00D70329">
              <w:rPr>
                <w:rFonts w:ascii="仿宋_GB2312" w:eastAsia="仿宋_GB2312" w:hAnsi="Calibri" w:cs="Calibri" w:hint="eastAsia"/>
                <w:kern w:val="0"/>
                <w:sz w:val="36"/>
                <w:szCs w:val="36"/>
              </w:rPr>
              <w:lastRenderedPageBreak/>
              <w:t>的社区支行、小微支行。邮储银行要继续坚守服务小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的定位，提升基层支行信贷服务能力。</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地方性法人银行业金融机构要坚持服务地方经济和小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的发展方向，继续下沉经营管理和服务重心，重点向县域和乡镇等地区延伸服务触角。保持农村信用社和农村商业银行县域法人地位总体稳定，规范发展村镇银行等中小金融机构。</w:t>
            </w:r>
          </w:p>
          <w:p w:rsidR="00D70329" w:rsidRPr="00D70329" w:rsidRDefault="00D70329" w:rsidP="00D70329">
            <w:pPr>
              <w:widowControl/>
              <w:spacing w:line="640" w:lineRule="atLeast"/>
              <w:ind w:firstLine="720"/>
              <w:rPr>
                <w:rFonts w:ascii="Calibri" w:eastAsia="微软雅黑" w:hAnsi="Calibri" w:cs="Calibri"/>
                <w:kern w:val="0"/>
                <w:szCs w:val="21"/>
              </w:rPr>
            </w:pPr>
            <w:proofErr w:type="gramStart"/>
            <w:r w:rsidRPr="00D70329">
              <w:rPr>
                <w:rFonts w:ascii="仿宋_GB2312" w:eastAsia="仿宋_GB2312" w:hAnsi="Calibri" w:cs="Calibri" w:hint="eastAsia"/>
                <w:kern w:val="0"/>
                <w:sz w:val="36"/>
                <w:szCs w:val="36"/>
              </w:rPr>
              <w:t>专注于线上</w:t>
            </w:r>
            <w:proofErr w:type="gramEnd"/>
            <w:r w:rsidRPr="00D70329">
              <w:rPr>
                <w:rFonts w:ascii="仿宋_GB2312" w:eastAsia="仿宋_GB2312" w:hAnsi="Calibri" w:cs="Calibri" w:hint="eastAsia"/>
                <w:kern w:val="0"/>
                <w:sz w:val="36"/>
                <w:szCs w:val="36"/>
              </w:rPr>
              <w:t>业务的银行业金融机构要充分运用大数据和信息技术优势，提升小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金融服务的效率。</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六、优化信贷技术和流程，提升服务效率</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color w:val="000000"/>
                <w:kern w:val="0"/>
                <w:sz w:val="36"/>
                <w:szCs w:val="36"/>
              </w:rPr>
              <w:t>各银行业金融机构要加强与</w:t>
            </w:r>
            <w:r w:rsidRPr="00D70329">
              <w:rPr>
                <w:rFonts w:ascii="仿宋_GB2312" w:eastAsia="仿宋_GB2312" w:hAnsi="Calibri" w:cs="Calibri" w:hint="eastAsia"/>
                <w:kern w:val="0"/>
                <w:sz w:val="36"/>
                <w:szCs w:val="36"/>
              </w:rPr>
              <w:t>互联网、大数据、人工智能的</w:t>
            </w:r>
            <w:r w:rsidRPr="00D70329">
              <w:rPr>
                <w:rFonts w:ascii="仿宋_GB2312" w:eastAsia="仿宋_GB2312" w:hAnsi="Calibri" w:cs="Calibri" w:hint="eastAsia"/>
                <w:color w:val="000000"/>
                <w:kern w:val="0"/>
                <w:sz w:val="36"/>
                <w:szCs w:val="36"/>
              </w:rPr>
              <w:t>深度融合，</w:t>
            </w:r>
            <w:proofErr w:type="gramStart"/>
            <w:r w:rsidRPr="00D70329">
              <w:rPr>
                <w:rFonts w:ascii="仿宋_GB2312" w:eastAsia="仿宋_GB2312" w:hAnsi="Calibri" w:cs="Calibri" w:hint="eastAsia"/>
                <w:color w:val="000000"/>
                <w:kern w:val="0"/>
                <w:sz w:val="36"/>
                <w:szCs w:val="36"/>
              </w:rPr>
              <w:t>丰富获客</w:t>
            </w:r>
            <w:proofErr w:type="gramEnd"/>
            <w:r w:rsidRPr="00D70329">
              <w:rPr>
                <w:rFonts w:ascii="仿宋_GB2312" w:eastAsia="仿宋_GB2312" w:hAnsi="Calibri" w:cs="Calibri" w:hint="eastAsia"/>
                <w:color w:val="000000"/>
                <w:kern w:val="0"/>
                <w:sz w:val="36"/>
                <w:szCs w:val="36"/>
              </w:rPr>
              <w:t>手段。充分运用手机银行、网上银行等新渠道，加强产品和服务创新。提高对新设小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开户的办理效率和服务质量，提升小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金融服务便利度和满意度。</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color w:val="000000"/>
                <w:kern w:val="0"/>
                <w:sz w:val="36"/>
                <w:szCs w:val="36"/>
              </w:rPr>
              <w:t>各银行业金融机构要积极改进信贷流程和信用评价模型，科学设定授信审批条件，在做好风险管控的基础上，进一步压缩小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kern w:val="0"/>
                <w:sz w:val="36"/>
                <w:szCs w:val="36"/>
              </w:rPr>
              <w:t>信贷审批</w:t>
            </w:r>
            <w:r w:rsidRPr="00D70329">
              <w:rPr>
                <w:rFonts w:ascii="仿宋_GB2312" w:eastAsia="仿宋_GB2312" w:hAnsi="Calibri" w:cs="Calibri" w:hint="eastAsia"/>
                <w:color w:val="000000"/>
                <w:kern w:val="0"/>
                <w:sz w:val="36"/>
                <w:szCs w:val="36"/>
              </w:rPr>
              <w:t>时间。</w:t>
            </w:r>
            <w:r w:rsidRPr="00D70329">
              <w:rPr>
                <w:rFonts w:ascii="仿宋_GB2312" w:eastAsia="仿宋_GB2312" w:hAnsi="Calibri" w:cs="Calibri" w:hint="eastAsia"/>
                <w:kern w:val="0"/>
                <w:sz w:val="36"/>
                <w:szCs w:val="36"/>
              </w:rPr>
              <w:t>鼓励银行业金融机构根据自身风险管理制度和业务流程，探索建立</w:t>
            </w:r>
            <w:proofErr w:type="gramStart"/>
            <w:r w:rsidRPr="00D70329">
              <w:rPr>
                <w:rFonts w:ascii="仿宋_GB2312" w:eastAsia="仿宋_GB2312" w:hAnsi="Calibri" w:cs="Calibri" w:hint="eastAsia"/>
                <w:kern w:val="0"/>
                <w:sz w:val="36"/>
                <w:szCs w:val="36"/>
              </w:rPr>
              <w:t>贷款全</w:t>
            </w:r>
            <w:proofErr w:type="gramEnd"/>
            <w:r w:rsidRPr="00D70329">
              <w:rPr>
                <w:rFonts w:ascii="仿宋_GB2312" w:eastAsia="仿宋_GB2312" w:hAnsi="Calibri" w:cs="Calibri" w:hint="eastAsia"/>
                <w:kern w:val="0"/>
                <w:sz w:val="36"/>
                <w:szCs w:val="36"/>
              </w:rPr>
              <w:t>流程限时制度，按业务类别对小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贷款办理时限</w:t>
            </w:r>
            <w:proofErr w:type="gramStart"/>
            <w:r w:rsidRPr="00D70329">
              <w:rPr>
                <w:rFonts w:ascii="仿宋_GB2312" w:eastAsia="仿宋_GB2312" w:hAnsi="Calibri" w:cs="Calibri" w:hint="eastAsia"/>
                <w:kern w:val="0"/>
                <w:sz w:val="36"/>
                <w:szCs w:val="36"/>
              </w:rPr>
              <w:t>作出</w:t>
            </w:r>
            <w:proofErr w:type="gramEnd"/>
            <w:r w:rsidRPr="00D70329">
              <w:rPr>
                <w:rFonts w:ascii="仿宋_GB2312" w:eastAsia="仿宋_GB2312" w:hAnsi="Calibri" w:cs="Calibri" w:hint="eastAsia"/>
                <w:kern w:val="0"/>
                <w:sz w:val="36"/>
                <w:szCs w:val="36"/>
              </w:rPr>
              <w:t>明确承诺，精简耗时环节。</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lastRenderedPageBreak/>
              <w:t>七、加大续贷支持力度，改进贷款支付方式</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各银行业金融机构要加大续贷政策落实力度，在守住风险底线的基础上，加强续贷产品的开发和推广，简化续贷办理流程，支持正常经营的小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融资周转“无缝衔接”。鼓励银行业金融机构改进小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贷款期限管理，研发适合小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的中长期贷款产品。</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各银行业金融机构在风险可控的前提下，可对</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总额1000万元以下（含）的小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流动资金贷款（不含个体工商户和小微企业主贷款）采取自主支付方式。对自主支付的贷款，银行业金融机构须经过合理的审核流程，充分发挥相关岗位的制衡作用，加强贷后管理和检查。</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八、落实尽职免责制度，用好用足各项扶持政策</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color w:val="000000"/>
                <w:kern w:val="0"/>
                <w:sz w:val="36"/>
                <w:szCs w:val="36"/>
              </w:rPr>
              <w:t>各</w:t>
            </w:r>
            <w:r w:rsidRPr="00D70329">
              <w:rPr>
                <w:rFonts w:ascii="仿宋_GB2312" w:eastAsia="仿宋_GB2312" w:hAnsi="Calibri" w:cs="Calibri" w:hint="eastAsia"/>
                <w:kern w:val="0"/>
                <w:sz w:val="36"/>
                <w:szCs w:val="36"/>
              </w:rPr>
              <w:t>商业银行</w:t>
            </w:r>
            <w:r w:rsidRPr="00D70329">
              <w:rPr>
                <w:rFonts w:ascii="仿宋_GB2312" w:eastAsia="仿宋_GB2312" w:hAnsi="Calibri" w:cs="Calibri" w:hint="eastAsia"/>
                <w:color w:val="000000"/>
                <w:kern w:val="0"/>
                <w:sz w:val="36"/>
                <w:szCs w:val="36"/>
              </w:rPr>
              <w:t>要继续完善具备可操作性、符合小</w:t>
            </w:r>
            <w:proofErr w:type="gramStart"/>
            <w:r w:rsidRPr="00D70329">
              <w:rPr>
                <w:rFonts w:ascii="仿宋_GB2312" w:eastAsia="仿宋_GB2312" w:hAnsi="Calibri" w:cs="Calibri" w:hint="eastAsia"/>
                <w:color w:val="000000"/>
                <w:kern w:val="0"/>
                <w:sz w:val="36"/>
                <w:szCs w:val="36"/>
              </w:rPr>
              <w:t>微企业授信特点</w:t>
            </w:r>
            <w:proofErr w:type="gramEnd"/>
            <w:r w:rsidRPr="00D70329">
              <w:rPr>
                <w:rFonts w:ascii="仿宋_GB2312" w:eastAsia="仿宋_GB2312" w:hAnsi="Calibri" w:cs="Calibri" w:hint="eastAsia"/>
                <w:color w:val="000000"/>
                <w:kern w:val="0"/>
                <w:sz w:val="36"/>
                <w:szCs w:val="36"/>
              </w:rPr>
              <w:t>的内部尽职免责制度办法，加强对分支机构的宣讲传导，重点督促基层网点和一线业务人员落实尽职免责规定。加强对尽职免责调查、评议、认定等相关工作的文档管理，将尽职免责落实情况列为商业银行小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金融服务监管评估的重要参考因素。</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color w:val="000000"/>
                <w:kern w:val="0"/>
                <w:sz w:val="36"/>
                <w:szCs w:val="36"/>
              </w:rPr>
              <w:t>各银行业金融机构要主动传导落实小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金融服务各项扶持政策，重点</w:t>
            </w:r>
            <w:r w:rsidRPr="00D70329">
              <w:rPr>
                <w:rFonts w:ascii="仿宋_GB2312" w:eastAsia="仿宋_GB2312" w:hAnsi="Calibri" w:cs="Calibri" w:hint="eastAsia"/>
                <w:kern w:val="0"/>
                <w:sz w:val="36"/>
                <w:szCs w:val="36"/>
              </w:rPr>
              <w:t>用好、用足</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总额500万元以下（含）的定向</w:t>
            </w:r>
            <w:proofErr w:type="gramStart"/>
            <w:r w:rsidRPr="00D70329">
              <w:rPr>
                <w:rFonts w:ascii="仿宋_GB2312" w:eastAsia="仿宋_GB2312" w:hAnsi="Calibri" w:cs="Calibri" w:hint="eastAsia"/>
                <w:kern w:val="0"/>
                <w:sz w:val="36"/>
                <w:szCs w:val="36"/>
              </w:rPr>
              <w:t>降准政策</w:t>
            </w:r>
            <w:proofErr w:type="gramEnd"/>
            <w:r w:rsidRPr="00D70329">
              <w:rPr>
                <w:rFonts w:ascii="仿宋_GB2312" w:eastAsia="仿宋_GB2312" w:hAnsi="Calibri" w:cs="Calibri" w:hint="eastAsia"/>
                <w:kern w:val="0"/>
                <w:sz w:val="36"/>
                <w:szCs w:val="36"/>
              </w:rPr>
              <w:t>和</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总额100万元以下（含）的贷款</w:t>
            </w:r>
            <w:r w:rsidRPr="00D70329">
              <w:rPr>
                <w:rFonts w:ascii="仿宋_GB2312" w:eastAsia="仿宋_GB2312" w:hAnsi="Calibri" w:cs="Calibri" w:hint="eastAsia"/>
                <w:kern w:val="0"/>
                <w:sz w:val="36"/>
                <w:szCs w:val="36"/>
              </w:rPr>
              <w:lastRenderedPageBreak/>
              <w:t>利息免征增值税政策。特别是地方性法人机构，要</w:t>
            </w:r>
            <w:r w:rsidRPr="00D70329">
              <w:rPr>
                <w:rFonts w:ascii="仿宋_GB2312" w:eastAsia="仿宋_GB2312" w:hAnsi="Calibri" w:cs="Calibri" w:hint="eastAsia"/>
                <w:color w:val="000000"/>
                <w:kern w:val="0"/>
                <w:sz w:val="36"/>
                <w:szCs w:val="36"/>
              </w:rPr>
              <w:t>继续</w:t>
            </w:r>
            <w:r w:rsidRPr="00D70329">
              <w:rPr>
                <w:rFonts w:ascii="仿宋_GB2312" w:eastAsia="仿宋_GB2312" w:hAnsi="Calibri" w:cs="Calibri" w:hint="eastAsia"/>
                <w:kern w:val="0"/>
                <w:sz w:val="36"/>
                <w:szCs w:val="36"/>
              </w:rPr>
              <w:t>下沉服务重心，优先满足</w:t>
            </w:r>
            <w:proofErr w:type="gramStart"/>
            <w:r w:rsidRPr="00D70329">
              <w:rPr>
                <w:rFonts w:ascii="仿宋_GB2312" w:eastAsia="仿宋_GB2312" w:hAnsi="Calibri" w:cs="Calibri" w:hint="eastAsia"/>
                <w:kern w:val="0"/>
                <w:sz w:val="36"/>
                <w:szCs w:val="36"/>
              </w:rPr>
              <w:t>单户授信</w:t>
            </w:r>
            <w:proofErr w:type="gramEnd"/>
            <w:r w:rsidRPr="00D70329">
              <w:rPr>
                <w:rFonts w:ascii="仿宋_GB2312" w:eastAsia="仿宋_GB2312" w:hAnsi="Calibri" w:cs="Calibri" w:hint="eastAsia"/>
                <w:kern w:val="0"/>
                <w:sz w:val="36"/>
                <w:szCs w:val="36"/>
              </w:rPr>
              <w:t>总额500万元以下（含）的小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信贷需求。进一步强化内部绩效考核倾斜，对小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业务设立专门的考核指标，提高小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业务在全部业务中的考核权重。</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各银行</w:t>
            </w:r>
            <w:r w:rsidRPr="00D70329">
              <w:rPr>
                <w:rFonts w:ascii="仿宋_GB2312" w:eastAsia="仿宋_GB2312" w:hAnsi="Calibri" w:cs="Calibri" w:hint="eastAsia"/>
                <w:color w:val="000000"/>
                <w:kern w:val="0"/>
                <w:sz w:val="36"/>
                <w:szCs w:val="36"/>
              </w:rPr>
              <w:t>业金融机构可在依法合</w:t>
            </w:r>
            <w:proofErr w:type="gramStart"/>
            <w:r w:rsidRPr="00D70329">
              <w:rPr>
                <w:rFonts w:ascii="仿宋_GB2312" w:eastAsia="仿宋_GB2312" w:hAnsi="Calibri" w:cs="Calibri" w:hint="eastAsia"/>
                <w:color w:val="000000"/>
                <w:kern w:val="0"/>
                <w:sz w:val="36"/>
                <w:szCs w:val="36"/>
              </w:rPr>
              <w:t>规</w:t>
            </w:r>
            <w:proofErr w:type="gramEnd"/>
            <w:r w:rsidRPr="00D70329">
              <w:rPr>
                <w:rFonts w:ascii="仿宋_GB2312" w:eastAsia="仿宋_GB2312" w:hAnsi="Calibri" w:cs="Calibri" w:hint="eastAsia"/>
                <w:color w:val="000000"/>
                <w:kern w:val="0"/>
                <w:sz w:val="36"/>
                <w:szCs w:val="36"/>
              </w:rPr>
              <w:t>、风险可控的前提下，通过信贷资产证券化、信贷资产转让和收益权转让等试点业务盘活小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信贷资源，进一步拓宽小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不良资产处置渠道。</w:t>
            </w:r>
            <w:r w:rsidRPr="00D70329">
              <w:rPr>
                <w:rFonts w:ascii="仿宋_GB2312" w:eastAsia="仿宋_GB2312" w:hAnsi="Calibri" w:cs="Calibri" w:hint="eastAsia"/>
                <w:kern w:val="0"/>
                <w:sz w:val="36"/>
                <w:szCs w:val="36"/>
              </w:rPr>
              <w:t>对近年完成考核指标良好、小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贷款基数大、占比高、户均余额低的银行业金融机构，在考核</w:t>
            </w:r>
            <w:r w:rsidRPr="00D70329">
              <w:rPr>
                <w:rFonts w:ascii="仿宋_GB2312" w:eastAsia="仿宋_GB2312" w:hAnsi="Calibri" w:cs="Calibri" w:hint="eastAsia"/>
                <w:color w:val="000000"/>
                <w:kern w:val="0"/>
                <w:sz w:val="36"/>
                <w:szCs w:val="36"/>
              </w:rPr>
              <w:t>“两增”目标时，可将其通过信贷资产证券化、信贷资产转让和收益权转让试点、核销等方式盘活、处置的小</w:t>
            </w:r>
            <w:proofErr w:type="gramStart"/>
            <w:r w:rsidRPr="00D70329">
              <w:rPr>
                <w:rFonts w:ascii="仿宋_GB2312" w:eastAsia="仿宋_GB2312" w:hAnsi="Calibri" w:cs="Calibri" w:hint="eastAsia"/>
                <w:color w:val="000000"/>
                <w:kern w:val="0"/>
                <w:sz w:val="36"/>
                <w:szCs w:val="36"/>
              </w:rPr>
              <w:t>微企业</w:t>
            </w:r>
            <w:proofErr w:type="gramEnd"/>
            <w:r w:rsidRPr="00D70329">
              <w:rPr>
                <w:rFonts w:ascii="仿宋_GB2312" w:eastAsia="仿宋_GB2312" w:hAnsi="Calibri" w:cs="Calibri" w:hint="eastAsia"/>
                <w:color w:val="000000"/>
                <w:kern w:val="0"/>
                <w:sz w:val="36"/>
                <w:szCs w:val="36"/>
              </w:rPr>
              <w:t>存量贷款进行还原计算。</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九、强化监管督导，做好日常监测分析</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继续坚持以法人银行业金融机构为主体、银监会和银监局上下联动的监管督导和考核方式。强化分类督导，对完成考核指标良好，小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基数大、占比高、户均余额低的银行业金融机构，加强正面宣传和正向激励；对未能完成考核指标且差距较大的银行业金融机构，以系统内通报、下发监管提示函、约谈高管、现场检查、调整监管评级等形式，督促其加大工作力度。</w:t>
            </w:r>
          </w:p>
          <w:p w:rsidR="00D70329" w:rsidRPr="00D70329" w:rsidRDefault="00D70329" w:rsidP="00D70329">
            <w:pPr>
              <w:widowControl/>
              <w:spacing w:line="640" w:lineRule="atLeast"/>
              <w:ind w:firstLine="720"/>
              <w:rPr>
                <w:rFonts w:ascii="Calibri" w:eastAsia="微软雅黑" w:hAnsi="Calibri" w:cs="Calibri"/>
                <w:kern w:val="0"/>
                <w:szCs w:val="21"/>
              </w:rPr>
            </w:pPr>
            <w:proofErr w:type="gramStart"/>
            <w:r w:rsidRPr="00D70329">
              <w:rPr>
                <w:rFonts w:ascii="仿宋_GB2312" w:eastAsia="仿宋_GB2312" w:hAnsi="Calibri" w:cs="Calibri" w:hint="eastAsia"/>
                <w:kern w:val="0"/>
                <w:sz w:val="36"/>
                <w:szCs w:val="36"/>
              </w:rPr>
              <w:lastRenderedPageBreak/>
              <w:t>各银监</w:t>
            </w:r>
            <w:proofErr w:type="gramEnd"/>
            <w:r w:rsidRPr="00D70329">
              <w:rPr>
                <w:rFonts w:ascii="仿宋_GB2312" w:eastAsia="仿宋_GB2312" w:hAnsi="Calibri" w:cs="Calibri" w:hint="eastAsia"/>
                <w:kern w:val="0"/>
                <w:sz w:val="36"/>
                <w:szCs w:val="36"/>
              </w:rPr>
              <w:t>局负责督导辖内法人银行业金融机构单列监管考核口径下的信贷计划，审核汇总后于2018年4月15日前报送银监会普惠金融部。同时督促辖内大中型银行一级分行按月向属地银监局报送监管考核口径下信贷计划执行进度，并按季实施考核。</w:t>
            </w:r>
            <w:proofErr w:type="gramStart"/>
            <w:r w:rsidRPr="00D70329">
              <w:rPr>
                <w:rFonts w:ascii="仿宋_GB2312" w:eastAsia="仿宋_GB2312" w:hAnsi="Calibri" w:cs="Calibri" w:hint="eastAsia"/>
                <w:kern w:val="0"/>
                <w:sz w:val="36"/>
                <w:szCs w:val="36"/>
              </w:rPr>
              <w:t>各银监</w:t>
            </w:r>
            <w:proofErr w:type="gramEnd"/>
            <w:r w:rsidRPr="00D70329">
              <w:rPr>
                <w:rFonts w:ascii="仿宋_GB2312" w:eastAsia="仿宋_GB2312" w:hAnsi="Calibri" w:cs="Calibri" w:hint="eastAsia"/>
                <w:kern w:val="0"/>
                <w:sz w:val="36"/>
                <w:szCs w:val="36"/>
              </w:rPr>
              <w:t>局要继续按月统计、监测辖内全口径小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贷款的增速、户数和</w:t>
            </w:r>
            <w:proofErr w:type="gramStart"/>
            <w:r w:rsidRPr="00D70329">
              <w:rPr>
                <w:rFonts w:ascii="仿宋_GB2312" w:eastAsia="仿宋_GB2312" w:hAnsi="Calibri" w:cs="Calibri" w:hint="eastAsia"/>
                <w:kern w:val="0"/>
                <w:sz w:val="36"/>
                <w:szCs w:val="36"/>
              </w:rPr>
              <w:t>申贷</w:t>
            </w:r>
            <w:proofErr w:type="gramEnd"/>
            <w:r w:rsidRPr="00D70329">
              <w:rPr>
                <w:rFonts w:ascii="仿宋_GB2312" w:eastAsia="仿宋_GB2312" w:hAnsi="Calibri" w:cs="Calibri" w:hint="eastAsia"/>
                <w:kern w:val="0"/>
                <w:sz w:val="36"/>
                <w:szCs w:val="36"/>
              </w:rPr>
              <w:t>获得率的数据，以保持辖内全口径小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信贷投放的延续性。为提高银行业小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金融服务社会效益，</w:t>
            </w:r>
            <w:proofErr w:type="gramStart"/>
            <w:r w:rsidRPr="00D70329">
              <w:rPr>
                <w:rFonts w:ascii="仿宋_GB2312" w:eastAsia="仿宋_GB2312" w:hAnsi="Calibri" w:cs="Calibri" w:hint="eastAsia"/>
                <w:kern w:val="0"/>
                <w:sz w:val="36"/>
                <w:szCs w:val="36"/>
              </w:rPr>
              <w:t>各银监</w:t>
            </w:r>
            <w:proofErr w:type="gramEnd"/>
            <w:r w:rsidRPr="00D70329">
              <w:rPr>
                <w:rFonts w:ascii="仿宋_GB2312" w:eastAsia="仿宋_GB2312" w:hAnsi="Calibri" w:cs="Calibri" w:hint="eastAsia"/>
                <w:kern w:val="0"/>
                <w:sz w:val="36"/>
                <w:szCs w:val="36"/>
              </w:rPr>
              <w:t>局要按季收集监测辖内全口径小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贷款覆盖率、小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贷款满足度、通过银行信贷促进小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吸纳就业和创造经济价值等方面的信息。</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黑体" w:eastAsia="黑体" w:hAnsi="黑体" w:cs="Calibri" w:hint="eastAsia"/>
                <w:kern w:val="0"/>
                <w:sz w:val="36"/>
                <w:szCs w:val="36"/>
              </w:rPr>
              <w:t>十、主动开展信息披露，加强外部联动与经验推广</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自2018年起，各银行业金融机构应在年度报告中主动披露本行小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金融服务情况，包括机构网点建设、信贷投放、客户数量、贷款平均利率水平等基本信息，作为</w:t>
            </w:r>
            <w:proofErr w:type="gramStart"/>
            <w:r w:rsidRPr="00D70329">
              <w:rPr>
                <w:rFonts w:ascii="仿宋_GB2312" w:eastAsia="仿宋_GB2312" w:hAnsi="Calibri" w:cs="Calibri" w:hint="eastAsia"/>
                <w:kern w:val="0"/>
                <w:sz w:val="36"/>
                <w:szCs w:val="36"/>
              </w:rPr>
              <w:t>践行</w:t>
            </w:r>
            <w:proofErr w:type="gramEnd"/>
            <w:r w:rsidRPr="00D70329">
              <w:rPr>
                <w:rFonts w:ascii="仿宋_GB2312" w:eastAsia="仿宋_GB2312" w:hAnsi="Calibri" w:cs="Calibri" w:hint="eastAsia"/>
                <w:kern w:val="0"/>
                <w:sz w:val="36"/>
                <w:szCs w:val="36"/>
              </w:rPr>
              <w:t>社会责任的重要内</w:t>
            </w:r>
            <w:bookmarkStart w:id="0" w:name="_GoBack"/>
            <w:bookmarkEnd w:id="0"/>
            <w:r w:rsidRPr="00D70329">
              <w:rPr>
                <w:rFonts w:ascii="仿宋_GB2312" w:eastAsia="仿宋_GB2312" w:hAnsi="Calibri" w:cs="Calibri" w:hint="eastAsia"/>
                <w:kern w:val="0"/>
                <w:sz w:val="36"/>
                <w:szCs w:val="36"/>
              </w:rPr>
              <w:t>容，接受社会公众监督。</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各级监管部门要继续深化和推广“银税互动”和“银商合作”，引导银行业金融机构加强与相关政府部门的信用信息共享。进一步加强与有关部门和地方政府在信息平台建设、动产质押融资、失信惩戒、贷款风险分担和损失补偿等方面的合作。系统总结银行业小</w:t>
            </w:r>
            <w:proofErr w:type="gramStart"/>
            <w:r w:rsidRPr="00D70329">
              <w:rPr>
                <w:rFonts w:ascii="仿宋_GB2312" w:eastAsia="仿宋_GB2312" w:hAnsi="Calibri" w:cs="Calibri" w:hint="eastAsia"/>
                <w:kern w:val="0"/>
                <w:sz w:val="36"/>
                <w:szCs w:val="36"/>
              </w:rPr>
              <w:t>微企业</w:t>
            </w:r>
            <w:proofErr w:type="gramEnd"/>
            <w:r w:rsidRPr="00D70329">
              <w:rPr>
                <w:rFonts w:ascii="仿宋_GB2312" w:eastAsia="仿宋_GB2312" w:hAnsi="Calibri" w:cs="Calibri" w:hint="eastAsia"/>
                <w:kern w:val="0"/>
                <w:sz w:val="36"/>
                <w:szCs w:val="36"/>
              </w:rPr>
              <w:t>金融服务方面的好经验、好做法，梳理各地方政府在建立风险分担机制、降低第三方</w:t>
            </w:r>
            <w:r w:rsidRPr="00D70329">
              <w:rPr>
                <w:rFonts w:ascii="仿宋_GB2312" w:eastAsia="仿宋_GB2312" w:hAnsi="Calibri" w:cs="Calibri" w:hint="eastAsia"/>
                <w:kern w:val="0"/>
                <w:sz w:val="36"/>
                <w:szCs w:val="36"/>
              </w:rPr>
              <w:lastRenderedPageBreak/>
              <w:t>收取的融资附加成本、建设信用信息共享平台等方面的良好实践，因地制宜加以复制推广。</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 </w:t>
            </w:r>
          </w:p>
          <w:p w:rsidR="00D70329" w:rsidRPr="00D70329" w:rsidRDefault="00D70329" w:rsidP="00D70329">
            <w:pPr>
              <w:widowControl/>
              <w:spacing w:line="640" w:lineRule="atLeast"/>
              <w:ind w:firstLine="720"/>
              <w:rPr>
                <w:rFonts w:ascii="Calibri" w:eastAsia="微软雅黑" w:hAnsi="Calibri" w:cs="Calibri"/>
                <w:kern w:val="0"/>
                <w:szCs w:val="21"/>
              </w:rPr>
            </w:pPr>
            <w:r w:rsidRPr="00D70329">
              <w:rPr>
                <w:rFonts w:ascii="仿宋_GB2312" w:eastAsia="仿宋_GB2312" w:hAnsi="Calibri" w:cs="Calibri" w:hint="eastAsia"/>
                <w:kern w:val="0"/>
                <w:sz w:val="36"/>
                <w:szCs w:val="36"/>
              </w:rPr>
              <w:t>                             </w:t>
            </w:r>
            <w:r w:rsidRPr="00D70329">
              <w:rPr>
                <w:rFonts w:ascii="仿宋_GB2312" w:eastAsia="仿宋_GB2312" w:hAnsi="Calibri" w:cs="Calibri" w:hint="eastAsia"/>
                <w:kern w:val="0"/>
                <w:sz w:val="36"/>
                <w:szCs w:val="36"/>
              </w:rPr>
              <w:t>2018年2月11日</w:t>
            </w:r>
          </w:p>
          <w:p w:rsidR="00D70329" w:rsidRPr="00D70329" w:rsidRDefault="00D70329" w:rsidP="00D70329">
            <w:pPr>
              <w:widowControl/>
              <w:spacing w:line="640" w:lineRule="atLeast"/>
              <w:jc w:val="left"/>
              <w:rPr>
                <w:rFonts w:ascii="Calibri" w:eastAsia="微软雅黑" w:hAnsi="Calibri" w:cs="Calibri"/>
                <w:kern w:val="0"/>
                <w:szCs w:val="21"/>
              </w:rPr>
            </w:pPr>
            <w:r w:rsidRPr="00D70329">
              <w:rPr>
                <w:rFonts w:ascii="仿宋_GB2312" w:eastAsia="仿宋_GB2312" w:hAnsi="Calibri" w:cs="Calibri" w:hint="eastAsia"/>
                <w:kern w:val="0"/>
                <w:sz w:val="36"/>
                <w:szCs w:val="36"/>
              </w:rPr>
              <w:t> </w:t>
            </w:r>
          </w:p>
          <w:p w:rsidR="00D70329" w:rsidRPr="00D70329" w:rsidRDefault="00D70329" w:rsidP="00D70329">
            <w:pPr>
              <w:widowControl/>
              <w:spacing w:line="640" w:lineRule="atLeast"/>
              <w:jc w:val="left"/>
              <w:rPr>
                <w:rFonts w:ascii="Calibri" w:eastAsia="微软雅黑" w:hAnsi="Calibri" w:cs="Calibri"/>
                <w:kern w:val="0"/>
                <w:szCs w:val="21"/>
              </w:rPr>
            </w:pPr>
          </w:p>
        </w:tc>
      </w:tr>
    </w:tbl>
    <w:p w:rsidR="00E029D9" w:rsidRPr="00D70329" w:rsidRDefault="00E029D9"/>
    <w:sectPr w:rsidR="00E029D9" w:rsidRPr="00D70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7C" w:rsidRDefault="0044127C" w:rsidP="00D70329">
      <w:r>
        <w:separator/>
      </w:r>
    </w:p>
  </w:endnote>
  <w:endnote w:type="continuationSeparator" w:id="0">
    <w:p w:rsidR="0044127C" w:rsidRDefault="0044127C" w:rsidP="00D7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7C" w:rsidRDefault="0044127C" w:rsidP="00D70329">
      <w:r>
        <w:separator/>
      </w:r>
    </w:p>
  </w:footnote>
  <w:footnote w:type="continuationSeparator" w:id="0">
    <w:p w:rsidR="0044127C" w:rsidRDefault="0044127C" w:rsidP="00D70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5"/>
    <w:rsid w:val="0044127C"/>
    <w:rsid w:val="00CD51A5"/>
    <w:rsid w:val="00D70329"/>
    <w:rsid w:val="00DB3057"/>
    <w:rsid w:val="00E02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329"/>
    <w:rPr>
      <w:sz w:val="18"/>
      <w:szCs w:val="18"/>
    </w:rPr>
  </w:style>
  <w:style w:type="paragraph" w:styleId="a4">
    <w:name w:val="footer"/>
    <w:basedOn w:val="a"/>
    <w:link w:val="Char0"/>
    <w:uiPriority w:val="99"/>
    <w:unhideWhenUsed/>
    <w:rsid w:val="00D70329"/>
    <w:pPr>
      <w:tabs>
        <w:tab w:val="center" w:pos="4153"/>
        <w:tab w:val="right" w:pos="8306"/>
      </w:tabs>
      <w:snapToGrid w:val="0"/>
      <w:jc w:val="left"/>
    </w:pPr>
    <w:rPr>
      <w:sz w:val="18"/>
      <w:szCs w:val="18"/>
    </w:rPr>
  </w:style>
  <w:style w:type="character" w:customStyle="1" w:styleId="Char0">
    <w:name w:val="页脚 Char"/>
    <w:basedOn w:val="a0"/>
    <w:link w:val="a4"/>
    <w:uiPriority w:val="99"/>
    <w:rsid w:val="00D70329"/>
    <w:rPr>
      <w:sz w:val="18"/>
      <w:szCs w:val="18"/>
    </w:rPr>
  </w:style>
  <w:style w:type="paragraph" w:customStyle="1" w:styleId="p0">
    <w:name w:val="p0"/>
    <w:basedOn w:val="a"/>
    <w:rsid w:val="00D7032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329"/>
    <w:rPr>
      <w:sz w:val="18"/>
      <w:szCs w:val="18"/>
    </w:rPr>
  </w:style>
  <w:style w:type="paragraph" w:styleId="a4">
    <w:name w:val="footer"/>
    <w:basedOn w:val="a"/>
    <w:link w:val="Char0"/>
    <w:uiPriority w:val="99"/>
    <w:unhideWhenUsed/>
    <w:rsid w:val="00D70329"/>
    <w:pPr>
      <w:tabs>
        <w:tab w:val="center" w:pos="4153"/>
        <w:tab w:val="right" w:pos="8306"/>
      </w:tabs>
      <w:snapToGrid w:val="0"/>
      <w:jc w:val="left"/>
    </w:pPr>
    <w:rPr>
      <w:sz w:val="18"/>
      <w:szCs w:val="18"/>
    </w:rPr>
  </w:style>
  <w:style w:type="character" w:customStyle="1" w:styleId="Char0">
    <w:name w:val="页脚 Char"/>
    <w:basedOn w:val="a0"/>
    <w:link w:val="a4"/>
    <w:uiPriority w:val="99"/>
    <w:rsid w:val="00D70329"/>
    <w:rPr>
      <w:sz w:val="18"/>
      <w:szCs w:val="18"/>
    </w:rPr>
  </w:style>
  <w:style w:type="paragraph" w:customStyle="1" w:styleId="p0">
    <w:name w:val="p0"/>
    <w:basedOn w:val="a"/>
    <w:rsid w:val="00D703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466734">
      <w:bodyDiv w:val="1"/>
      <w:marLeft w:val="0"/>
      <w:marRight w:val="0"/>
      <w:marTop w:val="0"/>
      <w:marBottom w:val="0"/>
      <w:divBdr>
        <w:top w:val="none" w:sz="0" w:space="0" w:color="auto"/>
        <w:left w:val="none" w:sz="0" w:space="0" w:color="auto"/>
        <w:bottom w:val="none" w:sz="0" w:space="0" w:color="auto"/>
        <w:right w:val="none" w:sz="0" w:space="0" w:color="auto"/>
      </w:divBdr>
      <w:divsChild>
        <w:div w:id="1817725424">
          <w:marLeft w:val="0"/>
          <w:marRight w:val="0"/>
          <w:marTop w:val="600"/>
          <w:marBottom w:val="0"/>
          <w:divBdr>
            <w:top w:val="none" w:sz="0" w:space="0" w:color="auto"/>
            <w:left w:val="none" w:sz="0" w:space="0" w:color="auto"/>
            <w:bottom w:val="none" w:sz="0" w:space="0" w:color="auto"/>
            <w:right w:val="none" w:sz="0" w:space="0" w:color="auto"/>
          </w:divBdr>
        </w:div>
        <w:div w:id="219561601">
          <w:marLeft w:val="0"/>
          <w:marRight w:val="0"/>
          <w:marTop w:val="300"/>
          <w:marBottom w:val="0"/>
          <w:divBdr>
            <w:top w:val="none" w:sz="0" w:space="0" w:color="auto"/>
            <w:left w:val="none" w:sz="0" w:space="0" w:color="auto"/>
            <w:bottom w:val="none" w:sz="0" w:space="0" w:color="auto"/>
            <w:right w:val="none" w:sz="0" w:space="0" w:color="auto"/>
          </w:divBdr>
        </w:div>
      </w:divsChild>
    </w:div>
    <w:div w:id="1825776559">
      <w:bodyDiv w:val="1"/>
      <w:marLeft w:val="0"/>
      <w:marRight w:val="0"/>
      <w:marTop w:val="0"/>
      <w:marBottom w:val="0"/>
      <w:divBdr>
        <w:top w:val="none" w:sz="0" w:space="0" w:color="auto"/>
        <w:left w:val="none" w:sz="0" w:space="0" w:color="auto"/>
        <w:bottom w:val="none" w:sz="0" w:space="0" w:color="auto"/>
        <w:right w:val="none" w:sz="0" w:space="0" w:color="auto"/>
      </w:divBdr>
      <w:divsChild>
        <w:div w:id="2071032233">
          <w:marLeft w:val="0"/>
          <w:marRight w:val="0"/>
          <w:marTop w:val="600"/>
          <w:marBottom w:val="0"/>
          <w:divBdr>
            <w:top w:val="none" w:sz="0" w:space="0" w:color="auto"/>
            <w:left w:val="none" w:sz="0" w:space="0" w:color="auto"/>
            <w:bottom w:val="none" w:sz="0" w:space="0" w:color="auto"/>
            <w:right w:val="none" w:sz="0" w:space="0" w:color="auto"/>
          </w:divBdr>
        </w:div>
        <w:div w:id="2178424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659</Words>
  <Characters>3761</Characters>
  <Application>Microsoft Office Word</Application>
  <DocSecurity>0</DocSecurity>
  <Lines>31</Lines>
  <Paragraphs>8</Paragraphs>
  <ScaleCrop>false</ScaleCrop>
  <Company>Microsoft</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cp:revision>
  <dcterms:created xsi:type="dcterms:W3CDTF">2018-06-13T06:22:00Z</dcterms:created>
  <dcterms:modified xsi:type="dcterms:W3CDTF">2018-06-13T06:25:00Z</dcterms:modified>
</cp:coreProperties>
</file>