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BDE77" w14:textId="139C307A" w:rsidR="00BC2B93" w:rsidRPr="00BC2B93" w:rsidRDefault="00BC2B93" w:rsidP="00BC2B93">
      <w:pPr>
        <w:rPr>
          <w:rFonts w:ascii="Aptos" w:hAnsi="Aptos"/>
          <w:b/>
          <w:bCs/>
          <w:lang w:val="en-KE"/>
        </w:rPr>
      </w:pPr>
      <w:r w:rsidRPr="00BC2B93">
        <w:rPr>
          <w:rFonts w:ascii="Aptos" w:hAnsi="Aptos"/>
          <w:b/>
          <w:bCs/>
          <w:lang w:val="en-KE"/>
        </w:rPr>
        <w:t>Summary of Key Findings</w:t>
      </w:r>
    </w:p>
    <w:p w14:paraId="4522491E" w14:textId="7C96B530" w:rsidR="00BC2B93" w:rsidRPr="00BC2B93" w:rsidRDefault="00BC2B93" w:rsidP="00BC2B93">
      <w:pPr>
        <w:rPr>
          <w:rFonts w:ascii="Aptos" w:hAnsi="Aptos"/>
          <w:lang w:val="en-KE"/>
        </w:rPr>
      </w:pPr>
      <w:r w:rsidRPr="00BC2B93">
        <w:rPr>
          <w:rFonts w:ascii="Aptos" w:hAnsi="Aptos"/>
          <w:lang w:val="en-KE"/>
        </w:rPr>
        <w:t xml:space="preserve">The Online Retail dataset shows strong patterns in customer </w:t>
      </w:r>
      <w:r w:rsidRPr="00BC2B93">
        <w:rPr>
          <w:rFonts w:ascii="Aptos" w:hAnsi="Aptos"/>
          <w:lang w:val="en-KE"/>
        </w:rPr>
        <w:t>behaviour</w:t>
      </w:r>
      <w:r w:rsidRPr="00BC2B93">
        <w:rPr>
          <w:rFonts w:ascii="Aptos" w:hAnsi="Aptos"/>
          <w:lang w:val="en-KE"/>
        </w:rPr>
        <w:t>, revenue contribution, and international demand across 2010–2011. After cleaning the data—removing cancellations, invalid quantities and prices, missing customer IDs, and duplicates—the following insights emerged:</w:t>
      </w:r>
    </w:p>
    <w:p w14:paraId="4F5BE9CD" w14:textId="77777777" w:rsidR="00BC2B93" w:rsidRPr="00BC2B93" w:rsidRDefault="00BC2B93" w:rsidP="00BC2B93">
      <w:pPr>
        <w:rPr>
          <w:rFonts w:ascii="Aptos" w:hAnsi="Aptos"/>
          <w:b/>
          <w:bCs/>
          <w:lang w:val="en-KE"/>
        </w:rPr>
      </w:pPr>
      <w:r w:rsidRPr="00BC2B93">
        <w:rPr>
          <w:rFonts w:ascii="Aptos" w:hAnsi="Aptos"/>
          <w:b/>
          <w:bCs/>
          <w:lang w:val="en-KE"/>
        </w:rPr>
        <w:t>1. Revenue Trends (2011 Time Series)</w:t>
      </w:r>
    </w:p>
    <w:p w14:paraId="14253883" w14:textId="77777777" w:rsidR="00BC2B93" w:rsidRPr="00BC2B93" w:rsidRDefault="00BC2B93" w:rsidP="00BC2B93">
      <w:pPr>
        <w:rPr>
          <w:rFonts w:ascii="Aptos" w:hAnsi="Aptos"/>
          <w:lang w:val="en-KE"/>
        </w:rPr>
      </w:pPr>
      <w:r w:rsidRPr="00BC2B93">
        <w:rPr>
          <w:rFonts w:ascii="Aptos" w:hAnsi="Aptos"/>
          <w:lang w:val="en-KE"/>
        </w:rPr>
        <w:t>Revenue in 2011 displayed notable monthly fluctuations, with clear seasonal patterns. Several months showed strong spikes consistent with holiday-driven demand, while slower periods occurred mid-year. These trends indicate predictable cycles that can guide inventory and staffing decisions.</w:t>
      </w:r>
    </w:p>
    <w:p w14:paraId="72F5C7AA" w14:textId="77777777" w:rsidR="00BC2B93" w:rsidRPr="00BC2B93" w:rsidRDefault="00BC2B93" w:rsidP="00BC2B93">
      <w:pPr>
        <w:rPr>
          <w:rFonts w:ascii="Aptos" w:hAnsi="Aptos"/>
          <w:b/>
          <w:bCs/>
          <w:lang w:val="en-KE"/>
        </w:rPr>
      </w:pPr>
      <w:r w:rsidRPr="00BC2B93">
        <w:rPr>
          <w:rFonts w:ascii="Aptos" w:hAnsi="Aptos"/>
          <w:b/>
          <w:bCs/>
          <w:lang w:val="en-KE"/>
        </w:rPr>
        <w:t>2. Country Performance (Excluding the UK)</w:t>
      </w:r>
    </w:p>
    <w:p w14:paraId="59F9A8F0" w14:textId="77777777" w:rsidR="00BC2B93" w:rsidRPr="00BC2B93" w:rsidRDefault="00BC2B93" w:rsidP="00BC2B93">
      <w:pPr>
        <w:rPr>
          <w:rFonts w:ascii="Aptos" w:hAnsi="Aptos"/>
          <w:lang w:val="en-KE"/>
        </w:rPr>
      </w:pPr>
      <w:r w:rsidRPr="00BC2B93">
        <w:rPr>
          <w:rFonts w:ascii="Aptos" w:hAnsi="Aptos"/>
          <w:lang w:val="en-KE"/>
        </w:rPr>
        <w:t>Outside the United Kingdom, a small number of countries generate disproportionately high revenue. The top performers contributed significantly to international sales, with strong revenue and healthy order quantities. This highlights key international markets where customer purchasing power and engagement are strongest.</w:t>
      </w:r>
    </w:p>
    <w:p w14:paraId="59D2D37B" w14:textId="77777777" w:rsidR="00BC2B93" w:rsidRPr="00BC2B93" w:rsidRDefault="00BC2B93" w:rsidP="00BC2B93">
      <w:pPr>
        <w:rPr>
          <w:rFonts w:ascii="Aptos" w:hAnsi="Aptos"/>
          <w:b/>
          <w:bCs/>
          <w:lang w:val="en-KE"/>
        </w:rPr>
      </w:pPr>
      <w:r w:rsidRPr="00BC2B93">
        <w:rPr>
          <w:rFonts w:ascii="Aptos" w:hAnsi="Aptos"/>
          <w:b/>
          <w:bCs/>
          <w:lang w:val="en-KE"/>
        </w:rPr>
        <w:t>3. Top Customers by Revenue</w:t>
      </w:r>
    </w:p>
    <w:p w14:paraId="0807FCCA" w14:textId="77777777" w:rsidR="00BC2B93" w:rsidRPr="00BC2B93" w:rsidRDefault="00BC2B93" w:rsidP="00BC2B93">
      <w:pPr>
        <w:rPr>
          <w:rFonts w:ascii="Aptos" w:hAnsi="Aptos"/>
          <w:lang w:val="en-KE"/>
        </w:rPr>
      </w:pPr>
      <w:r w:rsidRPr="00BC2B93">
        <w:rPr>
          <w:rFonts w:ascii="Aptos" w:hAnsi="Aptos"/>
          <w:lang w:val="en-KE"/>
        </w:rPr>
        <w:t>A small segment of customers accounts for a major proportion of total revenue. The top 10 highest-spending customers demonstrated exceptionally high purchasing activity, suggesting concentrated value among specific customer profiles. These customers represent a priority segment for retention and targeted marketing.</w:t>
      </w:r>
    </w:p>
    <w:p w14:paraId="35798276" w14:textId="77777777" w:rsidR="00BC2B93" w:rsidRPr="00BC2B93" w:rsidRDefault="00BC2B93" w:rsidP="00BC2B93">
      <w:pPr>
        <w:rPr>
          <w:rFonts w:ascii="Aptos" w:hAnsi="Aptos"/>
          <w:b/>
          <w:bCs/>
          <w:lang w:val="en-KE"/>
        </w:rPr>
      </w:pPr>
      <w:r w:rsidRPr="00BC2B93">
        <w:rPr>
          <w:rFonts w:ascii="Aptos" w:hAnsi="Aptos"/>
          <w:b/>
          <w:bCs/>
          <w:lang w:val="en-KE"/>
        </w:rPr>
        <w:t>4. Global Product Demand</w:t>
      </w:r>
    </w:p>
    <w:p w14:paraId="118EC1BC" w14:textId="77777777" w:rsidR="00BC2B93" w:rsidRPr="00BC2B93" w:rsidRDefault="00BC2B93" w:rsidP="00BC2B93">
      <w:pPr>
        <w:rPr>
          <w:rFonts w:ascii="Aptos" w:hAnsi="Aptos"/>
          <w:lang w:val="en-KE"/>
        </w:rPr>
      </w:pPr>
      <w:r w:rsidRPr="00BC2B93">
        <w:rPr>
          <w:rFonts w:ascii="Aptos" w:hAnsi="Aptos"/>
          <w:lang w:val="en-KE"/>
        </w:rPr>
        <w:t>Demand outside the UK is widely distributed across many countries. Certain markets, despite lower revenue, show high quantities purchased—reflecting strong interest in products but potentially lower price points. These “high-demand, lower-revenue” regions present opportunities for targeted product positioning, optimized pricing, or market expansion strategies.</w:t>
      </w:r>
    </w:p>
    <w:p w14:paraId="18E73C41" w14:textId="77777777" w:rsidR="00D70A38" w:rsidRPr="00BC2B93" w:rsidRDefault="00D70A38">
      <w:pPr>
        <w:rPr>
          <w:rFonts w:ascii="Aptos" w:hAnsi="Aptos"/>
        </w:rPr>
      </w:pPr>
    </w:p>
    <w:sectPr w:rsidR="00D70A38" w:rsidRPr="00BC2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93"/>
    <w:rsid w:val="00002376"/>
    <w:rsid w:val="000314A5"/>
    <w:rsid w:val="005E56F1"/>
    <w:rsid w:val="008E5D6C"/>
    <w:rsid w:val="009D1844"/>
    <w:rsid w:val="00BC2B93"/>
    <w:rsid w:val="00D70A38"/>
  </w:rsids>
  <m:mathPr>
    <m:mathFont m:val="Cambria Math"/>
    <m:brkBin m:val="before"/>
    <m:brkBinSub m:val="--"/>
    <m:smallFrac m:val="0"/>
    <m:dispDef/>
    <m:lMargin m:val="0"/>
    <m:rMargin m:val="0"/>
    <m:defJc m:val="centerGroup"/>
    <m:wrapIndent m:val="1440"/>
    <m:intLim m:val="subSup"/>
    <m:naryLim m:val="undOvr"/>
  </m:mathPr>
  <w:themeFontLang w:val="en-K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63EBF"/>
  <w15:chartTrackingRefBased/>
  <w15:docId w15:val="{B61076AB-E75F-4410-913E-77C69EAAD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2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2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B93"/>
    <w:rPr>
      <w:rFonts w:eastAsiaTheme="majorEastAsia" w:cstheme="majorBidi"/>
      <w:color w:val="272727" w:themeColor="text1" w:themeTint="D8"/>
    </w:rPr>
  </w:style>
  <w:style w:type="paragraph" w:styleId="Title">
    <w:name w:val="Title"/>
    <w:basedOn w:val="Normal"/>
    <w:next w:val="Normal"/>
    <w:link w:val="TitleChar"/>
    <w:uiPriority w:val="10"/>
    <w:qFormat/>
    <w:rsid w:val="00BC2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B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B93"/>
    <w:pPr>
      <w:spacing w:before="160"/>
      <w:jc w:val="center"/>
    </w:pPr>
    <w:rPr>
      <w:i/>
      <w:iCs/>
      <w:color w:val="404040" w:themeColor="text1" w:themeTint="BF"/>
    </w:rPr>
  </w:style>
  <w:style w:type="character" w:customStyle="1" w:styleId="QuoteChar">
    <w:name w:val="Quote Char"/>
    <w:basedOn w:val="DefaultParagraphFont"/>
    <w:link w:val="Quote"/>
    <w:uiPriority w:val="29"/>
    <w:rsid w:val="00BC2B93"/>
    <w:rPr>
      <w:i/>
      <w:iCs/>
      <w:color w:val="404040" w:themeColor="text1" w:themeTint="BF"/>
    </w:rPr>
  </w:style>
  <w:style w:type="paragraph" w:styleId="ListParagraph">
    <w:name w:val="List Paragraph"/>
    <w:basedOn w:val="Normal"/>
    <w:uiPriority w:val="34"/>
    <w:qFormat/>
    <w:rsid w:val="00BC2B93"/>
    <w:pPr>
      <w:ind w:left="720"/>
      <w:contextualSpacing/>
    </w:pPr>
  </w:style>
  <w:style w:type="character" w:styleId="IntenseEmphasis">
    <w:name w:val="Intense Emphasis"/>
    <w:basedOn w:val="DefaultParagraphFont"/>
    <w:uiPriority w:val="21"/>
    <w:qFormat/>
    <w:rsid w:val="00BC2B93"/>
    <w:rPr>
      <w:i/>
      <w:iCs/>
      <w:color w:val="2F5496" w:themeColor="accent1" w:themeShade="BF"/>
    </w:rPr>
  </w:style>
  <w:style w:type="paragraph" w:styleId="IntenseQuote">
    <w:name w:val="Intense Quote"/>
    <w:basedOn w:val="Normal"/>
    <w:next w:val="Normal"/>
    <w:link w:val="IntenseQuoteChar"/>
    <w:uiPriority w:val="30"/>
    <w:qFormat/>
    <w:rsid w:val="00BC2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B93"/>
    <w:rPr>
      <w:i/>
      <w:iCs/>
      <w:color w:val="2F5496" w:themeColor="accent1" w:themeShade="BF"/>
    </w:rPr>
  </w:style>
  <w:style w:type="character" w:styleId="IntenseReference">
    <w:name w:val="Intense Reference"/>
    <w:basedOn w:val="DefaultParagraphFont"/>
    <w:uiPriority w:val="32"/>
    <w:qFormat/>
    <w:rsid w:val="00BC2B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kenyansa</dc:creator>
  <cp:keywords/>
  <dc:description/>
  <cp:lastModifiedBy>felix kenyansa</cp:lastModifiedBy>
  <cp:revision>1</cp:revision>
  <dcterms:created xsi:type="dcterms:W3CDTF">2025-12-09T22:32:00Z</dcterms:created>
  <dcterms:modified xsi:type="dcterms:W3CDTF">2025-12-09T22:33:00Z</dcterms:modified>
</cp:coreProperties>
</file>