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st07vel0avb" w:id="0"/>
      <w:bookmarkEnd w:id="0"/>
      <w:r w:rsidDel="00000000" w:rsidR="00000000" w:rsidRPr="00000000">
        <w:rPr>
          <w:rtl w:val="0"/>
        </w:rPr>
        <w:t xml:space="preserve">Déploiement de la plateforme multi-agents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 système multi-agents est déployé sur une plateforme JADE distribuée. Le trinôme travaille sur trois machines distinctes. Une machine héberge le conteneur principal de la plateforme, tandis que les autres machines hébergent des conteneurs secondaires connectés au conteneur principal.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gy6q8cm41h2" w:id="1"/>
      <w:bookmarkEnd w:id="1"/>
      <w:r w:rsidDel="00000000" w:rsidR="00000000" w:rsidRPr="00000000">
        <w:rPr>
          <w:b w:val="1"/>
          <w:bCs w:val="1"/>
          <w:sz w:val="34"/>
          <w:szCs w:val="34"/>
          <w:rtl w:val="0"/>
        </w:rPr>
        <w:t xml:space="preserve">Répartition proposée</w:t>
      </w:r>
    </w:p>
    <w:p w:rsidR="00000000" w:rsidDel="00000000" w:rsidP="00000000" w:rsidRDefault="00000000" w:rsidRPr="00000000" w14:paraId="00000007">
      <w:pPr>
        <w:rPr/>
      </w:pPr>
      <w:r w:rsidDel="00000000" w:rsidR="00000000" w:rsidRPr="00000000">
        <w:rPr>
          <w:rtl w:val="0"/>
        </w:rPr>
        <w:t xml:space="preserve">- Machine 1 : Main Container JADE + SupervisorAgent</w:t>
      </w:r>
    </w:p>
    <w:p w:rsidR="00000000" w:rsidDel="00000000" w:rsidP="00000000" w:rsidRDefault="00000000" w:rsidRPr="00000000" w14:paraId="00000008">
      <w:pPr>
        <w:rPr/>
      </w:pPr>
      <w:r w:rsidDel="00000000" w:rsidR="00000000" w:rsidRPr="00000000">
        <w:rPr>
          <w:rtl w:val="0"/>
        </w:rPr>
        <w:t xml:space="preserve">- Machine 2 : Container secondaire urbain + IntersectionAgent + TrafficLightAgent + VehicleAgent</w:t>
      </w:r>
    </w:p>
    <w:p w:rsidR="00000000" w:rsidDel="00000000" w:rsidP="00000000" w:rsidRDefault="00000000" w:rsidRPr="00000000" w14:paraId="00000009">
      <w:pPr>
        <w:rPr/>
      </w:pPr>
      <w:r w:rsidDel="00000000" w:rsidR="00000000" w:rsidRPr="00000000">
        <w:rPr>
          <w:rtl w:val="0"/>
        </w:rPr>
        <w:t xml:space="preserve">- Machine 3 : Container secondaire extra-urbain + HighwayAgent + GatewayAgent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vsstwthh2v" w:id="2"/>
      <w:bookmarkEnd w:id="2"/>
      <w:r w:rsidDel="00000000" w:rsidR="00000000" w:rsidRPr="00000000">
        <w:rPr>
          <w:b w:val="1"/>
          <w:bCs w:val="1"/>
          <w:sz w:val="34"/>
          <w:szCs w:val="34"/>
          <w:rtl w:val="0"/>
        </w:rPr>
        <w:t xml:space="preserve">Principe de fonctionnement</w:t>
      </w:r>
    </w:p>
    <w:p w:rsidR="00000000" w:rsidDel="00000000" w:rsidP="00000000" w:rsidRDefault="00000000" w:rsidRPr="00000000" w14:paraId="0000000B">
      <w:pPr>
        <w:rPr/>
      </w:pPr>
      <w:r w:rsidDel="00000000" w:rsidR="00000000" w:rsidRPr="00000000">
        <w:rPr>
          <w:rtl w:val="0"/>
        </w:rPr>
        <w:t xml:space="preserve">Tous les agents appartiennent à la même plateforme JADE, même s’ils sont répartis sur plusieurs machines. Les agents communiquent par messages ACL. Le conteneur principal assure la coordination de la plateforme, tandis que les conteneurs secondaires hébergent les agents spécialisés selon leur rôle.</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