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ewiwl35ufys" w:id="0"/>
      <w:bookmarkEnd w:id="0"/>
      <w:r w:rsidDel="00000000" w:rsidR="00000000" w:rsidRPr="00000000">
        <w:rPr>
          <w:rtl w:val="0"/>
        </w:rPr>
        <w:t xml:space="preserve">Ontologie métier du système routier intelligent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L’ontologie du domaine définit les principaux concepts manipulés par les agents du système afin d’assurer une compréhension commune du réseau routier.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xarkqti84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Représente une route reliant deux nœuds du réseau.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p6u24g0nl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Représente un point du réseau routier, par exemple une intersection, une entrée ou une sortie.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tb8xsd0n5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Intersection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Représente un carrefour composé de plusieurs routes connectées.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8cv4jmebt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TrafficState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Décrit l’état du trafic sur une zone donnée, avec un niveau de fluidité ou de congestion.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ieapge8zw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Congestion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Représente une situation d’embouteillage ou de saturation sur une route ou une intersection.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y40fdk0bd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Représente un événement perturbateur comme un accident, des travaux ou une voie bloquée.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fsf1zc6in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RoutePath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Représente un trajet proposé à un véhicule sous forme d’une séquence de routes ou de nœuds.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prama5l5m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PriorityRequest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Représente une demande de priorité, par exemple pour une ambulance ou un véhicule d’urgence.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7hgddpca3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VehicleInfo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Contient les informations essentielles d’un véhicule : identifiant, position, destination, état courant.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dqv8t4qmw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HighwaySegment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Représente une portion d’autoroute ou de voie rapide en dehors de la ville.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