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zapocsaubdf" w:id="0"/>
      <w:bookmarkEnd w:id="0"/>
      <w:r w:rsidDel="00000000" w:rsidR="00000000" w:rsidRPr="00000000">
        <w:rPr>
          <w:rtl w:val="0"/>
        </w:rPr>
        <w:t xml:space="preserve">Protocole FIPA-Subscribe avec le superviseur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SupervisorAgent s’abonne aux mises à jour des agents locaux. Les IntersectionAgent et HighwayAgent envoient automatiquement leurs changements d’état au superviseur dès qu’un événement significatif survient.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