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7025" w14:textId="77777777" w:rsidR="00272E29" w:rsidRDefault="00000000">
      <w:pPr>
        <w:spacing w:after="80" w:line="252" w:lineRule="auto"/>
        <w:jc w:val="center"/>
      </w:pPr>
      <w:r>
        <w:rPr>
          <w:b/>
          <w:sz w:val="36"/>
        </w:rPr>
        <w:t>Clinical Ground-Truth Check of High-CATE Latent-State Results</w:t>
      </w:r>
    </w:p>
    <w:p w14:paraId="58F80120" w14:textId="77777777" w:rsidR="00272E29" w:rsidRDefault="00000000">
      <w:pPr>
        <w:spacing w:after="80" w:line="252" w:lineRule="auto"/>
        <w:jc w:val="center"/>
      </w:pPr>
      <w:r>
        <w:rPr>
          <w:i/>
          <w:sz w:val="20"/>
        </w:rPr>
        <w:t>PhysioNet 2012 and MIMIC CSV summaries</w:t>
      </w:r>
    </w:p>
    <w:p w14:paraId="3D4FFF9E" w14:textId="77777777" w:rsidR="00272E29" w:rsidRDefault="00272E29">
      <w:pPr>
        <w:spacing w:after="80" w:line="252" w:lineRule="auto"/>
      </w:pPr>
    </w:p>
    <w:p w14:paraId="410E25D1" w14:textId="77777777" w:rsidR="00272E29" w:rsidRDefault="00000000">
      <w:pPr>
        <w:pStyle w:val="1"/>
        <w:spacing w:after="80" w:line="252" w:lineRule="auto"/>
      </w:pPr>
      <w:r>
        <w:t>Executive summary</w:t>
      </w:r>
    </w:p>
    <w:p w14:paraId="56CD9F76" w14:textId="77777777" w:rsidR="00272E29" w:rsidRDefault="00000000">
      <w:pPr>
        <w:spacing w:after="80" w:line="252" w:lineRule="auto"/>
      </w:pPr>
      <w:r>
        <w:t>The two CSV summary files were reviewed and mean_cate was interpreted as the model-estimated absolute mortality-rate increase associated with setting a binary latent/exposure tag to 1. This interpretation is useful for prioritizing and comparing signals, but it should not be treated as equivalent to a randomized treatment effect because most variables represent disease states or organ-dysfunction proxies rather than therapeutic interventions.</w:t>
      </w:r>
    </w:p>
    <w:p w14:paraId="296B5839" w14:textId="77777777" w:rsidR="00272E29" w:rsidRDefault="00000000">
      <w:pPr>
        <w:spacing w:after="80" w:line="252" w:lineRule="auto"/>
      </w:pPr>
      <w:r>
        <w:t>The strongest clinically supported positive signals are hepatic dysfunction, renal dysfunction, global severity, metabolic derangement, and coagulation dysfunction. These findings are broadly consistent with ICU literature showing that organ dysfunction and higher SOFA-like severity are associated with increased mortality [1,2]. Hyperbilirubinemia/liver dysfunction and acute kidney injury have especially strong supporting evidence [3-7].</w:t>
      </w:r>
    </w:p>
    <w:p w14:paraId="16243AD5" w14:textId="77777777" w:rsidR="00272E29" w:rsidRDefault="00000000">
      <w:pPr>
        <w:spacing w:after="80" w:line="252" w:lineRule="auto"/>
      </w:pPr>
      <w:r>
        <w:t>Two findings require particular caution: the very low or negative shock effects and the negative PhysioNet heme/coag effect. Clinically, septic or circulatory shock is a high-mortality syndrome; Sepsis-3 defines septic shock using vasopressor-requiring hypotension and lactate elevation, with hospital mortality exceeding 40% [1]. Accordingly, PhysioNet Shock = -0.6 pp and MIMIC Shock = +2.2 pp are more likely to reflect proxy construction, confounding, treatment selection, or coding limitations than true protective or negligible mortality effects.</w:t>
      </w:r>
    </w:p>
    <w:p w14:paraId="06F1B2BB" w14:textId="77777777" w:rsidR="00272E29" w:rsidRDefault="00000000">
      <w:pPr>
        <w:pStyle w:val="21"/>
        <w:spacing w:after="80" w:line="252" w:lineRule="auto"/>
      </w:pPr>
      <w:r>
        <w:t>Important sanity check before clinical interpretation</w:t>
      </w:r>
    </w:p>
    <w:p w14:paraId="01627000" w14:textId="77777777" w:rsidR="00272E29" w:rsidRDefault="00000000">
      <w:pPr>
        <w:spacing w:after="80" w:line="252" w:lineRule="auto"/>
      </w:pPr>
      <w:r>
        <w:t>Across both CSVs, treated_outcome_positive_rate is often lower than the overall outcome_rate even when mean_cate is strongly positive. For example, MIMIC HepaticDysfunction has outcome_rate = 12.1%, treated_outcome_positive_rate = 3.1%, and mean_cate = +15.5 pp; PhysioNet RenalFail has outcome_rate = 14.2%, treated_outcome_positive_rate = 6.2%, and mean_cate = +12.5 pp. This pattern does not, by itself, invalidate the CausalForest estimate, but it indicates that the treated outcome column should not be interpreted as raw mortality risk without confirming outcome coding, sample restrictions, and whether the positive outcome denotes mortality or survival. It also increases the need for calibration and sensitivity checks.</w:t>
      </w:r>
    </w:p>
    <w:p w14:paraId="386F6F17" w14:textId="77777777" w:rsidR="00272E29" w:rsidRDefault="00000000">
      <w:pPr>
        <w:pStyle w:val="1"/>
        <w:spacing w:after="80" w:line="252" w:lineRule="auto"/>
      </w:pPr>
      <w:r>
        <w:t>1. CSV summary readout</w:t>
      </w:r>
    </w:p>
    <w:p w14:paraId="26059CF3" w14:textId="77777777" w:rsidR="00272E29" w:rsidRDefault="00000000">
      <w:pPr>
        <w:pStyle w:val="21"/>
        <w:spacing w:after="80" w:line="252" w:lineRule="auto"/>
      </w:pPr>
      <w:r>
        <w:t>PhysioNet 2012</w:t>
      </w:r>
    </w:p>
    <w:tbl>
      <w:tblPr>
        <w:tblStyle w:val="aff2"/>
        <w:tblW w:w="0" w:type="auto"/>
        <w:jc w:val="center"/>
        <w:tblLook w:val="04A0" w:firstRow="1" w:lastRow="0" w:firstColumn="1" w:lastColumn="0" w:noHBand="0" w:noVBand="1"/>
      </w:tblPr>
      <w:tblGrid>
        <w:gridCol w:w="1481"/>
        <w:gridCol w:w="1481"/>
        <w:gridCol w:w="1481"/>
        <w:gridCol w:w="1481"/>
        <w:gridCol w:w="1481"/>
        <w:gridCol w:w="1481"/>
        <w:gridCol w:w="1481"/>
      </w:tblGrid>
      <w:tr w:rsidR="00272E29" w14:paraId="7DC37E2B" w14:textId="77777777">
        <w:trPr>
          <w:jc w:val="center"/>
        </w:trPr>
        <w:tc>
          <w:tcPr>
            <w:tcW w:w="1481" w:type="dxa"/>
            <w:shd w:val="clear" w:color="auto" w:fill="D9EAF7"/>
          </w:tcPr>
          <w:p w14:paraId="4062E22E" w14:textId="77777777" w:rsidR="00272E29" w:rsidRDefault="00000000">
            <w:r>
              <w:rPr>
                <w:b/>
                <w:sz w:val="16"/>
              </w:rPr>
              <w:t>Rank</w:t>
            </w:r>
          </w:p>
        </w:tc>
        <w:tc>
          <w:tcPr>
            <w:tcW w:w="1481" w:type="dxa"/>
            <w:shd w:val="clear" w:color="auto" w:fill="D9EAF7"/>
          </w:tcPr>
          <w:p w14:paraId="2C8BD8A0" w14:textId="77777777" w:rsidR="00272E29" w:rsidRDefault="00000000">
            <w:r>
              <w:rPr>
                <w:b/>
                <w:sz w:val="16"/>
              </w:rPr>
              <w:t>Latent/exposure</w:t>
            </w:r>
          </w:p>
        </w:tc>
        <w:tc>
          <w:tcPr>
            <w:tcW w:w="1481" w:type="dxa"/>
            <w:shd w:val="clear" w:color="auto" w:fill="D9EAF7"/>
          </w:tcPr>
          <w:p w14:paraId="0C024AC5" w14:textId="77777777" w:rsidR="00272E29" w:rsidRDefault="00000000">
            <w:r>
              <w:rPr>
                <w:b/>
                <w:sz w:val="16"/>
              </w:rPr>
              <w:t>n</w:t>
            </w:r>
          </w:p>
        </w:tc>
        <w:tc>
          <w:tcPr>
            <w:tcW w:w="1481" w:type="dxa"/>
            <w:shd w:val="clear" w:color="auto" w:fill="D9EAF7"/>
          </w:tcPr>
          <w:p w14:paraId="4EFB1679" w14:textId="77777777" w:rsidR="00272E29" w:rsidRDefault="00000000">
            <w:r>
              <w:rPr>
                <w:b/>
                <w:sz w:val="16"/>
              </w:rPr>
              <w:t>Outcome rate</w:t>
            </w:r>
          </w:p>
        </w:tc>
        <w:tc>
          <w:tcPr>
            <w:tcW w:w="1481" w:type="dxa"/>
            <w:shd w:val="clear" w:color="auto" w:fill="D9EAF7"/>
          </w:tcPr>
          <w:p w14:paraId="1199EE8F" w14:textId="77777777" w:rsidR="00272E29" w:rsidRDefault="00000000">
            <w:r>
              <w:rPr>
                <w:b/>
                <w:sz w:val="16"/>
              </w:rPr>
              <w:t>Treatment rate</w:t>
            </w:r>
          </w:p>
        </w:tc>
        <w:tc>
          <w:tcPr>
            <w:tcW w:w="1481" w:type="dxa"/>
            <w:shd w:val="clear" w:color="auto" w:fill="D9EAF7"/>
          </w:tcPr>
          <w:p w14:paraId="5961AC2E" w14:textId="77777777" w:rsidR="00272E29" w:rsidRDefault="00000000">
            <w:r>
              <w:rPr>
                <w:b/>
                <w:sz w:val="16"/>
              </w:rPr>
              <w:t>Treated outcome positive</w:t>
            </w:r>
          </w:p>
        </w:tc>
        <w:tc>
          <w:tcPr>
            <w:tcW w:w="1481" w:type="dxa"/>
            <w:shd w:val="clear" w:color="auto" w:fill="D9EAF7"/>
          </w:tcPr>
          <w:p w14:paraId="13173E73" w14:textId="77777777" w:rsidR="00272E29" w:rsidRDefault="00000000">
            <w:r>
              <w:rPr>
                <w:b/>
                <w:sz w:val="16"/>
              </w:rPr>
              <w:t>Mean CATE</w:t>
            </w:r>
          </w:p>
        </w:tc>
      </w:tr>
      <w:tr w:rsidR="00272E29" w14:paraId="61C2EC66" w14:textId="77777777">
        <w:trPr>
          <w:jc w:val="center"/>
        </w:trPr>
        <w:tc>
          <w:tcPr>
            <w:tcW w:w="1481" w:type="dxa"/>
          </w:tcPr>
          <w:p w14:paraId="4FCC20E5" w14:textId="77777777" w:rsidR="00272E29" w:rsidRDefault="00000000">
            <w:r>
              <w:rPr>
                <w:sz w:val="16"/>
              </w:rPr>
              <w:t>1</w:t>
            </w:r>
          </w:p>
        </w:tc>
        <w:tc>
          <w:tcPr>
            <w:tcW w:w="1481" w:type="dxa"/>
          </w:tcPr>
          <w:p w14:paraId="6516D2F9" w14:textId="77777777" w:rsidR="00272E29" w:rsidRDefault="00000000">
            <w:r>
              <w:rPr>
                <w:sz w:val="16"/>
              </w:rPr>
              <w:t>RenalFail</w:t>
            </w:r>
          </w:p>
        </w:tc>
        <w:tc>
          <w:tcPr>
            <w:tcW w:w="1481" w:type="dxa"/>
          </w:tcPr>
          <w:p w14:paraId="37A875DF" w14:textId="77777777" w:rsidR="00272E29" w:rsidRDefault="00000000">
            <w:r>
              <w:rPr>
                <w:sz w:val="16"/>
              </w:rPr>
              <w:t>7,993</w:t>
            </w:r>
          </w:p>
        </w:tc>
        <w:tc>
          <w:tcPr>
            <w:tcW w:w="1481" w:type="dxa"/>
          </w:tcPr>
          <w:p w14:paraId="54BEB690" w14:textId="77777777" w:rsidR="00272E29" w:rsidRDefault="00000000">
            <w:r>
              <w:rPr>
                <w:sz w:val="16"/>
              </w:rPr>
              <w:t>14.2%</w:t>
            </w:r>
          </w:p>
        </w:tc>
        <w:tc>
          <w:tcPr>
            <w:tcW w:w="1481" w:type="dxa"/>
          </w:tcPr>
          <w:p w14:paraId="336EA840" w14:textId="77777777" w:rsidR="00272E29" w:rsidRDefault="00000000">
            <w:r>
              <w:rPr>
                <w:sz w:val="16"/>
              </w:rPr>
              <w:t>23.2%</w:t>
            </w:r>
          </w:p>
        </w:tc>
        <w:tc>
          <w:tcPr>
            <w:tcW w:w="1481" w:type="dxa"/>
          </w:tcPr>
          <w:p w14:paraId="37397558" w14:textId="77777777" w:rsidR="00272E29" w:rsidRDefault="00000000">
            <w:r>
              <w:rPr>
                <w:sz w:val="16"/>
              </w:rPr>
              <w:t>6.2%</w:t>
            </w:r>
          </w:p>
        </w:tc>
        <w:tc>
          <w:tcPr>
            <w:tcW w:w="1481" w:type="dxa"/>
          </w:tcPr>
          <w:p w14:paraId="32577F7F" w14:textId="77777777" w:rsidR="00272E29" w:rsidRDefault="00000000">
            <w:r>
              <w:rPr>
                <w:sz w:val="16"/>
              </w:rPr>
              <w:t>+12.5 pp</w:t>
            </w:r>
          </w:p>
        </w:tc>
      </w:tr>
      <w:tr w:rsidR="00272E29" w14:paraId="1C543BBF" w14:textId="77777777">
        <w:trPr>
          <w:jc w:val="center"/>
        </w:trPr>
        <w:tc>
          <w:tcPr>
            <w:tcW w:w="1481" w:type="dxa"/>
          </w:tcPr>
          <w:p w14:paraId="0DF3E6EA" w14:textId="77777777" w:rsidR="00272E29" w:rsidRDefault="00000000">
            <w:r>
              <w:rPr>
                <w:sz w:val="16"/>
              </w:rPr>
              <w:t>2</w:t>
            </w:r>
          </w:p>
        </w:tc>
        <w:tc>
          <w:tcPr>
            <w:tcW w:w="1481" w:type="dxa"/>
          </w:tcPr>
          <w:p w14:paraId="60EE5B06" w14:textId="77777777" w:rsidR="00272E29" w:rsidRDefault="00000000">
            <w:r>
              <w:rPr>
                <w:sz w:val="16"/>
              </w:rPr>
              <w:t>HepFail</w:t>
            </w:r>
          </w:p>
        </w:tc>
        <w:tc>
          <w:tcPr>
            <w:tcW w:w="1481" w:type="dxa"/>
          </w:tcPr>
          <w:p w14:paraId="3326E1FA" w14:textId="77777777" w:rsidR="00272E29" w:rsidRDefault="00000000">
            <w:r>
              <w:rPr>
                <w:sz w:val="16"/>
              </w:rPr>
              <w:t>7,993</w:t>
            </w:r>
          </w:p>
        </w:tc>
        <w:tc>
          <w:tcPr>
            <w:tcW w:w="1481" w:type="dxa"/>
          </w:tcPr>
          <w:p w14:paraId="75B803C4" w14:textId="77777777" w:rsidR="00272E29" w:rsidRDefault="00000000">
            <w:r>
              <w:rPr>
                <w:sz w:val="16"/>
              </w:rPr>
              <w:t>14.2%</w:t>
            </w:r>
          </w:p>
        </w:tc>
        <w:tc>
          <w:tcPr>
            <w:tcW w:w="1481" w:type="dxa"/>
          </w:tcPr>
          <w:p w14:paraId="2F756F24" w14:textId="77777777" w:rsidR="00272E29" w:rsidRDefault="00000000">
            <w:r>
              <w:rPr>
                <w:sz w:val="16"/>
              </w:rPr>
              <w:t>17.2%</w:t>
            </w:r>
          </w:p>
        </w:tc>
        <w:tc>
          <w:tcPr>
            <w:tcW w:w="1481" w:type="dxa"/>
          </w:tcPr>
          <w:p w14:paraId="47357226" w14:textId="77777777" w:rsidR="00272E29" w:rsidRDefault="00000000">
            <w:r>
              <w:rPr>
                <w:sz w:val="16"/>
              </w:rPr>
              <w:t>4.1%</w:t>
            </w:r>
          </w:p>
        </w:tc>
        <w:tc>
          <w:tcPr>
            <w:tcW w:w="1481" w:type="dxa"/>
          </w:tcPr>
          <w:p w14:paraId="6868ECE0" w14:textId="77777777" w:rsidR="00272E29" w:rsidRDefault="00000000">
            <w:r>
              <w:rPr>
                <w:sz w:val="16"/>
              </w:rPr>
              <w:t>+10.1 pp</w:t>
            </w:r>
          </w:p>
        </w:tc>
      </w:tr>
      <w:tr w:rsidR="00272E29" w14:paraId="1E9DAA7E" w14:textId="77777777">
        <w:trPr>
          <w:jc w:val="center"/>
        </w:trPr>
        <w:tc>
          <w:tcPr>
            <w:tcW w:w="1481" w:type="dxa"/>
          </w:tcPr>
          <w:p w14:paraId="6684D737" w14:textId="77777777" w:rsidR="00272E29" w:rsidRDefault="00000000">
            <w:r>
              <w:rPr>
                <w:sz w:val="16"/>
              </w:rPr>
              <w:t>3</w:t>
            </w:r>
          </w:p>
        </w:tc>
        <w:tc>
          <w:tcPr>
            <w:tcW w:w="1481" w:type="dxa"/>
          </w:tcPr>
          <w:p w14:paraId="1141481A" w14:textId="77777777" w:rsidR="00272E29" w:rsidRDefault="00000000">
            <w:r>
              <w:rPr>
                <w:sz w:val="16"/>
              </w:rPr>
              <w:t>Severity</w:t>
            </w:r>
          </w:p>
        </w:tc>
        <w:tc>
          <w:tcPr>
            <w:tcW w:w="1481" w:type="dxa"/>
          </w:tcPr>
          <w:p w14:paraId="1077CF3C" w14:textId="77777777" w:rsidR="00272E29" w:rsidRDefault="00000000">
            <w:r>
              <w:rPr>
                <w:sz w:val="16"/>
              </w:rPr>
              <w:t>7,993</w:t>
            </w:r>
          </w:p>
        </w:tc>
        <w:tc>
          <w:tcPr>
            <w:tcW w:w="1481" w:type="dxa"/>
          </w:tcPr>
          <w:p w14:paraId="5F55F6B4" w14:textId="77777777" w:rsidR="00272E29" w:rsidRDefault="00000000">
            <w:r>
              <w:rPr>
                <w:sz w:val="16"/>
              </w:rPr>
              <w:t>14.2%</w:t>
            </w:r>
          </w:p>
        </w:tc>
        <w:tc>
          <w:tcPr>
            <w:tcW w:w="1481" w:type="dxa"/>
          </w:tcPr>
          <w:p w14:paraId="7FE64349" w14:textId="77777777" w:rsidR="00272E29" w:rsidRDefault="00000000">
            <w:r>
              <w:rPr>
                <w:sz w:val="16"/>
              </w:rPr>
              <w:t>46.7%</w:t>
            </w:r>
          </w:p>
        </w:tc>
        <w:tc>
          <w:tcPr>
            <w:tcW w:w="1481" w:type="dxa"/>
          </w:tcPr>
          <w:p w14:paraId="3FB036F0" w14:textId="77777777" w:rsidR="00272E29" w:rsidRDefault="00000000">
            <w:r>
              <w:rPr>
                <w:sz w:val="16"/>
              </w:rPr>
              <w:t>9.4%</w:t>
            </w:r>
          </w:p>
        </w:tc>
        <w:tc>
          <w:tcPr>
            <w:tcW w:w="1481" w:type="dxa"/>
          </w:tcPr>
          <w:p w14:paraId="663872EC" w14:textId="77777777" w:rsidR="00272E29" w:rsidRDefault="00000000">
            <w:r>
              <w:rPr>
                <w:sz w:val="16"/>
              </w:rPr>
              <w:t>+9.2 pp</w:t>
            </w:r>
          </w:p>
        </w:tc>
      </w:tr>
      <w:tr w:rsidR="00272E29" w14:paraId="026C1330" w14:textId="77777777">
        <w:trPr>
          <w:jc w:val="center"/>
        </w:trPr>
        <w:tc>
          <w:tcPr>
            <w:tcW w:w="1481" w:type="dxa"/>
          </w:tcPr>
          <w:p w14:paraId="21A266B0" w14:textId="77777777" w:rsidR="00272E29" w:rsidRDefault="00000000">
            <w:r>
              <w:rPr>
                <w:sz w:val="16"/>
              </w:rPr>
              <w:t>4</w:t>
            </w:r>
          </w:p>
        </w:tc>
        <w:tc>
          <w:tcPr>
            <w:tcW w:w="1481" w:type="dxa"/>
          </w:tcPr>
          <w:p w14:paraId="6E4A2947" w14:textId="77777777" w:rsidR="00272E29" w:rsidRDefault="00000000">
            <w:r>
              <w:rPr>
                <w:sz w:val="16"/>
              </w:rPr>
              <w:t>Metab</w:t>
            </w:r>
          </w:p>
        </w:tc>
        <w:tc>
          <w:tcPr>
            <w:tcW w:w="1481" w:type="dxa"/>
          </w:tcPr>
          <w:p w14:paraId="2E1E839A" w14:textId="77777777" w:rsidR="00272E29" w:rsidRDefault="00000000">
            <w:r>
              <w:rPr>
                <w:sz w:val="16"/>
              </w:rPr>
              <w:t>7,993</w:t>
            </w:r>
          </w:p>
        </w:tc>
        <w:tc>
          <w:tcPr>
            <w:tcW w:w="1481" w:type="dxa"/>
          </w:tcPr>
          <w:p w14:paraId="63AB79B1" w14:textId="77777777" w:rsidR="00272E29" w:rsidRDefault="00000000">
            <w:r>
              <w:rPr>
                <w:sz w:val="16"/>
              </w:rPr>
              <w:t>14.2%</w:t>
            </w:r>
          </w:p>
        </w:tc>
        <w:tc>
          <w:tcPr>
            <w:tcW w:w="1481" w:type="dxa"/>
          </w:tcPr>
          <w:p w14:paraId="446877D5" w14:textId="77777777" w:rsidR="00272E29" w:rsidRDefault="00000000">
            <w:r>
              <w:rPr>
                <w:sz w:val="16"/>
              </w:rPr>
              <w:t>52.6%</w:t>
            </w:r>
          </w:p>
        </w:tc>
        <w:tc>
          <w:tcPr>
            <w:tcW w:w="1481" w:type="dxa"/>
          </w:tcPr>
          <w:p w14:paraId="76C9FBDE" w14:textId="77777777" w:rsidR="00272E29" w:rsidRDefault="00000000">
            <w:r>
              <w:rPr>
                <w:sz w:val="16"/>
              </w:rPr>
              <w:t>10.7%</w:t>
            </w:r>
          </w:p>
        </w:tc>
        <w:tc>
          <w:tcPr>
            <w:tcW w:w="1481" w:type="dxa"/>
          </w:tcPr>
          <w:p w14:paraId="3DD07D84" w14:textId="77777777" w:rsidR="00272E29" w:rsidRDefault="00000000">
            <w:r>
              <w:rPr>
                <w:sz w:val="16"/>
              </w:rPr>
              <w:t>+8.7 pp</w:t>
            </w:r>
          </w:p>
        </w:tc>
      </w:tr>
      <w:tr w:rsidR="00272E29" w14:paraId="2269829A" w14:textId="77777777">
        <w:trPr>
          <w:jc w:val="center"/>
        </w:trPr>
        <w:tc>
          <w:tcPr>
            <w:tcW w:w="1481" w:type="dxa"/>
          </w:tcPr>
          <w:p w14:paraId="0728D0F0" w14:textId="77777777" w:rsidR="00272E29" w:rsidRDefault="00000000">
            <w:r>
              <w:rPr>
                <w:sz w:val="16"/>
              </w:rPr>
              <w:t>5</w:t>
            </w:r>
          </w:p>
        </w:tc>
        <w:tc>
          <w:tcPr>
            <w:tcW w:w="1481" w:type="dxa"/>
          </w:tcPr>
          <w:p w14:paraId="43E43904" w14:textId="77777777" w:rsidR="00272E29" w:rsidRDefault="00000000">
            <w:r>
              <w:rPr>
                <w:sz w:val="16"/>
              </w:rPr>
              <w:t>Inflam</w:t>
            </w:r>
          </w:p>
        </w:tc>
        <w:tc>
          <w:tcPr>
            <w:tcW w:w="1481" w:type="dxa"/>
          </w:tcPr>
          <w:p w14:paraId="256C3745" w14:textId="77777777" w:rsidR="00272E29" w:rsidRDefault="00000000">
            <w:r>
              <w:rPr>
                <w:sz w:val="16"/>
              </w:rPr>
              <w:t>7,993</w:t>
            </w:r>
          </w:p>
        </w:tc>
        <w:tc>
          <w:tcPr>
            <w:tcW w:w="1481" w:type="dxa"/>
          </w:tcPr>
          <w:p w14:paraId="4391210A" w14:textId="77777777" w:rsidR="00272E29" w:rsidRDefault="00000000">
            <w:r>
              <w:rPr>
                <w:sz w:val="16"/>
              </w:rPr>
              <w:t>14.2%</w:t>
            </w:r>
          </w:p>
        </w:tc>
        <w:tc>
          <w:tcPr>
            <w:tcW w:w="1481" w:type="dxa"/>
          </w:tcPr>
          <w:p w14:paraId="31AD67B5" w14:textId="77777777" w:rsidR="00272E29" w:rsidRDefault="00000000">
            <w:r>
              <w:rPr>
                <w:sz w:val="16"/>
              </w:rPr>
              <w:t>65.6%</w:t>
            </w:r>
          </w:p>
        </w:tc>
        <w:tc>
          <w:tcPr>
            <w:tcW w:w="1481" w:type="dxa"/>
          </w:tcPr>
          <w:p w14:paraId="647053E2" w14:textId="77777777" w:rsidR="00272E29" w:rsidRDefault="00000000">
            <w:r>
              <w:rPr>
                <w:sz w:val="16"/>
              </w:rPr>
              <w:t>11.9%</w:t>
            </w:r>
          </w:p>
        </w:tc>
        <w:tc>
          <w:tcPr>
            <w:tcW w:w="1481" w:type="dxa"/>
          </w:tcPr>
          <w:p w14:paraId="444EE9BB" w14:textId="77777777" w:rsidR="00272E29" w:rsidRDefault="00000000">
            <w:r>
              <w:rPr>
                <w:sz w:val="16"/>
              </w:rPr>
              <w:t>+5.7 pp</w:t>
            </w:r>
          </w:p>
        </w:tc>
      </w:tr>
      <w:tr w:rsidR="00272E29" w14:paraId="6904B6B3" w14:textId="77777777">
        <w:trPr>
          <w:jc w:val="center"/>
        </w:trPr>
        <w:tc>
          <w:tcPr>
            <w:tcW w:w="1481" w:type="dxa"/>
          </w:tcPr>
          <w:p w14:paraId="44C4155A" w14:textId="77777777" w:rsidR="00272E29" w:rsidRDefault="00000000">
            <w:r>
              <w:rPr>
                <w:sz w:val="16"/>
              </w:rPr>
              <w:t>6</w:t>
            </w:r>
          </w:p>
        </w:tc>
        <w:tc>
          <w:tcPr>
            <w:tcW w:w="1481" w:type="dxa"/>
          </w:tcPr>
          <w:p w14:paraId="3173FB82" w14:textId="77777777" w:rsidR="00272E29" w:rsidRDefault="00000000">
            <w:r>
              <w:rPr>
                <w:sz w:val="16"/>
              </w:rPr>
              <w:t>NeuroFail</w:t>
            </w:r>
          </w:p>
        </w:tc>
        <w:tc>
          <w:tcPr>
            <w:tcW w:w="1481" w:type="dxa"/>
          </w:tcPr>
          <w:p w14:paraId="49846D96" w14:textId="77777777" w:rsidR="00272E29" w:rsidRDefault="00000000">
            <w:r>
              <w:rPr>
                <w:sz w:val="16"/>
              </w:rPr>
              <w:t>7,993</w:t>
            </w:r>
          </w:p>
        </w:tc>
        <w:tc>
          <w:tcPr>
            <w:tcW w:w="1481" w:type="dxa"/>
          </w:tcPr>
          <w:p w14:paraId="786CF8A4" w14:textId="77777777" w:rsidR="00272E29" w:rsidRDefault="00000000">
            <w:r>
              <w:rPr>
                <w:sz w:val="16"/>
              </w:rPr>
              <w:t>14.2%</w:t>
            </w:r>
          </w:p>
        </w:tc>
        <w:tc>
          <w:tcPr>
            <w:tcW w:w="1481" w:type="dxa"/>
          </w:tcPr>
          <w:p w14:paraId="078BB407" w14:textId="77777777" w:rsidR="00272E29" w:rsidRDefault="00000000">
            <w:r>
              <w:rPr>
                <w:sz w:val="16"/>
              </w:rPr>
              <w:t>64.7%</w:t>
            </w:r>
          </w:p>
        </w:tc>
        <w:tc>
          <w:tcPr>
            <w:tcW w:w="1481" w:type="dxa"/>
          </w:tcPr>
          <w:p w14:paraId="15861B2E" w14:textId="77777777" w:rsidR="00272E29" w:rsidRDefault="00000000">
            <w:r>
              <w:rPr>
                <w:sz w:val="16"/>
              </w:rPr>
              <w:t>11.0%</w:t>
            </w:r>
          </w:p>
        </w:tc>
        <w:tc>
          <w:tcPr>
            <w:tcW w:w="1481" w:type="dxa"/>
          </w:tcPr>
          <w:p w14:paraId="54CD74BF" w14:textId="77777777" w:rsidR="00272E29" w:rsidRDefault="00000000">
            <w:r>
              <w:rPr>
                <w:sz w:val="16"/>
              </w:rPr>
              <w:t>+4.5 pp</w:t>
            </w:r>
          </w:p>
        </w:tc>
      </w:tr>
      <w:tr w:rsidR="00272E29" w14:paraId="318C0C12" w14:textId="77777777">
        <w:trPr>
          <w:jc w:val="center"/>
        </w:trPr>
        <w:tc>
          <w:tcPr>
            <w:tcW w:w="1481" w:type="dxa"/>
          </w:tcPr>
          <w:p w14:paraId="74E1DFC5" w14:textId="77777777" w:rsidR="00272E29" w:rsidRDefault="00000000">
            <w:r>
              <w:rPr>
                <w:sz w:val="16"/>
              </w:rPr>
              <w:t>7</w:t>
            </w:r>
          </w:p>
        </w:tc>
        <w:tc>
          <w:tcPr>
            <w:tcW w:w="1481" w:type="dxa"/>
          </w:tcPr>
          <w:p w14:paraId="1852743E" w14:textId="77777777" w:rsidR="00272E29" w:rsidRDefault="00000000">
            <w:r>
              <w:rPr>
                <w:sz w:val="16"/>
              </w:rPr>
              <w:t>RespFail</w:t>
            </w:r>
          </w:p>
        </w:tc>
        <w:tc>
          <w:tcPr>
            <w:tcW w:w="1481" w:type="dxa"/>
          </w:tcPr>
          <w:p w14:paraId="2E4222C0" w14:textId="77777777" w:rsidR="00272E29" w:rsidRDefault="00000000">
            <w:r>
              <w:rPr>
                <w:sz w:val="16"/>
              </w:rPr>
              <w:t>7,993</w:t>
            </w:r>
          </w:p>
        </w:tc>
        <w:tc>
          <w:tcPr>
            <w:tcW w:w="1481" w:type="dxa"/>
          </w:tcPr>
          <w:p w14:paraId="3A3BEA61" w14:textId="77777777" w:rsidR="00272E29" w:rsidRDefault="00000000">
            <w:r>
              <w:rPr>
                <w:sz w:val="16"/>
              </w:rPr>
              <w:t>14.2%</w:t>
            </w:r>
          </w:p>
        </w:tc>
        <w:tc>
          <w:tcPr>
            <w:tcW w:w="1481" w:type="dxa"/>
          </w:tcPr>
          <w:p w14:paraId="279B61C8" w14:textId="77777777" w:rsidR="00272E29" w:rsidRDefault="00000000">
            <w:r>
              <w:rPr>
                <w:sz w:val="16"/>
              </w:rPr>
              <w:t>65.3%</w:t>
            </w:r>
          </w:p>
        </w:tc>
        <w:tc>
          <w:tcPr>
            <w:tcW w:w="1481" w:type="dxa"/>
          </w:tcPr>
          <w:p w14:paraId="0F0307A2" w14:textId="77777777" w:rsidR="00272E29" w:rsidRDefault="00000000">
            <w:r>
              <w:rPr>
                <w:sz w:val="16"/>
              </w:rPr>
              <w:t>11.0%</w:t>
            </w:r>
          </w:p>
        </w:tc>
        <w:tc>
          <w:tcPr>
            <w:tcW w:w="1481" w:type="dxa"/>
          </w:tcPr>
          <w:p w14:paraId="02487A64" w14:textId="77777777" w:rsidR="00272E29" w:rsidRDefault="00000000">
            <w:r>
              <w:rPr>
                <w:sz w:val="16"/>
              </w:rPr>
              <w:t>+4.4 pp</w:t>
            </w:r>
          </w:p>
        </w:tc>
      </w:tr>
      <w:tr w:rsidR="00272E29" w14:paraId="6ED520B3" w14:textId="77777777">
        <w:trPr>
          <w:jc w:val="center"/>
        </w:trPr>
        <w:tc>
          <w:tcPr>
            <w:tcW w:w="1481" w:type="dxa"/>
          </w:tcPr>
          <w:p w14:paraId="64B7DBCA" w14:textId="77777777" w:rsidR="00272E29" w:rsidRDefault="00000000">
            <w:r>
              <w:rPr>
                <w:sz w:val="16"/>
              </w:rPr>
              <w:t>8</w:t>
            </w:r>
          </w:p>
        </w:tc>
        <w:tc>
          <w:tcPr>
            <w:tcW w:w="1481" w:type="dxa"/>
          </w:tcPr>
          <w:p w14:paraId="7C77CFA3" w14:textId="77777777" w:rsidR="00272E29" w:rsidRDefault="00000000">
            <w:r>
              <w:rPr>
                <w:sz w:val="16"/>
              </w:rPr>
              <w:t>Shock</w:t>
            </w:r>
          </w:p>
        </w:tc>
        <w:tc>
          <w:tcPr>
            <w:tcW w:w="1481" w:type="dxa"/>
          </w:tcPr>
          <w:p w14:paraId="1B6598B4" w14:textId="77777777" w:rsidR="00272E29" w:rsidRDefault="00000000">
            <w:r>
              <w:rPr>
                <w:sz w:val="16"/>
              </w:rPr>
              <w:t>7,993</w:t>
            </w:r>
          </w:p>
        </w:tc>
        <w:tc>
          <w:tcPr>
            <w:tcW w:w="1481" w:type="dxa"/>
          </w:tcPr>
          <w:p w14:paraId="239FE7DE" w14:textId="77777777" w:rsidR="00272E29" w:rsidRDefault="00000000">
            <w:r>
              <w:rPr>
                <w:sz w:val="16"/>
              </w:rPr>
              <w:t>14.2%</w:t>
            </w:r>
          </w:p>
        </w:tc>
        <w:tc>
          <w:tcPr>
            <w:tcW w:w="1481" w:type="dxa"/>
          </w:tcPr>
          <w:p w14:paraId="488EE526" w14:textId="77777777" w:rsidR="00272E29" w:rsidRDefault="00000000">
            <w:r>
              <w:rPr>
                <w:sz w:val="16"/>
              </w:rPr>
              <w:t>63.4%</w:t>
            </w:r>
          </w:p>
        </w:tc>
        <w:tc>
          <w:tcPr>
            <w:tcW w:w="1481" w:type="dxa"/>
          </w:tcPr>
          <w:p w14:paraId="2CF9B0CE" w14:textId="77777777" w:rsidR="00272E29" w:rsidRDefault="00000000">
            <w:r>
              <w:rPr>
                <w:sz w:val="16"/>
              </w:rPr>
              <w:t>10.6%</w:t>
            </w:r>
          </w:p>
        </w:tc>
        <w:tc>
          <w:tcPr>
            <w:tcW w:w="1481" w:type="dxa"/>
          </w:tcPr>
          <w:p w14:paraId="0200AC0D" w14:textId="77777777" w:rsidR="00272E29" w:rsidRDefault="00000000">
            <w:r>
              <w:rPr>
                <w:sz w:val="16"/>
              </w:rPr>
              <w:t>-0.6 pp</w:t>
            </w:r>
          </w:p>
        </w:tc>
      </w:tr>
      <w:tr w:rsidR="00272E29" w14:paraId="7077E0DB" w14:textId="77777777">
        <w:trPr>
          <w:jc w:val="center"/>
        </w:trPr>
        <w:tc>
          <w:tcPr>
            <w:tcW w:w="1481" w:type="dxa"/>
          </w:tcPr>
          <w:p w14:paraId="015452CB" w14:textId="77777777" w:rsidR="00272E29" w:rsidRDefault="00000000">
            <w:r>
              <w:rPr>
                <w:sz w:val="16"/>
              </w:rPr>
              <w:t>9</w:t>
            </w:r>
          </w:p>
        </w:tc>
        <w:tc>
          <w:tcPr>
            <w:tcW w:w="1481" w:type="dxa"/>
          </w:tcPr>
          <w:p w14:paraId="1AF8DF2F" w14:textId="77777777" w:rsidR="00272E29" w:rsidRDefault="00000000">
            <w:r>
              <w:rPr>
                <w:sz w:val="16"/>
              </w:rPr>
              <w:t>HemeFail</w:t>
            </w:r>
          </w:p>
        </w:tc>
        <w:tc>
          <w:tcPr>
            <w:tcW w:w="1481" w:type="dxa"/>
          </w:tcPr>
          <w:p w14:paraId="5896D2B5" w14:textId="77777777" w:rsidR="00272E29" w:rsidRDefault="00000000">
            <w:r>
              <w:rPr>
                <w:sz w:val="16"/>
              </w:rPr>
              <w:t>7,993</w:t>
            </w:r>
          </w:p>
        </w:tc>
        <w:tc>
          <w:tcPr>
            <w:tcW w:w="1481" w:type="dxa"/>
          </w:tcPr>
          <w:p w14:paraId="2D1E5DC8" w14:textId="77777777" w:rsidR="00272E29" w:rsidRDefault="00000000">
            <w:r>
              <w:rPr>
                <w:sz w:val="16"/>
              </w:rPr>
              <w:t>14.2%</w:t>
            </w:r>
          </w:p>
        </w:tc>
        <w:tc>
          <w:tcPr>
            <w:tcW w:w="1481" w:type="dxa"/>
          </w:tcPr>
          <w:p w14:paraId="010092BC" w14:textId="77777777" w:rsidR="00272E29" w:rsidRDefault="00000000">
            <w:r>
              <w:rPr>
                <w:sz w:val="16"/>
              </w:rPr>
              <w:t>64.3%</w:t>
            </w:r>
          </w:p>
        </w:tc>
        <w:tc>
          <w:tcPr>
            <w:tcW w:w="1481" w:type="dxa"/>
          </w:tcPr>
          <w:p w14:paraId="0E09D7F1" w14:textId="77777777" w:rsidR="00272E29" w:rsidRDefault="00000000">
            <w:r>
              <w:rPr>
                <w:sz w:val="16"/>
              </w:rPr>
              <w:t>9.5%</w:t>
            </w:r>
          </w:p>
        </w:tc>
        <w:tc>
          <w:tcPr>
            <w:tcW w:w="1481" w:type="dxa"/>
          </w:tcPr>
          <w:p w14:paraId="2AAE0162" w14:textId="77777777" w:rsidR="00272E29" w:rsidRDefault="00000000">
            <w:r>
              <w:rPr>
                <w:sz w:val="16"/>
              </w:rPr>
              <w:t>-1.8 pp</w:t>
            </w:r>
          </w:p>
        </w:tc>
      </w:tr>
    </w:tbl>
    <w:p w14:paraId="41FA285C" w14:textId="77777777" w:rsidR="00272E29" w:rsidRDefault="00272E29">
      <w:pPr>
        <w:spacing w:after="80" w:line="252" w:lineRule="auto"/>
      </w:pPr>
    </w:p>
    <w:p w14:paraId="34EB17C8" w14:textId="77777777" w:rsidR="00272E29" w:rsidRDefault="00000000">
      <w:pPr>
        <w:pStyle w:val="21"/>
        <w:spacing w:after="80" w:line="252" w:lineRule="auto"/>
      </w:pPr>
      <w:r>
        <w:t>MIMIC</w:t>
      </w:r>
    </w:p>
    <w:tbl>
      <w:tblPr>
        <w:tblStyle w:val="aff2"/>
        <w:tblW w:w="0" w:type="auto"/>
        <w:jc w:val="center"/>
        <w:tblLook w:val="04A0" w:firstRow="1" w:lastRow="0" w:firstColumn="1" w:lastColumn="0" w:noHBand="0" w:noVBand="1"/>
      </w:tblPr>
      <w:tblGrid>
        <w:gridCol w:w="1445"/>
        <w:gridCol w:w="1871"/>
        <w:gridCol w:w="1449"/>
        <w:gridCol w:w="1457"/>
        <w:gridCol w:w="1460"/>
        <w:gridCol w:w="1456"/>
        <w:gridCol w:w="1446"/>
      </w:tblGrid>
      <w:tr w:rsidR="00272E29" w14:paraId="0B65FE00" w14:textId="77777777">
        <w:trPr>
          <w:jc w:val="center"/>
        </w:trPr>
        <w:tc>
          <w:tcPr>
            <w:tcW w:w="1481" w:type="dxa"/>
            <w:shd w:val="clear" w:color="auto" w:fill="D9EAF7"/>
          </w:tcPr>
          <w:p w14:paraId="39FC1CA3" w14:textId="77777777" w:rsidR="00272E29" w:rsidRDefault="00000000">
            <w:r>
              <w:rPr>
                <w:b/>
                <w:sz w:val="16"/>
              </w:rPr>
              <w:t>Rank</w:t>
            </w:r>
          </w:p>
        </w:tc>
        <w:tc>
          <w:tcPr>
            <w:tcW w:w="1481" w:type="dxa"/>
            <w:shd w:val="clear" w:color="auto" w:fill="D9EAF7"/>
          </w:tcPr>
          <w:p w14:paraId="17E36FE9" w14:textId="77777777" w:rsidR="00272E29" w:rsidRDefault="00000000">
            <w:r>
              <w:rPr>
                <w:b/>
                <w:sz w:val="16"/>
              </w:rPr>
              <w:t>Latent/exposure</w:t>
            </w:r>
          </w:p>
        </w:tc>
        <w:tc>
          <w:tcPr>
            <w:tcW w:w="1481" w:type="dxa"/>
            <w:shd w:val="clear" w:color="auto" w:fill="D9EAF7"/>
          </w:tcPr>
          <w:p w14:paraId="0B48F731" w14:textId="77777777" w:rsidR="00272E29" w:rsidRDefault="00000000">
            <w:r>
              <w:rPr>
                <w:b/>
                <w:sz w:val="16"/>
              </w:rPr>
              <w:t>n</w:t>
            </w:r>
          </w:p>
        </w:tc>
        <w:tc>
          <w:tcPr>
            <w:tcW w:w="1481" w:type="dxa"/>
            <w:shd w:val="clear" w:color="auto" w:fill="D9EAF7"/>
          </w:tcPr>
          <w:p w14:paraId="093FD976" w14:textId="77777777" w:rsidR="00272E29" w:rsidRDefault="00000000">
            <w:r>
              <w:rPr>
                <w:b/>
                <w:sz w:val="16"/>
              </w:rPr>
              <w:t>Outcome rate</w:t>
            </w:r>
          </w:p>
        </w:tc>
        <w:tc>
          <w:tcPr>
            <w:tcW w:w="1481" w:type="dxa"/>
            <w:shd w:val="clear" w:color="auto" w:fill="D9EAF7"/>
          </w:tcPr>
          <w:p w14:paraId="7186425B" w14:textId="77777777" w:rsidR="00272E29" w:rsidRDefault="00000000">
            <w:r>
              <w:rPr>
                <w:b/>
                <w:sz w:val="16"/>
              </w:rPr>
              <w:t>Treatment rate</w:t>
            </w:r>
          </w:p>
        </w:tc>
        <w:tc>
          <w:tcPr>
            <w:tcW w:w="1481" w:type="dxa"/>
            <w:shd w:val="clear" w:color="auto" w:fill="D9EAF7"/>
          </w:tcPr>
          <w:p w14:paraId="46AC89A1" w14:textId="77777777" w:rsidR="00272E29" w:rsidRDefault="00000000">
            <w:r>
              <w:rPr>
                <w:b/>
                <w:sz w:val="16"/>
              </w:rPr>
              <w:t>Treated outcome positive</w:t>
            </w:r>
          </w:p>
        </w:tc>
        <w:tc>
          <w:tcPr>
            <w:tcW w:w="1481" w:type="dxa"/>
            <w:shd w:val="clear" w:color="auto" w:fill="D9EAF7"/>
          </w:tcPr>
          <w:p w14:paraId="6428C6F8" w14:textId="77777777" w:rsidR="00272E29" w:rsidRDefault="00000000">
            <w:r>
              <w:rPr>
                <w:b/>
                <w:sz w:val="16"/>
              </w:rPr>
              <w:t>Mean CATE</w:t>
            </w:r>
          </w:p>
        </w:tc>
      </w:tr>
      <w:tr w:rsidR="00272E29" w14:paraId="7CD2D8EC" w14:textId="77777777">
        <w:trPr>
          <w:jc w:val="center"/>
        </w:trPr>
        <w:tc>
          <w:tcPr>
            <w:tcW w:w="1481" w:type="dxa"/>
          </w:tcPr>
          <w:p w14:paraId="62CDFAAC" w14:textId="77777777" w:rsidR="00272E29" w:rsidRDefault="00000000">
            <w:r>
              <w:rPr>
                <w:sz w:val="16"/>
              </w:rPr>
              <w:t>1</w:t>
            </w:r>
          </w:p>
        </w:tc>
        <w:tc>
          <w:tcPr>
            <w:tcW w:w="1481" w:type="dxa"/>
          </w:tcPr>
          <w:p w14:paraId="13168CED" w14:textId="77777777" w:rsidR="00272E29" w:rsidRDefault="00000000">
            <w:r>
              <w:rPr>
                <w:sz w:val="16"/>
              </w:rPr>
              <w:t>HepaticDysfunction</w:t>
            </w:r>
          </w:p>
        </w:tc>
        <w:tc>
          <w:tcPr>
            <w:tcW w:w="1481" w:type="dxa"/>
          </w:tcPr>
          <w:p w14:paraId="63291DE9" w14:textId="77777777" w:rsidR="00272E29" w:rsidRDefault="00000000">
            <w:r>
              <w:rPr>
                <w:sz w:val="16"/>
              </w:rPr>
              <w:t>26,845</w:t>
            </w:r>
          </w:p>
        </w:tc>
        <w:tc>
          <w:tcPr>
            <w:tcW w:w="1481" w:type="dxa"/>
          </w:tcPr>
          <w:p w14:paraId="3B6D6E3A" w14:textId="77777777" w:rsidR="00272E29" w:rsidRDefault="00000000">
            <w:r>
              <w:rPr>
                <w:sz w:val="16"/>
              </w:rPr>
              <w:t>12.1%</w:t>
            </w:r>
          </w:p>
        </w:tc>
        <w:tc>
          <w:tcPr>
            <w:tcW w:w="1481" w:type="dxa"/>
          </w:tcPr>
          <w:p w14:paraId="702A8733" w14:textId="77777777" w:rsidR="00272E29" w:rsidRDefault="00000000">
            <w:r>
              <w:rPr>
                <w:sz w:val="16"/>
              </w:rPr>
              <w:t>10.0%</w:t>
            </w:r>
          </w:p>
        </w:tc>
        <w:tc>
          <w:tcPr>
            <w:tcW w:w="1481" w:type="dxa"/>
          </w:tcPr>
          <w:p w14:paraId="2A91B174" w14:textId="77777777" w:rsidR="00272E29" w:rsidRDefault="00000000">
            <w:r>
              <w:rPr>
                <w:sz w:val="16"/>
              </w:rPr>
              <w:t>3.1%</w:t>
            </w:r>
          </w:p>
        </w:tc>
        <w:tc>
          <w:tcPr>
            <w:tcW w:w="1481" w:type="dxa"/>
          </w:tcPr>
          <w:p w14:paraId="325187C8" w14:textId="77777777" w:rsidR="00272E29" w:rsidRDefault="00000000">
            <w:r>
              <w:rPr>
                <w:sz w:val="16"/>
              </w:rPr>
              <w:t>+15.5 pp</w:t>
            </w:r>
          </w:p>
        </w:tc>
      </w:tr>
      <w:tr w:rsidR="00272E29" w14:paraId="68A437C8" w14:textId="77777777">
        <w:trPr>
          <w:jc w:val="center"/>
        </w:trPr>
        <w:tc>
          <w:tcPr>
            <w:tcW w:w="1481" w:type="dxa"/>
          </w:tcPr>
          <w:p w14:paraId="3FD8CAB3" w14:textId="77777777" w:rsidR="00272E29" w:rsidRDefault="00000000">
            <w:r>
              <w:rPr>
                <w:sz w:val="16"/>
              </w:rPr>
              <w:t>2</w:t>
            </w:r>
          </w:p>
        </w:tc>
        <w:tc>
          <w:tcPr>
            <w:tcW w:w="1481" w:type="dxa"/>
          </w:tcPr>
          <w:p w14:paraId="7AE4FD54" w14:textId="77777777" w:rsidR="00272E29" w:rsidRDefault="00000000">
            <w:r>
              <w:rPr>
                <w:sz w:val="16"/>
              </w:rPr>
              <w:t>Severity</w:t>
            </w:r>
          </w:p>
        </w:tc>
        <w:tc>
          <w:tcPr>
            <w:tcW w:w="1481" w:type="dxa"/>
          </w:tcPr>
          <w:p w14:paraId="3DD78A95" w14:textId="77777777" w:rsidR="00272E29" w:rsidRDefault="00000000">
            <w:r>
              <w:rPr>
                <w:sz w:val="16"/>
              </w:rPr>
              <w:t>26,845</w:t>
            </w:r>
          </w:p>
        </w:tc>
        <w:tc>
          <w:tcPr>
            <w:tcW w:w="1481" w:type="dxa"/>
          </w:tcPr>
          <w:p w14:paraId="10EC54C4" w14:textId="77777777" w:rsidR="00272E29" w:rsidRDefault="00000000">
            <w:r>
              <w:rPr>
                <w:sz w:val="16"/>
              </w:rPr>
              <w:t>12.1%</w:t>
            </w:r>
          </w:p>
        </w:tc>
        <w:tc>
          <w:tcPr>
            <w:tcW w:w="1481" w:type="dxa"/>
          </w:tcPr>
          <w:p w14:paraId="557CA67D" w14:textId="77777777" w:rsidR="00272E29" w:rsidRDefault="00000000">
            <w:r>
              <w:rPr>
                <w:sz w:val="16"/>
              </w:rPr>
              <w:t>63.2%</w:t>
            </w:r>
          </w:p>
        </w:tc>
        <w:tc>
          <w:tcPr>
            <w:tcW w:w="1481" w:type="dxa"/>
          </w:tcPr>
          <w:p w14:paraId="2A0BE799" w14:textId="77777777" w:rsidR="00272E29" w:rsidRDefault="00000000">
            <w:r>
              <w:rPr>
                <w:sz w:val="16"/>
              </w:rPr>
              <w:t>10.4%</w:t>
            </w:r>
          </w:p>
        </w:tc>
        <w:tc>
          <w:tcPr>
            <w:tcW w:w="1481" w:type="dxa"/>
          </w:tcPr>
          <w:p w14:paraId="25C0986C" w14:textId="77777777" w:rsidR="00272E29" w:rsidRDefault="00000000">
            <w:r>
              <w:rPr>
                <w:sz w:val="16"/>
              </w:rPr>
              <w:t>+10.0 pp</w:t>
            </w:r>
          </w:p>
        </w:tc>
      </w:tr>
      <w:tr w:rsidR="00272E29" w14:paraId="3C41AD5A" w14:textId="77777777">
        <w:trPr>
          <w:jc w:val="center"/>
        </w:trPr>
        <w:tc>
          <w:tcPr>
            <w:tcW w:w="1481" w:type="dxa"/>
          </w:tcPr>
          <w:p w14:paraId="7EFCD79B" w14:textId="77777777" w:rsidR="00272E29" w:rsidRDefault="00000000">
            <w:r>
              <w:rPr>
                <w:sz w:val="16"/>
              </w:rPr>
              <w:t>3</w:t>
            </w:r>
          </w:p>
        </w:tc>
        <w:tc>
          <w:tcPr>
            <w:tcW w:w="1481" w:type="dxa"/>
          </w:tcPr>
          <w:p w14:paraId="44E86159" w14:textId="77777777" w:rsidR="00272E29" w:rsidRDefault="00000000">
            <w:r>
              <w:rPr>
                <w:sz w:val="16"/>
              </w:rPr>
              <w:t>Inflammation</w:t>
            </w:r>
          </w:p>
        </w:tc>
        <w:tc>
          <w:tcPr>
            <w:tcW w:w="1481" w:type="dxa"/>
          </w:tcPr>
          <w:p w14:paraId="21EB7FE8" w14:textId="77777777" w:rsidR="00272E29" w:rsidRDefault="00000000">
            <w:r>
              <w:rPr>
                <w:sz w:val="16"/>
              </w:rPr>
              <w:t>26,845</w:t>
            </w:r>
          </w:p>
        </w:tc>
        <w:tc>
          <w:tcPr>
            <w:tcW w:w="1481" w:type="dxa"/>
          </w:tcPr>
          <w:p w14:paraId="6296A253" w14:textId="77777777" w:rsidR="00272E29" w:rsidRDefault="00000000">
            <w:r>
              <w:rPr>
                <w:sz w:val="16"/>
              </w:rPr>
              <w:t>12.1%</w:t>
            </w:r>
          </w:p>
        </w:tc>
        <w:tc>
          <w:tcPr>
            <w:tcW w:w="1481" w:type="dxa"/>
          </w:tcPr>
          <w:p w14:paraId="47DE2916" w14:textId="77777777" w:rsidR="00272E29" w:rsidRDefault="00000000">
            <w:r>
              <w:rPr>
                <w:sz w:val="16"/>
              </w:rPr>
              <w:t>76.8%</w:t>
            </w:r>
          </w:p>
        </w:tc>
        <w:tc>
          <w:tcPr>
            <w:tcW w:w="1481" w:type="dxa"/>
          </w:tcPr>
          <w:p w14:paraId="30DB1027" w14:textId="77777777" w:rsidR="00272E29" w:rsidRDefault="00000000">
            <w:r>
              <w:rPr>
                <w:sz w:val="16"/>
              </w:rPr>
              <w:t>11.4%</w:t>
            </w:r>
          </w:p>
        </w:tc>
        <w:tc>
          <w:tcPr>
            <w:tcW w:w="1481" w:type="dxa"/>
          </w:tcPr>
          <w:p w14:paraId="5F0775DE" w14:textId="77777777" w:rsidR="00272E29" w:rsidRDefault="00000000">
            <w:r>
              <w:rPr>
                <w:sz w:val="16"/>
              </w:rPr>
              <w:t>+6.8 pp</w:t>
            </w:r>
          </w:p>
        </w:tc>
      </w:tr>
      <w:tr w:rsidR="00272E29" w14:paraId="62789AA2" w14:textId="77777777">
        <w:trPr>
          <w:jc w:val="center"/>
        </w:trPr>
        <w:tc>
          <w:tcPr>
            <w:tcW w:w="1481" w:type="dxa"/>
          </w:tcPr>
          <w:p w14:paraId="3EA41828" w14:textId="77777777" w:rsidR="00272E29" w:rsidRDefault="00000000">
            <w:r>
              <w:rPr>
                <w:sz w:val="16"/>
              </w:rPr>
              <w:t>4</w:t>
            </w:r>
          </w:p>
        </w:tc>
        <w:tc>
          <w:tcPr>
            <w:tcW w:w="1481" w:type="dxa"/>
          </w:tcPr>
          <w:p w14:paraId="383F94CB" w14:textId="77777777" w:rsidR="00272E29" w:rsidRDefault="00000000">
            <w:r>
              <w:rPr>
                <w:sz w:val="16"/>
              </w:rPr>
              <w:t>RenalDysfunction</w:t>
            </w:r>
          </w:p>
        </w:tc>
        <w:tc>
          <w:tcPr>
            <w:tcW w:w="1481" w:type="dxa"/>
          </w:tcPr>
          <w:p w14:paraId="7A3BF68D" w14:textId="77777777" w:rsidR="00272E29" w:rsidRDefault="00000000">
            <w:r>
              <w:rPr>
                <w:sz w:val="16"/>
              </w:rPr>
              <w:t>26,845</w:t>
            </w:r>
          </w:p>
        </w:tc>
        <w:tc>
          <w:tcPr>
            <w:tcW w:w="1481" w:type="dxa"/>
          </w:tcPr>
          <w:p w14:paraId="696E7203" w14:textId="77777777" w:rsidR="00272E29" w:rsidRDefault="00000000">
            <w:r>
              <w:rPr>
                <w:sz w:val="16"/>
              </w:rPr>
              <w:t>12.1%</w:t>
            </w:r>
          </w:p>
        </w:tc>
        <w:tc>
          <w:tcPr>
            <w:tcW w:w="1481" w:type="dxa"/>
          </w:tcPr>
          <w:p w14:paraId="4D18C16B" w14:textId="77777777" w:rsidR="00272E29" w:rsidRDefault="00000000">
            <w:r>
              <w:rPr>
                <w:sz w:val="16"/>
              </w:rPr>
              <w:t>62.5%</w:t>
            </w:r>
          </w:p>
        </w:tc>
        <w:tc>
          <w:tcPr>
            <w:tcW w:w="1481" w:type="dxa"/>
          </w:tcPr>
          <w:p w14:paraId="49C10807" w14:textId="77777777" w:rsidR="00272E29" w:rsidRDefault="00000000">
            <w:r>
              <w:rPr>
                <w:sz w:val="16"/>
              </w:rPr>
              <w:t>10.2%</w:t>
            </w:r>
          </w:p>
        </w:tc>
        <w:tc>
          <w:tcPr>
            <w:tcW w:w="1481" w:type="dxa"/>
          </w:tcPr>
          <w:p w14:paraId="0D5DCC70" w14:textId="77777777" w:rsidR="00272E29" w:rsidRDefault="00000000">
            <w:r>
              <w:rPr>
                <w:sz w:val="16"/>
              </w:rPr>
              <w:t>+6.6 pp</w:t>
            </w:r>
          </w:p>
        </w:tc>
      </w:tr>
      <w:tr w:rsidR="00272E29" w14:paraId="2B200710" w14:textId="77777777">
        <w:trPr>
          <w:jc w:val="center"/>
        </w:trPr>
        <w:tc>
          <w:tcPr>
            <w:tcW w:w="1481" w:type="dxa"/>
          </w:tcPr>
          <w:p w14:paraId="47D130A9" w14:textId="77777777" w:rsidR="00272E29" w:rsidRDefault="00000000">
            <w:r>
              <w:rPr>
                <w:sz w:val="16"/>
              </w:rPr>
              <w:t>5</w:t>
            </w:r>
          </w:p>
        </w:tc>
        <w:tc>
          <w:tcPr>
            <w:tcW w:w="1481" w:type="dxa"/>
          </w:tcPr>
          <w:p w14:paraId="3F44AE3E" w14:textId="77777777" w:rsidR="00272E29" w:rsidRDefault="00000000">
            <w:r>
              <w:rPr>
                <w:sz w:val="16"/>
              </w:rPr>
              <w:t>CoagDysfunction</w:t>
            </w:r>
          </w:p>
        </w:tc>
        <w:tc>
          <w:tcPr>
            <w:tcW w:w="1481" w:type="dxa"/>
          </w:tcPr>
          <w:p w14:paraId="48DD5B1D" w14:textId="77777777" w:rsidR="00272E29" w:rsidRDefault="00000000">
            <w:r>
              <w:rPr>
                <w:sz w:val="16"/>
              </w:rPr>
              <w:t>26,845</w:t>
            </w:r>
          </w:p>
        </w:tc>
        <w:tc>
          <w:tcPr>
            <w:tcW w:w="1481" w:type="dxa"/>
          </w:tcPr>
          <w:p w14:paraId="6EFD3229" w14:textId="77777777" w:rsidR="00272E29" w:rsidRDefault="00000000">
            <w:r>
              <w:rPr>
                <w:sz w:val="16"/>
              </w:rPr>
              <w:t>12.1%</w:t>
            </w:r>
          </w:p>
        </w:tc>
        <w:tc>
          <w:tcPr>
            <w:tcW w:w="1481" w:type="dxa"/>
          </w:tcPr>
          <w:p w14:paraId="027A4BCE" w14:textId="77777777" w:rsidR="00272E29" w:rsidRDefault="00000000">
            <w:r>
              <w:rPr>
                <w:sz w:val="16"/>
              </w:rPr>
              <w:t>42.2%</w:t>
            </w:r>
          </w:p>
        </w:tc>
        <w:tc>
          <w:tcPr>
            <w:tcW w:w="1481" w:type="dxa"/>
          </w:tcPr>
          <w:p w14:paraId="28BAC985" w14:textId="77777777" w:rsidR="00272E29" w:rsidRDefault="00000000">
            <w:r>
              <w:rPr>
                <w:sz w:val="16"/>
              </w:rPr>
              <w:t>7.6%</w:t>
            </w:r>
          </w:p>
        </w:tc>
        <w:tc>
          <w:tcPr>
            <w:tcW w:w="1481" w:type="dxa"/>
          </w:tcPr>
          <w:p w14:paraId="20D1C930" w14:textId="77777777" w:rsidR="00272E29" w:rsidRDefault="00000000">
            <w:r>
              <w:rPr>
                <w:sz w:val="16"/>
              </w:rPr>
              <w:t>+6.2 pp</w:t>
            </w:r>
          </w:p>
        </w:tc>
      </w:tr>
      <w:tr w:rsidR="00272E29" w14:paraId="27FD7FF2" w14:textId="77777777">
        <w:trPr>
          <w:jc w:val="center"/>
        </w:trPr>
        <w:tc>
          <w:tcPr>
            <w:tcW w:w="1481" w:type="dxa"/>
          </w:tcPr>
          <w:p w14:paraId="06BBB560" w14:textId="77777777" w:rsidR="00272E29" w:rsidRDefault="00000000">
            <w:r>
              <w:rPr>
                <w:sz w:val="16"/>
              </w:rPr>
              <w:t>6</w:t>
            </w:r>
          </w:p>
        </w:tc>
        <w:tc>
          <w:tcPr>
            <w:tcW w:w="1481" w:type="dxa"/>
          </w:tcPr>
          <w:p w14:paraId="6A29DF11" w14:textId="77777777" w:rsidR="00272E29" w:rsidRDefault="00000000">
            <w:r>
              <w:rPr>
                <w:sz w:val="16"/>
              </w:rPr>
              <w:t>MetabolicDerangement</w:t>
            </w:r>
          </w:p>
        </w:tc>
        <w:tc>
          <w:tcPr>
            <w:tcW w:w="1481" w:type="dxa"/>
          </w:tcPr>
          <w:p w14:paraId="635F7C0B" w14:textId="77777777" w:rsidR="00272E29" w:rsidRDefault="00000000">
            <w:r>
              <w:rPr>
                <w:sz w:val="16"/>
              </w:rPr>
              <w:t>26,845</w:t>
            </w:r>
          </w:p>
        </w:tc>
        <w:tc>
          <w:tcPr>
            <w:tcW w:w="1481" w:type="dxa"/>
          </w:tcPr>
          <w:p w14:paraId="6126AF46" w14:textId="77777777" w:rsidR="00272E29" w:rsidRDefault="00000000">
            <w:r>
              <w:rPr>
                <w:sz w:val="16"/>
              </w:rPr>
              <w:t>12.1%</w:t>
            </w:r>
          </w:p>
        </w:tc>
        <w:tc>
          <w:tcPr>
            <w:tcW w:w="1481" w:type="dxa"/>
          </w:tcPr>
          <w:p w14:paraId="241F053F" w14:textId="77777777" w:rsidR="00272E29" w:rsidRDefault="00000000">
            <w:r>
              <w:rPr>
                <w:sz w:val="16"/>
              </w:rPr>
              <w:t>63.2%</w:t>
            </w:r>
          </w:p>
        </w:tc>
        <w:tc>
          <w:tcPr>
            <w:tcW w:w="1481" w:type="dxa"/>
          </w:tcPr>
          <w:p w14:paraId="5518FC2E" w14:textId="77777777" w:rsidR="00272E29" w:rsidRDefault="00000000">
            <w:r>
              <w:rPr>
                <w:sz w:val="16"/>
              </w:rPr>
              <w:t>10.4%</w:t>
            </w:r>
          </w:p>
        </w:tc>
        <w:tc>
          <w:tcPr>
            <w:tcW w:w="1481" w:type="dxa"/>
          </w:tcPr>
          <w:p w14:paraId="3A8F56B0" w14:textId="77777777" w:rsidR="00272E29" w:rsidRDefault="00000000">
            <w:r>
              <w:rPr>
                <w:sz w:val="16"/>
              </w:rPr>
              <w:t>+6.1 pp</w:t>
            </w:r>
          </w:p>
        </w:tc>
      </w:tr>
      <w:tr w:rsidR="00272E29" w14:paraId="0E3FD88B" w14:textId="77777777">
        <w:trPr>
          <w:jc w:val="center"/>
        </w:trPr>
        <w:tc>
          <w:tcPr>
            <w:tcW w:w="1481" w:type="dxa"/>
          </w:tcPr>
          <w:p w14:paraId="432230DE" w14:textId="77777777" w:rsidR="00272E29" w:rsidRDefault="00000000">
            <w:r>
              <w:rPr>
                <w:sz w:val="16"/>
              </w:rPr>
              <w:t>7</w:t>
            </w:r>
          </w:p>
        </w:tc>
        <w:tc>
          <w:tcPr>
            <w:tcW w:w="1481" w:type="dxa"/>
          </w:tcPr>
          <w:p w14:paraId="11B99935" w14:textId="77777777" w:rsidR="00272E29" w:rsidRDefault="00000000">
            <w:r>
              <w:rPr>
                <w:sz w:val="16"/>
              </w:rPr>
              <w:t>RespFail</w:t>
            </w:r>
          </w:p>
        </w:tc>
        <w:tc>
          <w:tcPr>
            <w:tcW w:w="1481" w:type="dxa"/>
          </w:tcPr>
          <w:p w14:paraId="18373097" w14:textId="77777777" w:rsidR="00272E29" w:rsidRDefault="00000000">
            <w:r>
              <w:rPr>
                <w:sz w:val="16"/>
              </w:rPr>
              <w:t>26,845</w:t>
            </w:r>
          </w:p>
        </w:tc>
        <w:tc>
          <w:tcPr>
            <w:tcW w:w="1481" w:type="dxa"/>
          </w:tcPr>
          <w:p w14:paraId="184FDC63" w14:textId="77777777" w:rsidR="00272E29" w:rsidRDefault="00000000">
            <w:r>
              <w:rPr>
                <w:sz w:val="16"/>
              </w:rPr>
              <w:t>12.1%</w:t>
            </w:r>
          </w:p>
        </w:tc>
        <w:tc>
          <w:tcPr>
            <w:tcW w:w="1481" w:type="dxa"/>
          </w:tcPr>
          <w:p w14:paraId="4AC67909" w14:textId="77777777" w:rsidR="00272E29" w:rsidRDefault="00000000">
            <w:r>
              <w:rPr>
                <w:sz w:val="16"/>
              </w:rPr>
              <w:t>67.3%</w:t>
            </w:r>
          </w:p>
        </w:tc>
        <w:tc>
          <w:tcPr>
            <w:tcW w:w="1481" w:type="dxa"/>
          </w:tcPr>
          <w:p w14:paraId="3B1E3B84" w14:textId="77777777" w:rsidR="00272E29" w:rsidRDefault="00000000">
            <w:r>
              <w:rPr>
                <w:sz w:val="16"/>
              </w:rPr>
              <w:t>10.6%</w:t>
            </w:r>
          </w:p>
        </w:tc>
        <w:tc>
          <w:tcPr>
            <w:tcW w:w="1481" w:type="dxa"/>
          </w:tcPr>
          <w:p w14:paraId="11DE0A5A" w14:textId="77777777" w:rsidR="00272E29" w:rsidRDefault="00000000">
            <w:r>
              <w:rPr>
                <w:sz w:val="16"/>
              </w:rPr>
              <w:t>+5.0 pp</w:t>
            </w:r>
          </w:p>
        </w:tc>
      </w:tr>
      <w:tr w:rsidR="00272E29" w14:paraId="404B163A" w14:textId="77777777">
        <w:trPr>
          <w:jc w:val="center"/>
        </w:trPr>
        <w:tc>
          <w:tcPr>
            <w:tcW w:w="1481" w:type="dxa"/>
          </w:tcPr>
          <w:p w14:paraId="426308AA" w14:textId="77777777" w:rsidR="00272E29" w:rsidRDefault="00000000">
            <w:r>
              <w:rPr>
                <w:sz w:val="16"/>
              </w:rPr>
              <w:t>8</w:t>
            </w:r>
          </w:p>
        </w:tc>
        <w:tc>
          <w:tcPr>
            <w:tcW w:w="1481" w:type="dxa"/>
          </w:tcPr>
          <w:p w14:paraId="6C503620" w14:textId="77777777" w:rsidR="00272E29" w:rsidRDefault="00000000">
            <w:r>
              <w:rPr>
                <w:sz w:val="16"/>
              </w:rPr>
              <w:t>NeuroDysfunction</w:t>
            </w:r>
          </w:p>
        </w:tc>
        <w:tc>
          <w:tcPr>
            <w:tcW w:w="1481" w:type="dxa"/>
          </w:tcPr>
          <w:p w14:paraId="5C3957B1" w14:textId="77777777" w:rsidR="00272E29" w:rsidRDefault="00000000">
            <w:r>
              <w:rPr>
                <w:sz w:val="16"/>
              </w:rPr>
              <w:t>26,845</w:t>
            </w:r>
          </w:p>
        </w:tc>
        <w:tc>
          <w:tcPr>
            <w:tcW w:w="1481" w:type="dxa"/>
          </w:tcPr>
          <w:p w14:paraId="1EE61B10" w14:textId="77777777" w:rsidR="00272E29" w:rsidRDefault="00000000">
            <w:r>
              <w:rPr>
                <w:sz w:val="16"/>
              </w:rPr>
              <w:t>12.1%</w:t>
            </w:r>
          </w:p>
        </w:tc>
        <w:tc>
          <w:tcPr>
            <w:tcW w:w="1481" w:type="dxa"/>
          </w:tcPr>
          <w:p w14:paraId="7CA8EEA7" w14:textId="77777777" w:rsidR="00272E29" w:rsidRDefault="00000000">
            <w:r>
              <w:rPr>
                <w:sz w:val="16"/>
              </w:rPr>
              <w:t>56.2%</w:t>
            </w:r>
          </w:p>
        </w:tc>
        <w:tc>
          <w:tcPr>
            <w:tcW w:w="1481" w:type="dxa"/>
          </w:tcPr>
          <w:p w14:paraId="77D8858F" w14:textId="77777777" w:rsidR="00272E29" w:rsidRDefault="00000000">
            <w:r>
              <w:rPr>
                <w:sz w:val="16"/>
              </w:rPr>
              <w:t>9.5%</w:t>
            </w:r>
          </w:p>
        </w:tc>
        <w:tc>
          <w:tcPr>
            <w:tcW w:w="1481" w:type="dxa"/>
          </w:tcPr>
          <w:p w14:paraId="4888B9C2" w14:textId="77777777" w:rsidR="00272E29" w:rsidRDefault="00000000">
            <w:r>
              <w:rPr>
                <w:sz w:val="16"/>
              </w:rPr>
              <w:t>+4.5 pp</w:t>
            </w:r>
          </w:p>
        </w:tc>
      </w:tr>
      <w:tr w:rsidR="00272E29" w14:paraId="6C680A11" w14:textId="77777777">
        <w:trPr>
          <w:jc w:val="center"/>
        </w:trPr>
        <w:tc>
          <w:tcPr>
            <w:tcW w:w="1481" w:type="dxa"/>
          </w:tcPr>
          <w:p w14:paraId="1BA0853E" w14:textId="77777777" w:rsidR="00272E29" w:rsidRDefault="00000000">
            <w:r>
              <w:rPr>
                <w:sz w:val="16"/>
              </w:rPr>
              <w:lastRenderedPageBreak/>
              <w:t>9</w:t>
            </w:r>
          </w:p>
        </w:tc>
        <w:tc>
          <w:tcPr>
            <w:tcW w:w="1481" w:type="dxa"/>
          </w:tcPr>
          <w:p w14:paraId="78244AA6" w14:textId="77777777" w:rsidR="00272E29" w:rsidRDefault="00000000">
            <w:r>
              <w:rPr>
                <w:sz w:val="16"/>
              </w:rPr>
              <w:t>Shock</w:t>
            </w:r>
          </w:p>
        </w:tc>
        <w:tc>
          <w:tcPr>
            <w:tcW w:w="1481" w:type="dxa"/>
          </w:tcPr>
          <w:p w14:paraId="2350CC2D" w14:textId="77777777" w:rsidR="00272E29" w:rsidRDefault="00000000">
            <w:r>
              <w:rPr>
                <w:sz w:val="16"/>
              </w:rPr>
              <w:t>26,845</w:t>
            </w:r>
          </w:p>
        </w:tc>
        <w:tc>
          <w:tcPr>
            <w:tcW w:w="1481" w:type="dxa"/>
          </w:tcPr>
          <w:p w14:paraId="6DB59637" w14:textId="77777777" w:rsidR="00272E29" w:rsidRDefault="00000000">
            <w:r>
              <w:rPr>
                <w:sz w:val="16"/>
              </w:rPr>
              <w:t>12.1%</w:t>
            </w:r>
          </w:p>
        </w:tc>
        <w:tc>
          <w:tcPr>
            <w:tcW w:w="1481" w:type="dxa"/>
          </w:tcPr>
          <w:p w14:paraId="6A509AD6" w14:textId="77777777" w:rsidR="00272E29" w:rsidRDefault="00000000">
            <w:r>
              <w:rPr>
                <w:sz w:val="16"/>
              </w:rPr>
              <w:t>78.0%</w:t>
            </w:r>
          </w:p>
        </w:tc>
        <w:tc>
          <w:tcPr>
            <w:tcW w:w="1481" w:type="dxa"/>
          </w:tcPr>
          <w:p w14:paraId="31510272" w14:textId="77777777" w:rsidR="00272E29" w:rsidRDefault="00000000">
            <w:r>
              <w:rPr>
                <w:sz w:val="16"/>
              </w:rPr>
              <w:t>11.3%</w:t>
            </w:r>
          </w:p>
        </w:tc>
        <w:tc>
          <w:tcPr>
            <w:tcW w:w="1481" w:type="dxa"/>
          </w:tcPr>
          <w:p w14:paraId="0BD7AF2D" w14:textId="77777777" w:rsidR="00272E29" w:rsidRDefault="00000000">
            <w:r>
              <w:rPr>
                <w:sz w:val="16"/>
              </w:rPr>
              <w:t>+2.2 pp</w:t>
            </w:r>
          </w:p>
        </w:tc>
      </w:tr>
    </w:tbl>
    <w:p w14:paraId="6E571B45" w14:textId="77777777" w:rsidR="00272E29" w:rsidRDefault="00272E29">
      <w:pPr>
        <w:spacing w:after="80" w:line="252" w:lineRule="auto"/>
      </w:pPr>
    </w:p>
    <w:p w14:paraId="1EBE11E4" w14:textId="77777777" w:rsidR="00272E29" w:rsidRDefault="00000000">
      <w:pPr>
        <w:pStyle w:val="1"/>
        <w:spacing w:after="80" w:line="252" w:lineRule="auto"/>
      </w:pPr>
      <w:r>
        <w:t>2. Visual ranking</w:t>
      </w:r>
    </w:p>
    <w:p w14:paraId="7CC119FD" w14:textId="77777777" w:rsidR="00272E29" w:rsidRDefault="00000000">
      <w:pPr>
        <w:spacing w:after="80" w:line="252" w:lineRule="auto"/>
      </w:pPr>
      <w:r>
        <w:t>The charts below show mean_cate as absolute mortality percentage-points. Positive values mean the model estimates higher mortality if the latent/exposure tag is set to 1; negative values mean the model estimates lower mortality.</w:t>
      </w:r>
    </w:p>
    <w:p w14:paraId="170EE7AA" w14:textId="77777777" w:rsidR="00272E29" w:rsidRDefault="00000000">
      <w:pPr>
        <w:spacing w:after="80" w:line="252" w:lineRule="auto"/>
      </w:pPr>
      <w:r>
        <w:rPr>
          <w:b/>
        </w:rPr>
        <w:t>PhysioNet</w:t>
      </w:r>
    </w:p>
    <w:p w14:paraId="31DA15D6" w14:textId="77777777" w:rsidR="00272E29" w:rsidRDefault="00000000">
      <w:pPr>
        <w:spacing w:after="80" w:line="252" w:lineRule="auto"/>
      </w:pPr>
      <w:r>
        <w:rPr>
          <w:noProof/>
        </w:rPr>
        <w:drawing>
          <wp:inline distT="0" distB="0" distL="0" distR="0" wp14:anchorId="388D5778" wp14:editId="21617083">
            <wp:extent cx="6217920" cy="3929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onet_cate_chart.png"/>
                    <pic:cNvPicPr/>
                  </pic:nvPicPr>
                  <pic:blipFill>
                    <a:blip r:embed="rId6"/>
                    <a:stretch>
                      <a:fillRect/>
                    </a:stretch>
                  </pic:blipFill>
                  <pic:spPr>
                    <a:xfrm>
                      <a:off x="0" y="0"/>
                      <a:ext cx="6217920" cy="3929380"/>
                    </a:xfrm>
                    <a:prstGeom prst="rect">
                      <a:avLst/>
                    </a:prstGeom>
                  </pic:spPr>
                </pic:pic>
              </a:graphicData>
            </a:graphic>
          </wp:inline>
        </w:drawing>
      </w:r>
    </w:p>
    <w:p w14:paraId="16848B9C" w14:textId="77777777" w:rsidR="00272E29" w:rsidRDefault="00000000">
      <w:pPr>
        <w:spacing w:after="80" w:line="252" w:lineRule="auto"/>
      </w:pPr>
      <w:r>
        <w:rPr>
          <w:b/>
        </w:rPr>
        <w:t>MIMIC</w:t>
      </w:r>
    </w:p>
    <w:p w14:paraId="75ECA37B" w14:textId="77777777" w:rsidR="00272E29" w:rsidRDefault="00000000">
      <w:pPr>
        <w:spacing w:after="80" w:line="252" w:lineRule="auto"/>
      </w:pPr>
      <w:r>
        <w:rPr>
          <w:noProof/>
        </w:rPr>
        <w:lastRenderedPageBreak/>
        <w:drawing>
          <wp:inline distT="0" distB="0" distL="0" distR="0" wp14:anchorId="322603DE" wp14:editId="776F30EA">
            <wp:extent cx="6217920" cy="39293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mic_cate_chart.png"/>
                    <pic:cNvPicPr/>
                  </pic:nvPicPr>
                  <pic:blipFill>
                    <a:blip r:embed="rId7"/>
                    <a:stretch>
                      <a:fillRect/>
                    </a:stretch>
                  </pic:blipFill>
                  <pic:spPr>
                    <a:xfrm>
                      <a:off x="0" y="0"/>
                      <a:ext cx="6217920" cy="3929380"/>
                    </a:xfrm>
                    <a:prstGeom prst="rect">
                      <a:avLst/>
                    </a:prstGeom>
                  </pic:spPr>
                </pic:pic>
              </a:graphicData>
            </a:graphic>
          </wp:inline>
        </w:drawing>
      </w:r>
    </w:p>
    <w:p w14:paraId="12488E49" w14:textId="77777777" w:rsidR="00272E29" w:rsidRDefault="00000000">
      <w:pPr>
        <w:pStyle w:val="1"/>
        <w:spacing w:after="80" w:line="252" w:lineRule="auto"/>
      </w:pPr>
      <w:r>
        <w:t>3. Evidence hierarchy and source strategy</w:t>
      </w:r>
    </w:p>
    <w:p w14:paraId="04874FE1" w14:textId="77777777" w:rsidR="00272E29" w:rsidRDefault="00000000">
      <w:pPr>
        <w:spacing w:after="80" w:line="252" w:lineRule="auto"/>
      </w:pPr>
      <w:r>
        <w:t>The evidence review prioritized peer-reviewed studies, consensus definitions, and clinical guidelines. Clinician-community and educational sources, including LITFL and EMCrit, were used only as practice-context checks rather than primary evidence; their role is mainly supportive when their interpretation aligns with peer-reviewed literature [12,13].</w:t>
      </w:r>
    </w:p>
    <w:p w14:paraId="5610178B" w14:textId="77777777" w:rsidR="00272E29" w:rsidRDefault="00000000">
      <w:pPr>
        <w:pStyle w:val="a0"/>
        <w:spacing w:after="80" w:line="252" w:lineRule="auto"/>
      </w:pPr>
      <w:r>
        <w:t>Tier 1: Consensus definitions/guidelines: Sepsis-3, SOFA, KDIGO, Berlin ARDS.</w:t>
      </w:r>
    </w:p>
    <w:p w14:paraId="4264212A" w14:textId="77777777" w:rsidR="00272E29" w:rsidRDefault="00000000">
      <w:pPr>
        <w:pStyle w:val="a0"/>
        <w:spacing w:after="80" w:line="252" w:lineRule="auto"/>
      </w:pPr>
      <w:r>
        <w:t>Tier 2: ICU cohort studies and propensity/adjusted analyses for AKI, bilirubin/liver dysfunction, lactate/acidosis, and thrombocytopenia.</w:t>
      </w:r>
    </w:p>
    <w:p w14:paraId="165910CB" w14:textId="77777777" w:rsidR="00272E29" w:rsidRDefault="00000000">
      <w:pPr>
        <w:pStyle w:val="a0"/>
        <w:spacing w:after="80" w:line="252" w:lineRule="auto"/>
      </w:pPr>
      <w:r>
        <w:t>Tier 3: Medical forum/educational sources used only to check whether the interpretation matches bedside critical-care reasoning.</w:t>
      </w:r>
    </w:p>
    <w:p w14:paraId="71E5E8A0" w14:textId="77777777" w:rsidR="00272E29" w:rsidRDefault="00000000">
      <w:pPr>
        <w:pStyle w:val="1"/>
        <w:spacing w:after="80" w:line="252" w:lineRule="auto"/>
      </w:pPr>
      <w:r>
        <w:t>4. Medical evidence validation by high-CATE result</w:t>
      </w:r>
    </w:p>
    <w:tbl>
      <w:tblPr>
        <w:tblStyle w:val="aff2"/>
        <w:tblW w:w="0" w:type="auto"/>
        <w:jc w:val="center"/>
        <w:tblLook w:val="04A0" w:firstRow="1" w:lastRow="0" w:firstColumn="1" w:lastColumn="0" w:noHBand="0" w:noVBand="1"/>
      </w:tblPr>
      <w:tblGrid>
        <w:gridCol w:w="2074"/>
        <w:gridCol w:w="2074"/>
        <w:gridCol w:w="2074"/>
        <w:gridCol w:w="2074"/>
        <w:gridCol w:w="2074"/>
      </w:tblGrid>
      <w:tr w:rsidR="00272E29" w14:paraId="106255F6" w14:textId="77777777">
        <w:trPr>
          <w:jc w:val="center"/>
        </w:trPr>
        <w:tc>
          <w:tcPr>
            <w:tcW w:w="2074" w:type="dxa"/>
            <w:shd w:val="clear" w:color="auto" w:fill="D9EAF7"/>
          </w:tcPr>
          <w:p w14:paraId="1C1A3AC3" w14:textId="77777777" w:rsidR="00272E29" w:rsidRDefault="00000000">
            <w:r>
              <w:rPr>
                <w:b/>
                <w:sz w:val="14"/>
              </w:rPr>
              <w:t>Latent/exposure</w:t>
            </w:r>
          </w:p>
        </w:tc>
        <w:tc>
          <w:tcPr>
            <w:tcW w:w="2074" w:type="dxa"/>
            <w:shd w:val="clear" w:color="auto" w:fill="D9EAF7"/>
          </w:tcPr>
          <w:p w14:paraId="354D0F66" w14:textId="77777777" w:rsidR="00272E29" w:rsidRDefault="00000000">
            <w:r>
              <w:rPr>
                <w:b/>
                <w:sz w:val="14"/>
              </w:rPr>
              <w:t>CSV signal</w:t>
            </w:r>
          </w:p>
        </w:tc>
        <w:tc>
          <w:tcPr>
            <w:tcW w:w="2074" w:type="dxa"/>
            <w:shd w:val="clear" w:color="auto" w:fill="D9EAF7"/>
          </w:tcPr>
          <w:p w14:paraId="68549D9C" w14:textId="77777777" w:rsidR="00272E29" w:rsidRDefault="00000000">
            <w:r>
              <w:rPr>
                <w:b/>
                <w:sz w:val="14"/>
              </w:rPr>
              <w:t>Ground-truth clinical interpretation</w:t>
            </w:r>
          </w:p>
        </w:tc>
        <w:tc>
          <w:tcPr>
            <w:tcW w:w="2074" w:type="dxa"/>
            <w:shd w:val="clear" w:color="auto" w:fill="D9EAF7"/>
          </w:tcPr>
          <w:p w14:paraId="112F568C" w14:textId="77777777" w:rsidR="00272E29" w:rsidRDefault="00000000">
            <w:r>
              <w:rPr>
                <w:b/>
                <w:sz w:val="14"/>
              </w:rPr>
              <w:t>Evidence verdict</w:t>
            </w:r>
          </w:p>
        </w:tc>
        <w:tc>
          <w:tcPr>
            <w:tcW w:w="2074" w:type="dxa"/>
            <w:shd w:val="clear" w:color="auto" w:fill="D9EAF7"/>
          </w:tcPr>
          <w:p w14:paraId="6017E969" w14:textId="77777777" w:rsidR="00272E29" w:rsidRDefault="00000000">
            <w:r>
              <w:rPr>
                <w:b/>
                <w:sz w:val="14"/>
              </w:rPr>
              <w:t>Main caveat</w:t>
            </w:r>
          </w:p>
        </w:tc>
      </w:tr>
      <w:tr w:rsidR="00272E29" w14:paraId="1F74A255" w14:textId="77777777">
        <w:trPr>
          <w:jc w:val="center"/>
        </w:trPr>
        <w:tc>
          <w:tcPr>
            <w:tcW w:w="2074" w:type="dxa"/>
          </w:tcPr>
          <w:p w14:paraId="278878AA" w14:textId="77777777" w:rsidR="00272E29" w:rsidRDefault="00000000">
            <w:r>
              <w:rPr>
                <w:sz w:val="14"/>
              </w:rPr>
              <w:t>Hepatic dysfunction / HepFail</w:t>
            </w:r>
          </w:p>
        </w:tc>
        <w:tc>
          <w:tcPr>
            <w:tcW w:w="2074" w:type="dxa"/>
          </w:tcPr>
          <w:p w14:paraId="3989D15F" w14:textId="77777777" w:rsidR="00272E29" w:rsidRDefault="00000000">
            <w:r>
              <w:rPr>
                <w:sz w:val="14"/>
              </w:rPr>
              <w:t>MIMIC +15.5 pp; PhysioNet +10.1 pp</w:t>
            </w:r>
          </w:p>
        </w:tc>
        <w:tc>
          <w:tcPr>
            <w:tcW w:w="2074" w:type="dxa"/>
          </w:tcPr>
          <w:p w14:paraId="77320B84" w14:textId="77777777" w:rsidR="00272E29" w:rsidRDefault="00000000">
            <w:r>
              <w:rPr>
                <w:sz w:val="14"/>
              </w:rPr>
              <w:t>Strongly plausible direction. Bilirubin/liver dysfunction is part of SOFA-like organ failure; ICU studies report higher mortality with hyperbilirubinemia, and cholestatic liver dysfunction is associated with markedly increased mortality [5-7].</w:t>
            </w:r>
          </w:p>
        </w:tc>
        <w:tc>
          <w:tcPr>
            <w:tcW w:w="2074" w:type="dxa"/>
          </w:tcPr>
          <w:p w14:paraId="55F0B745" w14:textId="77777777" w:rsidR="00272E29" w:rsidRDefault="00000000">
            <w:r>
              <w:rPr>
                <w:sz w:val="14"/>
              </w:rPr>
              <w:t>Supported, but not proven as an isolated causal effect.</w:t>
            </w:r>
          </w:p>
        </w:tc>
        <w:tc>
          <w:tcPr>
            <w:tcW w:w="2074" w:type="dxa"/>
          </w:tcPr>
          <w:p w14:paraId="0EB3B6B3" w14:textId="77777777" w:rsidR="00272E29" w:rsidRDefault="00000000">
            <w:r>
              <w:rPr>
                <w:sz w:val="14"/>
              </w:rPr>
              <w:t>Magnitude may reflect multi-organ failure, shock, sepsis, or parenteral nutrition/drug effects. Some literature warns bilirubin can be a severity marker more than an independent cause.</w:t>
            </w:r>
          </w:p>
        </w:tc>
      </w:tr>
      <w:tr w:rsidR="00272E29" w14:paraId="558B245D" w14:textId="77777777">
        <w:trPr>
          <w:jc w:val="center"/>
        </w:trPr>
        <w:tc>
          <w:tcPr>
            <w:tcW w:w="2074" w:type="dxa"/>
          </w:tcPr>
          <w:p w14:paraId="58845E49" w14:textId="77777777" w:rsidR="00272E29" w:rsidRDefault="00000000">
            <w:r>
              <w:rPr>
                <w:sz w:val="14"/>
              </w:rPr>
              <w:t>Renal dysfunction / RenalFail</w:t>
            </w:r>
          </w:p>
        </w:tc>
        <w:tc>
          <w:tcPr>
            <w:tcW w:w="2074" w:type="dxa"/>
          </w:tcPr>
          <w:p w14:paraId="6921F454" w14:textId="77777777" w:rsidR="00272E29" w:rsidRDefault="00000000">
            <w:r>
              <w:rPr>
                <w:sz w:val="14"/>
              </w:rPr>
              <w:t>MIMIC +6.6 pp; PhysioNet +12.5 pp</w:t>
            </w:r>
          </w:p>
        </w:tc>
        <w:tc>
          <w:tcPr>
            <w:tcW w:w="2074" w:type="dxa"/>
          </w:tcPr>
          <w:p w14:paraId="56A7243D" w14:textId="77777777" w:rsidR="00272E29" w:rsidRDefault="00000000">
            <w:r>
              <w:rPr>
                <w:sz w:val="14"/>
              </w:rPr>
              <w:t>Clinically plausible. AKI is common in ICU patients and increasing AKI severity is associated with increased mortality [3]. A 2024 multicenter sepsis-AKI analysis found overall AKI attributable mortality of 6.6 pp, with stage 3 AKI at 16.8 pp [4].</w:t>
            </w:r>
          </w:p>
        </w:tc>
        <w:tc>
          <w:tcPr>
            <w:tcW w:w="2074" w:type="dxa"/>
          </w:tcPr>
          <w:p w14:paraId="65261D50" w14:textId="77777777" w:rsidR="00272E29" w:rsidRDefault="00000000">
            <w:r>
              <w:rPr>
                <w:sz w:val="14"/>
              </w:rPr>
              <w:t>Supported; PhysioNet magnitude is plausible only if tag captures severe AKI.</w:t>
            </w:r>
          </w:p>
        </w:tc>
        <w:tc>
          <w:tcPr>
            <w:tcW w:w="2074" w:type="dxa"/>
          </w:tcPr>
          <w:p w14:paraId="023F6826" w14:textId="77777777" w:rsidR="00272E29" w:rsidRDefault="00000000">
            <w:r>
              <w:rPr>
                <w:sz w:val="14"/>
              </w:rPr>
              <w:t>If the label captures chronic kidney disease or mild creatinine changes, the +12.5 pp PhysioNet effect is probably high.</w:t>
            </w:r>
          </w:p>
        </w:tc>
      </w:tr>
      <w:tr w:rsidR="00272E29" w14:paraId="3DD9E82E" w14:textId="77777777">
        <w:trPr>
          <w:jc w:val="center"/>
        </w:trPr>
        <w:tc>
          <w:tcPr>
            <w:tcW w:w="2074" w:type="dxa"/>
          </w:tcPr>
          <w:p w14:paraId="55FEE438" w14:textId="77777777" w:rsidR="00272E29" w:rsidRDefault="00000000">
            <w:r>
              <w:rPr>
                <w:sz w:val="14"/>
              </w:rPr>
              <w:t>Global severity</w:t>
            </w:r>
          </w:p>
        </w:tc>
        <w:tc>
          <w:tcPr>
            <w:tcW w:w="2074" w:type="dxa"/>
          </w:tcPr>
          <w:p w14:paraId="2E86206C" w14:textId="77777777" w:rsidR="00272E29" w:rsidRDefault="00000000">
            <w:r>
              <w:rPr>
                <w:sz w:val="14"/>
              </w:rPr>
              <w:t>MIMIC +10.0 pp; PhysioNet +9.2 pp</w:t>
            </w:r>
          </w:p>
        </w:tc>
        <w:tc>
          <w:tcPr>
            <w:tcW w:w="2074" w:type="dxa"/>
          </w:tcPr>
          <w:p w14:paraId="6A968E2C" w14:textId="77777777" w:rsidR="00272E29" w:rsidRDefault="00000000">
            <w:r>
              <w:rPr>
                <w:sz w:val="14"/>
              </w:rPr>
              <w:t xml:space="preserve">Strongly plausible as a risk marker. SOFA assesses neurologic, blood/coagulation, liver, </w:t>
            </w:r>
            <w:r>
              <w:rPr>
                <w:sz w:val="14"/>
              </w:rPr>
              <w:lastRenderedPageBreak/>
              <w:t>kidney, and hemodynamic function; higher SOFA corresponds to higher likely mortality [2]. Sepsis-3 uses SOFA increase &gt;=2 as organ dysfunction associated with &gt;10% in-hospital mortality [1].</w:t>
            </w:r>
          </w:p>
        </w:tc>
        <w:tc>
          <w:tcPr>
            <w:tcW w:w="2074" w:type="dxa"/>
          </w:tcPr>
          <w:p w14:paraId="2CD91E01" w14:textId="77777777" w:rsidR="00272E29" w:rsidRDefault="00000000">
            <w:r>
              <w:rPr>
                <w:sz w:val="14"/>
              </w:rPr>
              <w:lastRenderedPageBreak/>
              <w:t>Supported as prognostic severity, not as a manipulable treatment effect.</w:t>
            </w:r>
          </w:p>
        </w:tc>
        <w:tc>
          <w:tcPr>
            <w:tcW w:w="2074" w:type="dxa"/>
          </w:tcPr>
          <w:p w14:paraId="2060D50C" w14:textId="77777777" w:rsidR="00272E29" w:rsidRDefault="00000000">
            <w:r>
              <w:rPr>
                <w:sz w:val="14"/>
              </w:rPr>
              <w:t xml:space="preserve">Do not say 'severity treatment causes death.' Severity is a composite, outcome-proximal latent state and may absorb </w:t>
            </w:r>
            <w:r>
              <w:rPr>
                <w:sz w:val="14"/>
              </w:rPr>
              <w:lastRenderedPageBreak/>
              <w:t>effects of shock/organ failures.</w:t>
            </w:r>
          </w:p>
        </w:tc>
      </w:tr>
      <w:tr w:rsidR="00272E29" w14:paraId="3533BC7C" w14:textId="77777777">
        <w:trPr>
          <w:jc w:val="center"/>
        </w:trPr>
        <w:tc>
          <w:tcPr>
            <w:tcW w:w="2074" w:type="dxa"/>
          </w:tcPr>
          <w:p w14:paraId="6BACF6BD" w14:textId="77777777" w:rsidR="00272E29" w:rsidRDefault="00000000">
            <w:r>
              <w:rPr>
                <w:sz w:val="14"/>
              </w:rPr>
              <w:lastRenderedPageBreak/>
              <w:t>Metabolic derangement / Metab</w:t>
            </w:r>
          </w:p>
        </w:tc>
        <w:tc>
          <w:tcPr>
            <w:tcW w:w="2074" w:type="dxa"/>
          </w:tcPr>
          <w:p w14:paraId="65829C2E" w14:textId="77777777" w:rsidR="00272E29" w:rsidRDefault="00000000">
            <w:r>
              <w:rPr>
                <w:sz w:val="14"/>
              </w:rPr>
              <w:t>MIMIC +6.1 pp; PhysioNet +8.7 pp</w:t>
            </w:r>
          </w:p>
        </w:tc>
        <w:tc>
          <w:tcPr>
            <w:tcW w:w="2074" w:type="dxa"/>
          </w:tcPr>
          <w:p w14:paraId="5EAE83B9" w14:textId="77777777" w:rsidR="00272E29" w:rsidRDefault="00000000">
            <w:r>
              <w:rPr>
                <w:sz w:val="14"/>
              </w:rPr>
              <w:t>Plausible. Lactate, acidosis, electrolyte abnormalities, and glucose extremes are downstream signals of shock, renal failure, respiratory failure, sepsis, and poor perfusion. ICU lactate studies associate hyperlactatemia/persistent lactate elevation with bad outcomes and mortality [9].</w:t>
            </w:r>
          </w:p>
        </w:tc>
        <w:tc>
          <w:tcPr>
            <w:tcW w:w="2074" w:type="dxa"/>
          </w:tcPr>
          <w:p w14:paraId="68004970" w14:textId="77777777" w:rsidR="00272E29" w:rsidRDefault="00000000">
            <w:r>
              <w:rPr>
                <w:sz w:val="14"/>
              </w:rPr>
              <w:t>Supported; magnitude plausible.</w:t>
            </w:r>
          </w:p>
        </w:tc>
        <w:tc>
          <w:tcPr>
            <w:tcW w:w="2074" w:type="dxa"/>
          </w:tcPr>
          <w:p w14:paraId="6E0E49D7" w14:textId="77777777" w:rsidR="00272E29" w:rsidRDefault="00000000">
            <w:r>
              <w:rPr>
                <w:sz w:val="14"/>
              </w:rPr>
              <w:t>Metabolic derangement is often a mediator, not a root cause. Estimating its isolated effect can block upstream causal pathways.</w:t>
            </w:r>
          </w:p>
        </w:tc>
      </w:tr>
      <w:tr w:rsidR="00272E29" w14:paraId="6BD77342" w14:textId="77777777">
        <w:trPr>
          <w:jc w:val="center"/>
        </w:trPr>
        <w:tc>
          <w:tcPr>
            <w:tcW w:w="2074" w:type="dxa"/>
          </w:tcPr>
          <w:p w14:paraId="1CD2B2CC" w14:textId="77777777" w:rsidR="00272E29" w:rsidRDefault="00000000">
            <w:r>
              <w:rPr>
                <w:sz w:val="14"/>
              </w:rPr>
              <w:t>Inflammation / sepsis-like burden</w:t>
            </w:r>
          </w:p>
        </w:tc>
        <w:tc>
          <w:tcPr>
            <w:tcW w:w="2074" w:type="dxa"/>
          </w:tcPr>
          <w:p w14:paraId="5A21F61A" w14:textId="77777777" w:rsidR="00272E29" w:rsidRDefault="00000000">
            <w:r>
              <w:rPr>
                <w:sz w:val="14"/>
              </w:rPr>
              <w:t>MIMIC +6.8 pp; PhysioNet +5.7 pp</w:t>
            </w:r>
          </w:p>
        </w:tc>
        <w:tc>
          <w:tcPr>
            <w:tcW w:w="2074" w:type="dxa"/>
          </w:tcPr>
          <w:p w14:paraId="63EB33E9" w14:textId="77777777" w:rsidR="00272E29" w:rsidRDefault="00000000">
            <w:r>
              <w:rPr>
                <w:sz w:val="14"/>
              </w:rPr>
              <w:t>Moderately plausible. Sepsis is organ dysfunction caused by dysregulated host response to infection; septic shock is a higher-mortality subset [1]. Inflammation-only tags based on fever/WBC/lactate are less specific than confirmed sepsis.</w:t>
            </w:r>
          </w:p>
        </w:tc>
        <w:tc>
          <w:tcPr>
            <w:tcW w:w="2074" w:type="dxa"/>
          </w:tcPr>
          <w:p w14:paraId="51336422" w14:textId="77777777" w:rsidR="00272E29" w:rsidRDefault="00000000">
            <w:r>
              <w:rPr>
                <w:sz w:val="14"/>
              </w:rPr>
              <w:t>Supported direction; effect should be lower than organ failure when infection confirmation is missing.</w:t>
            </w:r>
          </w:p>
        </w:tc>
        <w:tc>
          <w:tcPr>
            <w:tcW w:w="2074" w:type="dxa"/>
          </w:tcPr>
          <w:p w14:paraId="3B955B2C" w14:textId="77777777" w:rsidR="00272E29" w:rsidRDefault="00000000">
            <w:r>
              <w:rPr>
                <w:sz w:val="14"/>
              </w:rPr>
              <w:t>False positives include post-op inflammation, trauma, pancreatitis, and sterile shock. This likely explains why inflammation is below hepatic/renal/severity.</w:t>
            </w:r>
          </w:p>
        </w:tc>
      </w:tr>
      <w:tr w:rsidR="00272E29" w14:paraId="5F1E0843" w14:textId="77777777">
        <w:trPr>
          <w:jc w:val="center"/>
        </w:trPr>
        <w:tc>
          <w:tcPr>
            <w:tcW w:w="2074" w:type="dxa"/>
          </w:tcPr>
          <w:p w14:paraId="436DA7BB" w14:textId="77777777" w:rsidR="00272E29" w:rsidRDefault="00000000">
            <w:r>
              <w:rPr>
                <w:sz w:val="14"/>
              </w:rPr>
              <w:t>Coagulation / heme dysfunction</w:t>
            </w:r>
          </w:p>
        </w:tc>
        <w:tc>
          <w:tcPr>
            <w:tcW w:w="2074" w:type="dxa"/>
          </w:tcPr>
          <w:p w14:paraId="60C89B68" w14:textId="77777777" w:rsidR="00272E29" w:rsidRDefault="00000000">
            <w:r>
              <w:rPr>
                <w:sz w:val="14"/>
              </w:rPr>
              <w:t>MIMIC +6.2 pp; PhysioNet HemeFail -1.8 pp</w:t>
            </w:r>
          </w:p>
        </w:tc>
        <w:tc>
          <w:tcPr>
            <w:tcW w:w="2074" w:type="dxa"/>
          </w:tcPr>
          <w:p w14:paraId="0AFEC2E5" w14:textId="77777777" w:rsidR="00272E29" w:rsidRDefault="00000000">
            <w:r>
              <w:rPr>
                <w:sz w:val="14"/>
              </w:rPr>
              <w:t>MIMIC positive direction is supported. Thrombocytopenia at ICU admission was associated with 90-day mortality in PLOT-ICU, and thrombocytopenia occurred frequently in critically ill patients [10].</w:t>
            </w:r>
          </w:p>
        </w:tc>
        <w:tc>
          <w:tcPr>
            <w:tcW w:w="2074" w:type="dxa"/>
          </w:tcPr>
          <w:p w14:paraId="6A87840F" w14:textId="77777777" w:rsidR="00272E29" w:rsidRDefault="00000000">
            <w:r>
              <w:rPr>
                <w:sz w:val="14"/>
              </w:rPr>
              <w:t>MIMIC supported; PhysioNet negative is likely inaccurate.</w:t>
            </w:r>
          </w:p>
        </w:tc>
        <w:tc>
          <w:tcPr>
            <w:tcW w:w="2074" w:type="dxa"/>
          </w:tcPr>
          <w:p w14:paraId="6BE22E7B" w14:textId="77777777" w:rsidR="00272E29" w:rsidRDefault="00000000">
            <w:r>
              <w:rPr>
                <w:sz w:val="14"/>
              </w:rPr>
              <w:t>PhysioNet HemeFail may combine weak proxies (HCT/WBC/platelets) and suffer from missingness or over-adjustment. A negative mortality effect contradicts the clinical literature.</w:t>
            </w:r>
          </w:p>
        </w:tc>
      </w:tr>
      <w:tr w:rsidR="00272E29" w14:paraId="211B9A52" w14:textId="77777777">
        <w:trPr>
          <w:jc w:val="center"/>
        </w:trPr>
        <w:tc>
          <w:tcPr>
            <w:tcW w:w="2074" w:type="dxa"/>
          </w:tcPr>
          <w:p w14:paraId="1E2FDB9E" w14:textId="77777777" w:rsidR="00272E29" w:rsidRDefault="00000000">
            <w:r>
              <w:rPr>
                <w:sz w:val="14"/>
              </w:rPr>
              <w:t>Respiratory failure / RespFail</w:t>
            </w:r>
          </w:p>
        </w:tc>
        <w:tc>
          <w:tcPr>
            <w:tcW w:w="2074" w:type="dxa"/>
          </w:tcPr>
          <w:p w14:paraId="2D08F7BE" w14:textId="77777777" w:rsidR="00272E29" w:rsidRDefault="00000000">
            <w:r>
              <w:rPr>
                <w:sz w:val="14"/>
              </w:rPr>
              <w:t>MIMIC +5.0 pp; PhysioNet +4.4 pp</w:t>
            </w:r>
          </w:p>
        </w:tc>
        <w:tc>
          <w:tcPr>
            <w:tcW w:w="2074" w:type="dxa"/>
          </w:tcPr>
          <w:p w14:paraId="4C150878" w14:textId="77777777" w:rsidR="00272E29" w:rsidRDefault="00000000">
            <w:r>
              <w:rPr>
                <w:sz w:val="14"/>
              </w:rPr>
              <w:t>Positive direction is supported. Berlin ARDS severity categories showed increasing mortality from mild to moderate to severe ARDS [8]. Respiratory failure also contributes to acidosis and global severity.</w:t>
            </w:r>
          </w:p>
        </w:tc>
        <w:tc>
          <w:tcPr>
            <w:tcW w:w="2074" w:type="dxa"/>
          </w:tcPr>
          <w:p w14:paraId="5DF2B244" w14:textId="77777777" w:rsidR="00272E29" w:rsidRDefault="00000000">
            <w:r>
              <w:rPr>
                <w:sz w:val="14"/>
              </w:rPr>
              <w:t>Supported but probably conservative.</w:t>
            </w:r>
          </w:p>
        </w:tc>
        <w:tc>
          <w:tcPr>
            <w:tcW w:w="2074" w:type="dxa"/>
          </w:tcPr>
          <w:p w14:paraId="42ADD044" w14:textId="77777777" w:rsidR="00272E29" w:rsidRDefault="00000000">
            <w:r>
              <w:rPr>
                <w:sz w:val="14"/>
              </w:rPr>
              <w:t>Labels may include post-operative ventilation or oxygen support, which dilutes true hypoxemic respiratory failure.</w:t>
            </w:r>
          </w:p>
        </w:tc>
      </w:tr>
      <w:tr w:rsidR="00272E29" w14:paraId="6055393F" w14:textId="77777777">
        <w:trPr>
          <w:jc w:val="center"/>
        </w:trPr>
        <w:tc>
          <w:tcPr>
            <w:tcW w:w="2074" w:type="dxa"/>
          </w:tcPr>
          <w:p w14:paraId="3AFBF88E" w14:textId="77777777" w:rsidR="00272E29" w:rsidRDefault="00000000">
            <w:r>
              <w:rPr>
                <w:sz w:val="14"/>
              </w:rPr>
              <w:t>Neurologic dysfunction / NeuroFail</w:t>
            </w:r>
          </w:p>
        </w:tc>
        <w:tc>
          <w:tcPr>
            <w:tcW w:w="2074" w:type="dxa"/>
          </w:tcPr>
          <w:p w14:paraId="6F7B4556" w14:textId="77777777" w:rsidR="00272E29" w:rsidRDefault="00000000">
            <w:r>
              <w:rPr>
                <w:sz w:val="14"/>
              </w:rPr>
              <w:t>MIMIC +4.5 pp; PhysioNet +4.5 pp</w:t>
            </w:r>
          </w:p>
        </w:tc>
        <w:tc>
          <w:tcPr>
            <w:tcW w:w="2074" w:type="dxa"/>
          </w:tcPr>
          <w:p w14:paraId="671FE7B4" w14:textId="77777777" w:rsidR="00272E29" w:rsidRDefault="00000000">
            <w:r>
              <w:rPr>
                <w:sz w:val="14"/>
              </w:rPr>
              <w:t>Positive direction is plausible. GCS is the neurologic SOFA component and has been reported as a dominant component of SOFA's association with 30-day mortality in mixed ICU patients [11].</w:t>
            </w:r>
          </w:p>
        </w:tc>
        <w:tc>
          <w:tcPr>
            <w:tcW w:w="2074" w:type="dxa"/>
          </w:tcPr>
          <w:p w14:paraId="4E08E125" w14:textId="77777777" w:rsidR="00272E29" w:rsidRDefault="00000000">
            <w:r>
              <w:rPr>
                <w:sz w:val="14"/>
              </w:rPr>
              <w:t>Supported direction; magnitude uncertain.</w:t>
            </w:r>
          </w:p>
        </w:tc>
        <w:tc>
          <w:tcPr>
            <w:tcW w:w="2074" w:type="dxa"/>
          </w:tcPr>
          <w:p w14:paraId="45B232D7" w14:textId="77777777" w:rsidR="00272E29" w:rsidRDefault="00000000">
            <w:r>
              <w:rPr>
                <w:sz w:val="14"/>
              </w:rPr>
              <w:t>Sedation, intubation, and missing neurologic assessments can misclassify true brain dysfunction.</w:t>
            </w:r>
          </w:p>
        </w:tc>
      </w:tr>
      <w:tr w:rsidR="00272E29" w14:paraId="02A97D52" w14:textId="77777777">
        <w:trPr>
          <w:jc w:val="center"/>
        </w:trPr>
        <w:tc>
          <w:tcPr>
            <w:tcW w:w="2074" w:type="dxa"/>
          </w:tcPr>
          <w:p w14:paraId="4082093E" w14:textId="77777777" w:rsidR="00272E29" w:rsidRDefault="00000000">
            <w:r>
              <w:rPr>
                <w:sz w:val="14"/>
              </w:rPr>
              <w:t>Shock</w:t>
            </w:r>
          </w:p>
        </w:tc>
        <w:tc>
          <w:tcPr>
            <w:tcW w:w="2074" w:type="dxa"/>
          </w:tcPr>
          <w:p w14:paraId="57A963D1" w14:textId="77777777" w:rsidR="00272E29" w:rsidRDefault="00000000">
            <w:r>
              <w:rPr>
                <w:sz w:val="14"/>
              </w:rPr>
              <w:t>MIMIC +2.2 pp; PhysioNet -0.6 pp</w:t>
            </w:r>
          </w:p>
        </w:tc>
        <w:tc>
          <w:tcPr>
            <w:tcW w:w="2074" w:type="dxa"/>
          </w:tcPr>
          <w:p w14:paraId="18673008" w14:textId="77777777" w:rsidR="00272E29" w:rsidRDefault="00000000">
            <w:r>
              <w:rPr>
                <w:sz w:val="14"/>
              </w:rPr>
              <w:t>Clinical literature strongly contradicts the low/negative CATE. Sepsis-3 septic shock criteria identify a subgroup with hospital mortality in excess of 40% [1]. True shock should be among the highest-risk states, not near zero.</w:t>
            </w:r>
          </w:p>
        </w:tc>
        <w:tc>
          <w:tcPr>
            <w:tcW w:w="2074" w:type="dxa"/>
          </w:tcPr>
          <w:p w14:paraId="49AA53FC" w14:textId="77777777" w:rsidR="00272E29" w:rsidRDefault="00000000">
            <w:r>
              <w:rPr>
                <w:sz w:val="14"/>
              </w:rPr>
              <w:t>Likely inaccurate or heavily mediated/over-adjusted in these results.</w:t>
            </w:r>
          </w:p>
        </w:tc>
        <w:tc>
          <w:tcPr>
            <w:tcW w:w="2074" w:type="dxa"/>
          </w:tcPr>
          <w:p w14:paraId="2664C36A" w14:textId="77777777" w:rsidR="00272E29" w:rsidRDefault="00000000">
            <w:r>
              <w:rPr>
                <w:sz w:val="14"/>
              </w:rPr>
              <w:t>PhysioNet lacks vasopressors; shock tags may be broad hypotension/tachycardia proxies. Adjusting for severity, renal failure, metabolic derangement, or ventilation can remove the mortality pathway from shock.</w:t>
            </w:r>
          </w:p>
        </w:tc>
      </w:tr>
    </w:tbl>
    <w:p w14:paraId="3B397507" w14:textId="77777777" w:rsidR="00272E29" w:rsidRDefault="00272E29">
      <w:pPr>
        <w:spacing w:after="80" w:line="252" w:lineRule="auto"/>
      </w:pPr>
    </w:p>
    <w:p w14:paraId="264B56E7" w14:textId="77777777" w:rsidR="00272E29" w:rsidRDefault="00000000">
      <w:pPr>
        <w:pStyle w:val="1"/>
        <w:spacing w:after="80" w:line="252" w:lineRule="auto"/>
      </w:pPr>
      <w:r>
        <w:t>5. Relative relationships implied by the two CSVs</w:t>
      </w:r>
    </w:p>
    <w:p w14:paraId="33519FBB" w14:textId="77777777" w:rsidR="00272E29" w:rsidRDefault="00000000">
      <w:pPr>
        <w:spacing w:after="80" w:line="252" w:lineRule="auto"/>
      </w:pPr>
      <w:r>
        <w:t>These ratios compare model-estimated mean CATE values within each dataset. They are useful as hypotheses, not proofs.</w:t>
      </w:r>
    </w:p>
    <w:tbl>
      <w:tblPr>
        <w:tblStyle w:val="aff2"/>
        <w:tblW w:w="0" w:type="auto"/>
        <w:jc w:val="center"/>
        <w:tblLook w:val="04A0" w:firstRow="1" w:lastRow="0" w:firstColumn="1" w:lastColumn="0" w:noHBand="0" w:noVBand="1"/>
      </w:tblPr>
      <w:tblGrid>
        <w:gridCol w:w="2074"/>
        <w:gridCol w:w="2074"/>
        <w:gridCol w:w="2074"/>
        <w:gridCol w:w="2074"/>
        <w:gridCol w:w="2074"/>
      </w:tblGrid>
      <w:tr w:rsidR="00272E29" w14:paraId="3E70BAC8" w14:textId="77777777">
        <w:trPr>
          <w:jc w:val="center"/>
        </w:trPr>
        <w:tc>
          <w:tcPr>
            <w:tcW w:w="2074" w:type="dxa"/>
            <w:shd w:val="clear" w:color="auto" w:fill="D9EAF7"/>
          </w:tcPr>
          <w:p w14:paraId="5D698B2B" w14:textId="77777777" w:rsidR="00272E29" w:rsidRDefault="00000000">
            <w:r>
              <w:rPr>
                <w:b/>
                <w:sz w:val="15"/>
              </w:rPr>
              <w:t>Comparison</w:t>
            </w:r>
          </w:p>
        </w:tc>
        <w:tc>
          <w:tcPr>
            <w:tcW w:w="2074" w:type="dxa"/>
            <w:shd w:val="clear" w:color="auto" w:fill="D9EAF7"/>
          </w:tcPr>
          <w:p w14:paraId="350CE057" w14:textId="77777777" w:rsidR="00272E29" w:rsidRDefault="00000000">
            <w:r>
              <w:rPr>
                <w:b/>
                <w:sz w:val="15"/>
              </w:rPr>
              <w:t>MIMIC ratio</w:t>
            </w:r>
          </w:p>
        </w:tc>
        <w:tc>
          <w:tcPr>
            <w:tcW w:w="2074" w:type="dxa"/>
            <w:shd w:val="clear" w:color="auto" w:fill="D9EAF7"/>
          </w:tcPr>
          <w:p w14:paraId="4A073CC7" w14:textId="77777777" w:rsidR="00272E29" w:rsidRDefault="00000000">
            <w:r>
              <w:rPr>
                <w:b/>
                <w:sz w:val="15"/>
              </w:rPr>
              <w:t>PhysioNet ratio</w:t>
            </w:r>
          </w:p>
        </w:tc>
        <w:tc>
          <w:tcPr>
            <w:tcW w:w="2074" w:type="dxa"/>
            <w:shd w:val="clear" w:color="auto" w:fill="D9EAF7"/>
          </w:tcPr>
          <w:p w14:paraId="12B36999" w14:textId="77777777" w:rsidR="00272E29" w:rsidRDefault="00000000">
            <w:r>
              <w:rPr>
                <w:b/>
                <w:sz w:val="15"/>
              </w:rPr>
              <w:t>Interpretation</w:t>
            </w:r>
          </w:p>
        </w:tc>
        <w:tc>
          <w:tcPr>
            <w:tcW w:w="2074" w:type="dxa"/>
            <w:shd w:val="clear" w:color="auto" w:fill="D9EAF7"/>
          </w:tcPr>
          <w:p w14:paraId="07E6DB1E" w14:textId="77777777" w:rsidR="00272E29" w:rsidRDefault="00000000">
            <w:r>
              <w:rPr>
                <w:b/>
                <w:sz w:val="15"/>
              </w:rPr>
              <w:t>Clinical confidence</w:t>
            </w:r>
          </w:p>
        </w:tc>
      </w:tr>
      <w:tr w:rsidR="00272E29" w14:paraId="09B1DD08" w14:textId="77777777">
        <w:trPr>
          <w:jc w:val="center"/>
        </w:trPr>
        <w:tc>
          <w:tcPr>
            <w:tcW w:w="2074" w:type="dxa"/>
          </w:tcPr>
          <w:p w14:paraId="05BA5CEE" w14:textId="77777777" w:rsidR="00272E29" w:rsidRDefault="00000000">
            <w:r>
              <w:rPr>
                <w:sz w:val="15"/>
              </w:rPr>
              <w:t>Hepatic vs inflammation</w:t>
            </w:r>
          </w:p>
        </w:tc>
        <w:tc>
          <w:tcPr>
            <w:tcW w:w="2074" w:type="dxa"/>
          </w:tcPr>
          <w:p w14:paraId="598BDADF" w14:textId="77777777" w:rsidR="00272E29" w:rsidRDefault="00000000">
            <w:r>
              <w:rPr>
                <w:sz w:val="15"/>
              </w:rPr>
              <w:t>2.29x</w:t>
            </w:r>
          </w:p>
        </w:tc>
        <w:tc>
          <w:tcPr>
            <w:tcW w:w="2074" w:type="dxa"/>
          </w:tcPr>
          <w:p w14:paraId="655870A1" w14:textId="77777777" w:rsidR="00272E29" w:rsidRDefault="00000000">
            <w:r>
              <w:rPr>
                <w:sz w:val="15"/>
              </w:rPr>
              <w:t>1.78x</w:t>
            </w:r>
          </w:p>
        </w:tc>
        <w:tc>
          <w:tcPr>
            <w:tcW w:w="2074" w:type="dxa"/>
          </w:tcPr>
          <w:p w14:paraId="0CE5C59B" w14:textId="77777777" w:rsidR="00272E29" w:rsidRDefault="00000000">
            <w:r>
              <w:rPr>
                <w:sz w:val="15"/>
              </w:rPr>
              <w:t>Consistent: hepatic dysfunction is ~2x inflammation. Clinically plausible because hepatic dysfunction often reflects established organ failure rather than nonspecific inflammatory signal.</w:t>
            </w:r>
          </w:p>
        </w:tc>
        <w:tc>
          <w:tcPr>
            <w:tcW w:w="2074" w:type="dxa"/>
          </w:tcPr>
          <w:p w14:paraId="65DA7B1C" w14:textId="77777777" w:rsidR="00272E29" w:rsidRDefault="00000000">
            <w:r>
              <w:rPr>
                <w:sz w:val="15"/>
              </w:rPr>
              <w:t>High</w:t>
            </w:r>
          </w:p>
        </w:tc>
      </w:tr>
      <w:tr w:rsidR="00272E29" w14:paraId="597C8D33" w14:textId="77777777">
        <w:trPr>
          <w:jc w:val="center"/>
        </w:trPr>
        <w:tc>
          <w:tcPr>
            <w:tcW w:w="2074" w:type="dxa"/>
          </w:tcPr>
          <w:p w14:paraId="0779390D" w14:textId="77777777" w:rsidR="00272E29" w:rsidRDefault="00000000">
            <w:r>
              <w:rPr>
                <w:sz w:val="15"/>
              </w:rPr>
              <w:t>Severity vs inflammation</w:t>
            </w:r>
          </w:p>
        </w:tc>
        <w:tc>
          <w:tcPr>
            <w:tcW w:w="2074" w:type="dxa"/>
          </w:tcPr>
          <w:p w14:paraId="508E6397" w14:textId="77777777" w:rsidR="00272E29" w:rsidRDefault="00000000">
            <w:r>
              <w:rPr>
                <w:sz w:val="15"/>
              </w:rPr>
              <w:t>1.49x</w:t>
            </w:r>
          </w:p>
        </w:tc>
        <w:tc>
          <w:tcPr>
            <w:tcW w:w="2074" w:type="dxa"/>
          </w:tcPr>
          <w:p w14:paraId="018F76B8" w14:textId="77777777" w:rsidR="00272E29" w:rsidRDefault="00000000">
            <w:r>
              <w:rPr>
                <w:sz w:val="15"/>
              </w:rPr>
              <w:t>1.61x</w:t>
            </w:r>
          </w:p>
        </w:tc>
        <w:tc>
          <w:tcPr>
            <w:tcW w:w="2074" w:type="dxa"/>
          </w:tcPr>
          <w:p w14:paraId="77CA22AB" w14:textId="77777777" w:rsidR="00272E29" w:rsidRDefault="00000000">
            <w:r>
              <w:rPr>
                <w:sz w:val="15"/>
              </w:rPr>
              <w:t xml:space="preserve">Consistent: severity is ~1.5-1.6x inflammation. This fits SOFA-like multi-organ severity as more outcome-proximal than </w:t>
            </w:r>
            <w:r>
              <w:rPr>
                <w:sz w:val="15"/>
              </w:rPr>
              <w:lastRenderedPageBreak/>
              <w:t>fever/WBC/inflammation.</w:t>
            </w:r>
          </w:p>
        </w:tc>
        <w:tc>
          <w:tcPr>
            <w:tcW w:w="2074" w:type="dxa"/>
          </w:tcPr>
          <w:p w14:paraId="20A0F24F" w14:textId="77777777" w:rsidR="00272E29" w:rsidRDefault="00000000">
            <w:r>
              <w:rPr>
                <w:sz w:val="15"/>
              </w:rPr>
              <w:lastRenderedPageBreak/>
              <w:t>High</w:t>
            </w:r>
          </w:p>
        </w:tc>
      </w:tr>
      <w:tr w:rsidR="00272E29" w14:paraId="53D58419" w14:textId="77777777">
        <w:trPr>
          <w:jc w:val="center"/>
        </w:trPr>
        <w:tc>
          <w:tcPr>
            <w:tcW w:w="2074" w:type="dxa"/>
          </w:tcPr>
          <w:p w14:paraId="1A41C8D4" w14:textId="77777777" w:rsidR="00272E29" w:rsidRDefault="00000000">
            <w:r>
              <w:rPr>
                <w:sz w:val="15"/>
              </w:rPr>
              <w:t>Renal vs inflammation</w:t>
            </w:r>
          </w:p>
        </w:tc>
        <w:tc>
          <w:tcPr>
            <w:tcW w:w="2074" w:type="dxa"/>
          </w:tcPr>
          <w:p w14:paraId="68C224AF" w14:textId="77777777" w:rsidR="00272E29" w:rsidRDefault="00000000">
            <w:r>
              <w:rPr>
                <w:sz w:val="15"/>
              </w:rPr>
              <w:t>0.98x</w:t>
            </w:r>
          </w:p>
        </w:tc>
        <w:tc>
          <w:tcPr>
            <w:tcW w:w="2074" w:type="dxa"/>
          </w:tcPr>
          <w:p w14:paraId="7B064C33" w14:textId="77777777" w:rsidR="00272E29" w:rsidRDefault="00000000">
            <w:r>
              <w:rPr>
                <w:sz w:val="15"/>
              </w:rPr>
              <w:t>2.20x</w:t>
            </w:r>
          </w:p>
        </w:tc>
        <w:tc>
          <w:tcPr>
            <w:tcW w:w="2074" w:type="dxa"/>
          </w:tcPr>
          <w:p w14:paraId="3BA63FAE" w14:textId="77777777" w:rsidR="00272E29" w:rsidRDefault="00000000">
            <w:r>
              <w:rPr>
                <w:sz w:val="15"/>
              </w:rPr>
              <w:t>Mixed: MIMIC renal is about equal to inflammation; PhysioNet renal is &gt;2x. Difference likely reflects label severity, baseline creatinine handling, and available urine-output/renal variables.</w:t>
            </w:r>
          </w:p>
        </w:tc>
        <w:tc>
          <w:tcPr>
            <w:tcW w:w="2074" w:type="dxa"/>
          </w:tcPr>
          <w:p w14:paraId="73E5D97D" w14:textId="77777777" w:rsidR="00272E29" w:rsidRDefault="00000000">
            <w:r>
              <w:rPr>
                <w:sz w:val="15"/>
              </w:rPr>
              <w:t>Medium</w:t>
            </w:r>
          </w:p>
        </w:tc>
      </w:tr>
      <w:tr w:rsidR="00272E29" w14:paraId="54355DC8" w14:textId="77777777">
        <w:trPr>
          <w:jc w:val="center"/>
        </w:trPr>
        <w:tc>
          <w:tcPr>
            <w:tcW w:w="2074" w:type="dxa"/>
          </w:tcPr>
          <w:p w14:paraId="41399E4E" w14:textId="77777777" w:rsidR="00272E29" w:rsidRDefault="00000000">
            <w:r>
              <w:rPr>
                <w:sz w:val="15"/>
              </w:rPr>
              <w:t>Metabolic vs respiratory</w:t>
            </w:r>
          </w:p>
        </w:tc>
        <w:tc>
          <w:tcPr>
            <w:tcW w:w="2074" w:type="dxa"/>
          </w:tcPr>
          <w:p w14:paraId="5A7AED67" w14:textId="77777777" w:rsidR="00272E29" w:rsidRDefault="00000000">
            <w:r>
              <w:rPr>
                <w:sz w:val="15"/>
              </w:rPr>
              <w:t>1.22x</w:t>
            </w:r>
          </w:p>
        </w:tc>
        <w:tc>
          <w:tcPr>
            <w:tcW w:w="2074" w:type="dxa"/>
          </w:tcPr>
          <w:p w14:paraId="38F264CE" w14:textId="77777777" w:rsidR="00272E29" w:rsidRDefault="00000000">
            <w:r>
              <w:rPr>
                <w:sz w:val="15"/>
              </w:rPr>
              <w:t>1.99x</w:t>
            </w:r>
          </w:p>
        </w:tc>
        <w:tc>
          <w:tcPr>
            <w:tcW w:w="2074" w:type="dxa"/>
          </w:tcPr>
          <w:p w14:paraId="46120B40" w14:textId="77777777" w:rsidR="00272E29" w:rsidRDefault="00000000">
            <w:r>
              <w:rPr>
                <w:sz w:val="15"/>
              </w:rPr>
              <w:t>Metabolic derangement is higher than respiratory failure in both datasets, especially PhysioNet. This is plausible when metabolic labels capture lactate/acidosis as global shock/sepsis mediators.</w:t>
            </w:r>
          </w:p>
        </w:tc>
        <w:tc>
          <w:tcPr>
            <w:tcW w:w="2074" w:type="dxa"/>
          </w:tcPr>
          <w:p w14:paraId="3D467CFA" w14:textId="77777777" w:rsidR="00272E29" w:rsidRDefault="00000000">
            <w:r>
              <w:rPr>
                <w:sz w:val="15"/>
              </w:rPr>
              <w:t>Medium</w:t>
            </w:r>
          </w:p>
        </w:tc>
      </w:tr>
      <w:tr w:rsidR="00272E29" w14:paraId="4656A724" w14:textId="77777777">
        <w:trPr>
          <w:jc w:val="center"/>
        </w:trPr>
        <w:tc>
          <w:tcPr>
            <w:tcW w:w="2074" w:type="dxa"/>
          </w:tcPr>
          <w:p w14:paraId="1E5BAF21" w14:textId="77777777" w:rsidR="00272E29" w:rsidRDefault="00000000">
            <w:r>
              <w:rPr>
                <w:sz w:val="15"/>
              </w:rPr>
              <w:t>Shock vs severity</w:t>
            </w:r>
          </w:p>
        </w:tc>
        <w:tc>
          <w:tcPr>
            <w:tcW w:w="2074" w:type="dxa"/>
          </w:tcPr>
          <w:p w14:paraId="3E5A46ED" w14:textId="77777777" w:rsidR="00272E29" w:rsidRDefault="00000000">
            <w:r>
              <w:rPr>
                <w:sz w:val="15"/>
              </w:rPr>
              <w:t>0.22x</w:t>
            </w:r>
          </w:p>
        </w:tc>
        <w:tc>
          <w:tcPr>
            <w:tcW w:w="2074" w:type="dxa"/>
          </w:tcPr>
          <w:p w14:paraId="285FC5F2" w14:textId="77777777" w:rsidR="00272E29" w:rsidRDefault="00000000">
            <w:r>
              <w:rPr>
                <w:sz w:val="15"/>
              </w:rPr>
              <w:t>-0.07x</w:t>
            </w:r>
          </w:p>
        </w:tc>
        <w:tc>
          <w:tcPr>
            <w:tcW w:w="2074" w:type="dxa"/>
          </w:tcPr>
          <w:p w14:paraId="7D399234" w14:textId="77777777" w:rsidR="00272E29" w:rsidRDefault="00000000">
            <w:r>
              <w:rPr>
                <w:sz w:val="15"/>
              </w:rPr>
              <w:t>Contradictory: model shock is far below severity and even negative in PhysioNet. True shock should be high risk; this points to proxy/model problems.</w:t>
            </w:r>
          </w:p>
        </w:tc>
        <w:tc>
          <w:tcPr>
            <w:tcW w:w="2074" w:type="dxa"/>
          </w:tcPr>
          <w:p w14:paraId="24AAC50F" w14:textId="77777777" w:rsidR="00272E29" w:rsidRDefault="00000000">
            <w:r>
              <w:rPr>
                <w:sz w:val="15"/>
              </w:rPr>
              <w:t>Low for shock</w:t>
            </w:r>
          </w:p>
        </w:tc>
      </w:tr>
    </w:tbl>
    <w:p w14:paraId="0556EFFE" w14:textId="77777777" w:rsidR="00272E29" w:rsidRDefault="00000000">
      <w:pPr>
        <w:pStyle w:val="1"/>
        <w:spacing w:after="80" w:line="252" w:lineRule="auto"/>
      </w:pPr>
      <w:r>
        <w:t>6. Dataset-specific interpretation</w:t>
      </w:r>
    </w:p>
    <w:p w14:paraId="73418391" w14:textId="77777777" w:rsidR="00272E29" w:rsidRDefault="00000000">
      <w:pPr>
        <w:pStyle w:val="21"/>
        <w:spacing w:after="80" w:line="252" w:lineRule="auto"/>
      </w:pPr>
      <w:r>
        <w:t>PhysioNet 2012</w:t>
      </w:r>
    </w:p>
    <w:p w14:paraId="33613688" w14:textId="77777777" w:rsidR="00272E29" w:rsidRDefault="00000000">
      <w:pPr>
        <w:pStyle w:val="a0"/>
        <w:spacing w:after="80" w:line="252" w:lineRule="auto"/>
      </w:pPr>
      <w:r>
        <w:t>Top positive CATEs are RenalFail (+12.5 pp), HepFail (+10.1 pp), Severity (+9.2 pp), and Metab (+8.7 pp). This ordering is clinically plausible if the tags identify substantial organ dysfunction rather than mild abnormalities.</w:t>
      </w:r>
    </w:p>
    <w:p w14:paraId="3375C5C4" w14:textId="77777777" w:rsidR="00272E29" w:rsidRDefault="00000000">
      <w:pPr>
        <w:pStyle w:val="a0"/>
        <w:spacing w:after="80" w:line="252" w:lineRule="auto"/>
      </w:pPr>
      <w:r>
        <w:t>Inflam (+5.7 pp), NeuroFail (+4.5 pp), and RespFail (+4.4 pp) are plausible but lower-confidence because PhysioNet has no diagnoses, antibiotics, cultures, vasopressors, sedation, or procedures. This makes confirmed sepsis, true shock, and ventilator-related respiratory failure hard to identify.</w:t>
      </w:r>
    </w:p>
    <w:p w14:paraId="4830B92F" w14:textId="77777777" w:rsidR="00272E29" w:rsidRDefault="00000000">
      <w:pPr>
        <w:pStyle w:val="a0"/>
        <w:spacing w:after="80" w:line="252" w:lineRule="auto"/>
      </w:pPr>
      <w:r>
        <w:t>Shock (-0.6 pp) and HemeFail (-1.8 pp) are the main red flags. The shock sign contradicts established critical-care evidence, and the heme/coag sign contradicts thrombocytopenia literature. These should be flagged as model/proxy artifacts unless sensitivity analysis proves otherwise.</w:t>
      </w:r>
    </w:p>
    <w:p w14:paraId="103D16C5" w14:textId="77777777" w:rsidR="00272E29" w:rsidRDefault="00000000">
      <w:pPr>
        <w:pStyle w:val="21"/>
        <w:spacing w:after="80" w:line="252" w:lineRule="auto"/>
      </w:pPr>
      <w:r>
        <w:t>MIMIC</w:t>
      </w:r>
    </w:p>
    <w:p w14:paraId="129F3D1D" w14:textId="77777777" w:rsidR="00272E29" w:rsidRDefault="00000000">
      <w:pPr>
        <w:pStyle w:val="a0"/>
        <w:spacing w:after="80" w:line="252" w:lineRule="auto"/>
      </w:pPr>
      <w:r>
        <w:t>Top positive CATEs are HepaticDysfunction (+15.5 pp) and Severity (+10.0 pp), followed by Inflammation, RenalDysfunction, CoagDysfunction, and MetabolicDerangement at about +6 to +7 pp. This is broadly compatible with organ-failure literature.</w:t>
      </w:r>
    </w:p>
    <w:p w14:paraId="01F84832" w14:textId="77777777" w:rsidR="00272E29" w:rsidRDefault="00000000">
      <w:pPr>
        <w:pStyle w:val="a0"/>
        <w:spacing w:after="80" w:line="252" w:lineRule="auto"/>
      </w:pPr>
      <w:r>
        <w:t>HepaticDysfunction as the largest signal is plausible if driven by bilirubin/cholestasis, because bilirubin &gt;=2 mg/dL has been associated with materially higher hospital mortality in ICU cohorts [5]. Still, it may be a marker of shock/sepsis/multiorgan failure more than an isolated liver causal effect.</w:t>
      </w:r>
    </w:p>
    <w:p w14:paraId="2CF664A8" w14:textId="77777777" w:rsidR="00272E29" w:rsidRDefault="00000000">
      <w:pPr>
        <w:pStyle w:val="a0"/>
        <w:spacing w:after="80" w:line="252" w:lineRule="auto"/>
      </w:pPr>
      <w:r>
        <w:t>Shock (+2.2 pp) is clinically too small for true shock. MIMIC has vasopressors and fluids, but if the model adjusts for downstream severity, renal failure, metabolic derangement, or ventilation, the shock effect can be blocked by mediators.</w:t>
      </w:r>
    </w:p>
    <w:p w14:paraId="0380473F" w14:textId="77777777" w:rsidR="00272E29" w:rsidRDefault="00000000">
      <w:pPr>
        <w:pStyle w:val="1"/>
        <w:spacing w:after="80" w:line="252" w:lineRule="auto"/>
      </w:pPr>
      <w:r>
        <w:t>7. Why a clinically true effect can appear too small, too large, or negative</w:t>
      </w:r>
    </w:p>
    <w:p w14:paraId="6B39E791" w14:textId="77777777" w:rsidR="00272E29" w:rsidRDefault="00000000">
      <w:pPr>
        <w:pStyle w:val="a0"/>
        <w:spacing w:after="80" w:line="252" w:lineRule="auto"/>
      </w:pPr>
      <w:r>
        <w:t>Mediator over-adjustment: shock causes renal dysfunction, lactate/acidosis, ventilation, and global severity. Adjusting for these downstream states can make the direct shock CATE look near-zero even when the total effect is large.</w:t>
      </w:r>
    </w:p>
    <w:p w14:paraId="2775A1E9" w14:textId="77777777" w:rsidR="00272E29" w:rsidRDefault="00000000">
      <w:pPr>
        <w:pStyle w:val="a0"/>
        <w:spacing w:after="80" w:line="252" w:lineRule="auto"/>
      </w:pPr>
      <w:r>
        <w:t>Confounding by indication and treatment response: vasopressors, ventilation, dialysis, antibiotics, and measurement intensity are clinician responses to severity. Including them incorrectly can either inflate or suppress disease-state effects.</w:t>
      </w:r>
    </w:p>
    <w:p w14:paraId="66D1216A" w14:textId="77777777" w:rsidR="00272E29" w:rsidRDefault="00000000">
      <w:pPr>
        <w:pStyle w:val="a0"/>
        <w:spacing w:after="80" w:line="252" w:lineRule="auto"/>
      </w:pPr>
      <w:r>
        <w:t>Proxy-label noise: a broad tag such as 'Shock' based on transient hypotension or tachycardia will mix true shock with low-risk perioperative physiology; a hepatic tag based on bilirubin will capture more severe multi-organ illness.</w:t>
      </w:r>
    </w:p>
    <w:p w14:paraId="7FFBBB11" w14:textId="77777777" w:rsidR="00272E29" w:rsidRDefault="00000000">
      <w:pPr>
        <w:pStyle w:val="a0"/>
        <w:spacing w:after="80" w:line="252" w:lineRule="auto"/>
      </w:pPr>
      <w:r>
        <w:t>Selection/collider bias: the PhysioNet challenge excludes ICU stays under 48 hours, which can remove early deaths and rapid recoveries. That can distort shock and respiratory failure estimates.</w:t>
      </w:r>
    </w:p>
    <w:p w14:paraId="77447A07" w14:textId="77777777" w:rsidR="00272E29" w:rsidRDefault="00000000">
      <w:pPr>
        <w:pStyle w:val="a0"/>
        <w:spacing w:after="80" w:line="252" w:lineRule="auto"/>
      </w:pPr>
      <w:r>
        <w:t>Outcome coding ambiguity: the treated_outcome_positive_rate pattern should be checked before any publication-quality claim that mean_cate is a mortality-rate increase.</w:t>
      </w:r>
    </w:p>
    <w:p w14:paraId="4EDD2D8C" w14:textId="77777777" w:rsidR="00C519D6" w:rsidRDefault="00C519D6" w:rsidP="00C519D6">
      <w:pPr>
        <w:pStyle w:val="a0"/>
        <w:numPr>
          <w:ilvl w:val="0"/>
          <w:numId w:val="0"/>
        </w:numPr>
        <w:spacing w:after="80" w:line="252" w:lineRule="auto"/>
        <w:ind w:left="360"/>
      </w:pPr>
    </w:p>
    <w:p w14:paraId="190A4C51" w14:textId="77777777" w:rsidR="00272E29" w:rsidRDefault="00000000">
      <w:pPr>
        <w:pStyle w:val="1"/>
        <w:spacing w:after="80" w:line="252" w:lineRule="auto"/>
      </w:pPr>
      <w:r>
        <w:lastRenderedPageBreak/>
        <w:t>8. Recommended validation analyses</w:t>
      </w:r>
    </w:p>
    <w:p w14:paraId="3B1E76F3" w14:textId="77777777" w:rsidR="00272E29" w:rsidRDefault="00000000">
      <w:pPr>
        <w:pStyle w:val="a"/>
        <w:spacing w:after="80" w:line="252" w:lineRule="auto"/>
      </w:pPr>
      <w:r>
        <w:t>Audit outcome coding and verify that outcome_positive really means mortality in both CSV generation pipelines.</w:t>
      </w:r>
    </w:p>
    <w:p w14:paraId="1AC6129C" w14:textId="77777777" w:rsidR="00272E29" w:rsidRDefault="00000000">
      <w:pPr>
        <w:pStyle w:val="a"/>
        <w:spacing w:after="80" w:line="252" w:lineRule="auto"/>
      </w:pPr>
      <w:r>
        <w:t>Report mean_cate as an estimated effect of a latent-state proxy, not as the harm of a clinical treatment.</w:t>
      </w:r>
    </w:p>
    <w:p w14:paraId="3BC4A557" w14:textId="77777777" w:rsidR="00272E29" w:rsidRDefault="00000000">
      <w:pPr>
        <w:pStyle w:val="a"/>
        <w:spacing w:after="80" w:line="252" w:lineRule="auto"/>
      </w:pPr>
      <w:r>
        <w:t>Estimate total effects and direct effects separately. For shock, run models without downstream mediators such as Severity, Metab, RenalDysfunction, and RespFail in the adjustment set.</w:t>
      </w:r>
    </w:p>
    <w:p w14:paraId="0207DD11" w14:textId="77777777" w:rsidR="00272E29" w:rsidRDefault="00000000">
      <w:pPr>
        <w:pStyle w:val="a"/>
        <w:spacing w:after="80" w:line="252" w:lineRule="auto"/>
      </w:pPr>
      <w:r>
        <w:t>Stage renal dysfunction and hepatic dysfunction. For renal, compare mild AKI vs severe AKI/RRT-compatible labels. For hepatic, distinguish bilirubin-driven liver dysfunction from transaminase-only or albumin-only definitions.</w:t>
      </w:r>
    </w:p>
    <w:p w14:paraId="02B87C38" w14:textId="77777777" w:rsidR="00272E29" w:rsidRDefault="00000000">
      <w:pPr>
        <w:pStyle w:val="a"/>
        <w:spacing w:after="80" w:line="252" w:lineRule="auto"/>
      </w:pPr>
      <w:r>
        <w:t>Rebuild shock labels with dataset-specific rules: in MIMIC include vasopressors + lactate/hypotension; in PhysioNet acknowledge that lack of vasopressors limits true shock identification.</w:t>
      </w:r>
    </w:p>
    <w:p w14:paraId="7A8215CF" w14:textId="77777777" w:rsidR="00272E29" w:rsidRDefault="00000000">
      <w:pPr>
        <w:pStyle w:val="a"/>
        <w:spacing w:after="80" w:line="252" w:lineRule="auto"/>
      </w:pPr>
      <w:r>
        <w:t>Run sensitivity analyses using matched/stratified estimates, doubly robust methods, and negative-control tags. Shock and PhysioNet HemeFail should be the first stress tests.</w:t>
      </w:r>
    </w:p>
    <w:p w14:paraId="6B8B9024" w14:textId="77777777" w:rsidR="00272E29" w:rsidRDefault="00000000">
      <w:pPr>
        <w:pStyle w:val="a"/>
        <w:spacing w:after="80" w:line="252" w:lineRule="auto"/>
      </w:pPr>
      <w:r>
        <w:t>Present relative relationships as hypotheses. The strongest cross-dataset hypothesis is hepatic dysfunction &gt; inflammation in mortality impact; the strongest counterexample is shock, whose model estimate is inconsistent with ground truth.</w:t>
      </w:r>
    </w:p>
    <w:p w14:paraId="6425A7A4" w14:textId="77777777" w:rsidR="00272E29" w:rsidRDefault="00000000">
      <w:pPr>
        <w:pStyle w:val="1"/>
        <w:spacing w:after="80" w:line="252" w:lineRule="auto"/>
      </w:pPr>
      <w:r>
        <w:t>Bottom line</w:t>
      </w:r>
    </w:p>
    <w:p w14:paraId="139D3472" w14:textId="77777777" w:rsidR="00272E29" w:rsidRDefault="00000000">
      <w:pPr>
        <w:spacing w:after="80" w:line="252" w:lineRule="auto"/>
      </w:pPr>
      <w:r>
        <w:t>The CSVs mostly recover the expected clinical hierarchy that organ dysfunction and global severity increase mortality. Hepatic dysfunction, renal dysfunction, metabolic derangement, and coagulation dysfunction have credible medical support as high-risk states. However, the results should not be treated as fully validated causal mortality increments until outcome coding, mediator adjustment, and proxy-label definitions are audited. The strongest likely inaccuracies are the small/negative shock effect and the negative PhysioNet HemeFail effect.</w:t>
      </w:r>
    </w:p>
    <w:p w14:paraId="10F1A22E" w14:textId="77777777" w:rsidR="00272E29" w:rsidRDefault="00000000">
      <w:pPr>
        <w:pStyle w:val="1"/>
        <w:spacing w:after="80" w:line="252" w:lineRule="auto"/>
      </w:pPr>
      <w:r>
        <w:t>References</w:t>
      </w:r>
    </w:p>
    <w:p w14:paraId="20E76AFF" w14:textId="77777777" w:rsidR="00272E29" w:rsidRDefault="00000000">
      <w:pPr>
        <w:spacing w:after="80" w:line="252" w:lineRule="auto"/>
      </w:pPr>
      <w:r>
        <w:rPr>
          <w:sz w:val="16"/>
        </w:rPr>
        <w:t xml:space="preserve">[1] Singer M, Deutschman CS, Seymour CW, et al. The Third International Consensus Definitions for Sepsis and Septic Shock (Sepsis-3). JAMA. 2016. </w:t>
      </w:r>
      <w:hyperlink r:id="rId8">
        <w:r>
          <w:rPr>
            <w:color w:val="0563C1"/>
            <w:u w:val="single"/>
          </w:rPr>
          <w:t>https://jamanetwork.com/journals/jama/fullarticle/2492881</w:t>
        </w:r>
      </w:hyperlink>
    </w:p>
    <w:p w14:paraId="69007986" w14:textId="77777777" w:rsidR="00272E29" w:rsidRDefault="00000000">
      <w:pPr>
        <w:spacing w:after="80" w:line="252" w:lineRule="auto"/>
      </w:pPr>
      <w:r>
        <w:rPr>
          <w:sz w:val="16"/>
        </w:rPr>
        <w:t xml:space="preserve">[2] HHS ASPR TRACIE. SOFA Score: What it is and How to Use it in Triage. </w:t>
      </w:r>
      <w:hyperlink r:id="rId9">
        <w:r>
          <w:rPr>
            <w:color w:val="0563C1"/>
            <w:u w:val="single"/>
          </w:rPr>
          <w:t>https://files.asprtracie.hhs.gov/documents/aspr-tracie-sofa-score-fact-sheet.pdf</w:t>
        </w:r>
      </w:hyperlink>
    </w:p>
    <w:p w14:paraId="5242EF0F" w14:textId="77777777" w:rsidR="00272E29" w:rsidRDefault="00000000">
      <w:pPr>
        <w:spacing w:after="80" w:line="252" w:lineRule="auto"/>
      </w:pPr>
      <w:r>
        <w:rPr>
          <w:sz w:val="16"/>
        </w:rPr>
        <w:t xml:space="preserve">[3] Hoste EAJ, Bagshaw SM, Bellomo R, et al. Epidemiology of acute kidney injury in critically ill patients: the multinational AKI-EPI study. Intensive Care Medicine. 2015;41:1411-1423. </w:t>
      </w:r>
      <w:hyperlink r:id="rId10">
        <w:r>
          <w:rPr>
            <w:color w:val="0563C1"/>
            <w:u w:val="single"/>
          </w:rPr>
          <w:t>https://doi.org/10.1007/s00134-015-3934-7</w:t>
        </w:r>
      </w:hyperlink>
    </w:p>
    <w:p w14:paraId="6CD9E312" w14:textId="77777777" w:rsidR="00272E29" w:rsidRDefault="00000000">
      <w:pPr>
        <w:spacing w:after="80" w:line="252" w:lineRule="auto"/>
      </w:pPr>
      <w:r>
        <w:rPr>
          <w:sz w:val="16"/>
        </w:rPr>
        <w:t xml:space="preserve">[4] Wang D-H, Zhao J-C, Xi X-M, et al. Attributable mortality of acute kidney injury among critically ill patients with sepsis: a multicenter, retrospective cohort study. BMC Nephrology. 2024. </w:t>
      </w:r>
      <w:hyperlink r:id="rId11">
        <w:r>
          <w:rPr>
            <w:color w:val="0563C1"/>
            <w:u w:val="single"/>
          </w:rPr>
          <w:t>https://link.springer.com/article/10.1186/s12882-024-03551-9</w:t>
        </w:r>
      </w:hyperlink>
    </w:p>
    <w:p w14:paraId="7DE91475" w14:textId="77777777" w:rsidR="00272E29" w:rsidRDefault="00000000">
      <w:pPr>
        <w:spacing w:after="80" w:line="252" w:lineRule="auto"/>
      </w:pPr>
      <w:r>
        <w:rPr>
          <w:sz w:val="16"/>
        </w:rPr>
        <w:t xml:space="preserve">[5] Yang Z-X, et al. Serum Total Bilirubin Level Is Associated With Hospital Mortality Rate in Adult Critically Ill Patients. Frontiers in Medicine. 2021. </w:t>
      </w:r>
      <w:hyperlink r:id="rId12">
        <w:r>
          <w:rPr>
            <w:color w:val="0563C1"/>
            <w:u w:val="single"/>
          </w:rPr>
          <w:t>https://www.frontiersin.org/journals/medicine/articles/10.3389/fmed.2021.697027/full</w:t>
        </w:r>
      </w:hyperlink>
    </w:p>
    <w:p w14:paraId="71C2D47F" w14:textId="77777777" w:rsidR="00272E29" w:rsidRDefault="00000000">
      <w:pPr>
        <w:spacing w:after="80" w:line="252" w:lineRule="auto"/>
      </w:pPr>
      <w:r>
        <w:rPr>
          <w:sz w:val="16"/>
        </w:rPr>
        <w:t xml:space="preserve">[6] Horvatits T, et al. Circulating bile acids predict outcome in critically ill patients. Annals of Intensive Care. 2017. </w:t>
      </w:r>
      <w:hyperlink r:id="rId13">
        <w:r>
          <w:rPr>
            <w:color w:val="0563C1"/>
            <w:u w:val="single"/>
          </w:rPr>
          <w:t>https://link.springer.com/article/10.1186/s13613-017-0272-7</w:t>
        </w:r>
      </w:hyperlink>
    </w:p>
    <w:p w14:paraId="5A5F000D" w14:textId="77777777" w:rsidR="00272E29" w:rsidRDefault="00000000">
      <w:pPr>
        <w:spacing w:after="80" w:line="252" w:lineRule="auto"/>
      </w:pPr>
      <w:r>
        <w:rPr>
          <w:sz w:val="16"/>
        </w:rPr>
        <w:t xml:space="preserve">[7] Pierrakos C, et al. Increased mortality in critically ill patients with mild or moderate hyperbilirubinemia. Journal of Critical Care. 2017. </w:t>
      </w:r>
      <w:hyperlink r:id="rId14">
        <w:r>
          <w:rPr>
            <w:color w:val="0563C1"/>
            <w:u w:val="single"/>
          </w:rPr>
          <w:t>https://www.sciencedirect.com/science/article/abs/pii/S0883944116302994</w:t>
        </w:r>
      </w:hyperlink>
    </w:p>
    <w:p w14:paraId="0991CC91" w14:textId="77777777" w:rsidR="00272E29" w:rsidRDefault="00000000">
      <w:pPr>
        <w:spacing w:after="80" w:line="252" w:lineRule="auto"/>
      </w:pPr>
      <w:r>
        <w:rPr>
          <w:sz w:val="16"/>
        </w:rPr>
        <w:t xml:space="preserve">[8] ARDS Definition Task Force. Acute Respiratory Distress Syndrome: The Berlin Definition. JAMA. 2012. </w:t>
      </w:r>
      <w:hyperlink r:id="rId15">
        <w:r>
          <w:rPr>
            <w:color w:val="0563C1"/>
            <w:u w:val="single"/>
          </w:rPr>
          <w:t>https://jamanetwork.com/journals/jama/article-abstract/1160659</w:t>
        </w:r>
      </w:hyperlink>
    </w:p>
    <w:p w14:paraId="396181FC" w14:textId="77777777" w:rsidR="00272E29" w:rsidRDefault="00000000">
      <w:pPr>
        <w:spacing w:after="80" w:line="252" w:lineRule="auto"/>
      </w:pPr>
      <w:r>
        <w:rPr>
          <w:sz w:val="16"/>
        </w:rPr>
        <w:t xml:space="preserve">[9] van Beest PA, Brander L, Jansen SPA, et al. Cumulative lactate and hospital mortality in ICU patients. Annals of Intensive Care. 2013. </w:t>
      </w:r>
      <w:hyperlink r:id="rId16">
        <w:r>
          <w:rPr>
            <w:color w:val="0563C1"/>
            <w:u w:val="single"/>
          </w:rPr>
          <w:t>https://link.springer.com/article/10.1186/2110-5820-3-6</w:t>
        </w:r>
      </w:hyperlink>
    </w:p>
    <w:p w14:paraId="6CC479EF" w14:textId="77777777" w:rsidR="00272E29" w:rsidRDefault="00000000">
      <w:pPr>
        <w:spacing w:after="80" w:line="252" w:lineRule="auto"/>
      </w:pPr>
      <w:r>
        <w:rPr>
          <w:sz w:val="16"/>
        </w:rPr>
        <w:t xml:space="preserve">[10] Anthon CT, Pène F, Perner A, et al. Thrombocytopenia and platelet transfusions in ICU patients: an international inception cohort study (PLOT-ICU). Intensive Care Medicine. 2023;49:1327-1338. </w:t>
      </w:r>
      <w:hyperlink r:id="rId17">
        <w:r>
          <w:rPr>
            <w:color w:val="0563C1"/>
            <w:u w:val="single"/>
          </w:rPr>
          <w:t>https://doi.org/10.1007/s00134-023-07225-2</w:t>
        </w:r>
      </w:hyperlink>
    </w:p>
    <w:p w14:paraId="4886BA6A" w14:textId="77777777" w:rsidR="00272E29" w:rsidRDefault="00000000">
      <w:pPr>
        <w:spacing w:after="80" w:line="252" w:lineRule="auto"/>
      </w:pPr>
      <w:r>
        <w:rPr>
          <w:sz w:val="16"/>
        </w:rPr>
        <w:t xml:space="preserve">[11] Knox DB, Lanspa MJ, Kuttler KG, Brewer SC, Brown SM. Glasgow Coma Scale score dominates the association between admission SOFA score and 30-day mortality in a mixed ICU population. Journal of Critical Care. 2014. </w:t>
      </w:r>
      <w:hyperlink r:id="rId18">
        <w:r>
          <w:rPr>
            <w:color w:val="0563C1"/>
            <w:u w:val="single"/>
          </w:rPr>
          <w:t>https://www.sciencedirect.com/science/article/abs/pii/S088394411400210X</w:t>
        </w:r>
      </w:hyperlink>
    </w:p>
    <w:p w14:paraId="73AA4042" w14:textId="77777777" w:rsidR="00272E29" w:rsidRDefault="00000000">
      <w:pPr>
        <w:spacing w:after="80" w:line="252" w:lineRule="auto"/>
      </w:pPr>
      <w:r>
        <w:rPr>
          <w:sz w:val="16"/>
        </w:rPr>
        <w:t xml:space="preserve">[12] LITFL Critical Care Compendium. APACHE versus SOFA scoring systems; ARDS definitions. Used as clinician-education context, not primary proof. </w:t>
      </w:r>
      <w:hyperlink r:id="rId19">
        <w:r>
          <w:rPr>
            <w:color w:val="0563C1"/>
            <w:u w:val="single"/>
          </w:rPr>
          <w:t>https://litfl.com/apache-versus-sofa-scoring-systems/</w:t>
        </w:r>
      </w:hyperlink>
    </w:p>
    <w:p w14:paraId="65701651" w14:textId="77777777" w:rsidR="00272E29" w:rsidRDefault="00000000">
      <w:pPr>
        <w:spacing w:after="80" w:line="252" w:lineRule="auto"/>
      </w:pPr>
      <w:r>
        <w:rPr>
          <w:sz w:val="16"/>
        </w:rPr>
        <w:t xml:space="preserve">[13] EMCrit Internet Book of Critical Care. Shock and sepsis chapters. Used as clinician-community context, not primary proof. </w:t>
      </w:r>
      <w:hyperlink r:id="rId20">
        <w:r>
          <w:rPr>
            <w:color w:val="0563C1"/>
            <w:u w:val="single"/>
          </w:rPr>
          <w:t>https://emcrit.org/ibcc/shock/</w:t>
        </w:r>
      </w:hyperlink>
    </w:p>
    <w:p w14:paraId="18150276" w14:textId="77777777" w:rsidR="00272E29" w:rsidRDefault="00000000">
      <w:pPr>
        <w:pStyle w:val="1"/>
        <w:spacing w:after="80" w:line="252" w:lineRule="auto"/>
      </w:pPr>
      <w:r>
        <w:t>Internal project files used</w:t>
      </w:r>
    </w:p>
    <w:p w14:paraId="790C24F5" w14:textId="77777777" w:rsidR="00272E29" w:rsidRDefault="00000000">
      <w:pPr>
        <w:spacing w:after="80" w:line="252" w:lineRule="auto"/>
      </w:pPr>
      <w:r>
        <w:rPr>
          <w:sz w:val="16"/>
        </w:rPr>
        <w:t>physionet_manager_global_summary.csv: CausalForest latent/exposure summaries for PhysioNet 2012.</w:t>
      </w:r>
    </w:p>
    <w:p w14:paraId="61F2BEC4" w14:textId="77777777" w:rsidR="00272E29" w:rsidRDefault="00000000">
      <w:pPr>
        <w:spacing w:after="80" w:line="252" w:lineRule="auto"/>
      </w:pPr>
      <w:r>
        <w:rPr>
          <w:sz w:val="16"/>
        </w:rPr>
        <w:t>mimic_manager_global_summary.csv: CausalForest latent/exposure summaries for MIMIC.</w:t>
      </w:r>
    </w:p>
    <w:sectPr w:rsidR="00272E29"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86758020">
    <w:abstractNumId w:val="8"/>
  </w:num>
  <w:num w:numId="2" w16cid:durableId="183137290">
    <w:abstractNumId w:val="6"/>
  </w:num>
  <w:num w:numId="3" w16cid:durableId="273365581">
    <w:abstractNumId w:val="5"/>
  </w:num>
  <w:num w:numId="4" w16cid:durableId="178590795">
    <w:abstractNumId w:val="4"/>
  </w:num>
  <w:num w:numId="5" w16cid:durableId="615984800">
    <w:abstractNumId w:val="7"/>
  </w:num>
  <w:num w:numId="6" w16cid:durableId="1313750323">
    <w:abstractNumId w:val="3"/>
  </w:num>
  <w:num w:numId="7" w16cid:durableId="32582808">
    <w:abstractNumId w:val="2"/>
  </w:num>
  <w:num w:numId="8" w16cid:durableId="1590263703">
    <w:abstractNumId w:val="1"/>
  </w:num>
  <w:num w:numId="9" w16cid:durableId="873616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E29"/>
    <w:rsid w:val="0029639D"/>
    <w:rsid w:val="00326F90"/>
    <w:rsid w:val="00667804"/>
    <w:rsid w:val="00AA1D8D"/>
    <w:rsid w:val="00B47730"/>
    <w:rsid w:val="00C519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A3D00"/>
  <w14:defaultImageDpi w14:val="300"/>
  <w15:docId w15:val="{30CFB95A-736C-4270-8D22-6E397FE6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anetwork.com/journals/jama/fullarticle/2492881" TargetMode="External"/><Relationship Id="rId13" Type="http://schemas.openxmlformats.org/officeDocument/2006/relationships/hyperlink" Target="https://link.springer.com/article/10.1186/s13613-017-0272-7" TargetMode="External"/><Relationship Id="rId18" Type="http://schemas.openxmlformats.org/officeDocument/2006/relationships/hyperlink" Target="https://www.sciencedirect.com/science/article/abs/pii/S088394411400210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frontiersin.org/journals/medicine/articles/10.3389/fmed.2021.697027/full" TargetMode="External"/><Relationship Id="rId17" Type="http://schemas.openxmlformats.org/officeDocument/2006/relationships/hyperlink" Target="https://doi.org/10.1007/s00134-023-07225-2" TargetMode="External"/><Relationship Id="rId2" Type="http://schemas.openxmlformats.org/officeDocument/2006/relationships/numbering" Target="numbering.xml"/><Relationship Id="rId16" Type="http://schemas.openxmlformats.org/officeDocument/2006/relationships/hyperlink" Target="https://link.springer.com/article/10.1186/2110-5820-3-6" TargetMode="External"/><Relationship Id="rId20" Type="http://schemas.openxmlformats.org/officeDocument/2006/relationships/hyperlink" Target="https://emcrit.org/ibcc/shoc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ink.springer.com/article/10.1186/s12882-024-03551-9" TargetMode="External"/><Relationship Id="rId5" Type="http://schemas.openxmlformats.org/officeDocument/2006/relationships/webSettings" Target="webSettings.xml"/><Relationship Id="rId15" Type="http://schemas.openxmlformats.org/officeDocument/2006/relationships/hyperlink" Target="https://jamanetwork.com/journals/jama/article-abstract/1160659" TargetMode="External"/><Relationship Id="rId10" Type="http://schemas.openxmlformats.org/officeDocument/2006/relationships/hyperlink" Target="https://doi.org/10.1007/s00134-015-3934-7" TargetMode="External"/><Relationship Id="rId19" Type="http://schemas.openxmlformats.org/officeDocument/2006/relationships/hyperlink" Target="https://litfl.com/apache-versus-sofa-scoring-systems/" TargetMode="External"/><Relationship Id="rId4" Type="http://schemas.openxmlformats.org/officeDocument/2006/relationships/settings" Target="settings.xml"/><Relationship Id="rId9" Type="http://schemas.openxmlformats.org/officeDocument/2006/relationships/hyperlink" Target="https://files.asprtracie.hhs.gov/documents/aspr-tracie-sofa-score-fact-sheet.pdf" TargetMode="External"/><Relationship Id="rId14" Type="http://schemas.openxmlformats.org/officeDocument/2006/relationships/hyperlink" Target="https://www.sciencedirect.com/science/article/abs/pii/S088394411630299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2491</Words>
  <Characters>16546</Characters>
  <Application>Microsoft Office Word</Application>
  <DocSecurity>0</DocSecurity>
  <Lines>570</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קובי קנזי</cp:lastModifiedBy>
  <cp:revision>3</cp:revision>
  <dcterms:created xsi:type="dcterms:W3CDTF">2013-12-23T23:15:00Z</dcterms:created>
  <dcterms:modified xsi:type="dcterms:W3CDTF">2026-05-02T13:04:00Z</dcterms:modified>
  <cp:category/>
</cp:coreProperties>
</file>