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96657" w:rsidRPr="004120DD" w:rsidRDefault="00F96657" w:rsidP="009A6D10">
      <w:pPr>
        <w:jc w:val="center"/>
        <w:rPr>
          <w:b/>
        </w:rPr>
      </w:pPr>
      <w:bookmarkStart w:id="0" w:name="_GoBack"/>
      <w:r w:rsidRPr="004120DD">
        <w:rPr>
          <w:b/>
        </w:rPr>
        <w:t xml:space="preserve">APPLICABLE CASE LAW AND ANALYSIS REGARDING </w:t>
      </w:r>
      <w:r w:rsidRPr="004120DD">
        <w:rPr>
          <w:b/>
        </w:rPr>
        <w:br/>
        <w:t>PATENT VALIDITY AND INFRINGEMENT ISSUES</w:t>
      </w:r>
    </w:p>
    <w:p w:rsidR="00F96657" w:rsidRPr="004120DD" w:rsidRDefault="00F96657" w:rsidP="004F4665"/>
    <w:p w:rsidR="00F96657" w:rsidRDefault="00F96657">
      <w:pPr>
        <w:pStyle w:val="TOC1"/>
        <w:tabs>
          <w:tab w:val="left" w:pos="720"/>
        </w:tabs>
        <w:rPr>
          <w:noProof/>
          <w:szCs w:val="24"/>
        </w:rPr>
      </w:pPr>
      <w:r w:rsidRPr="004120DD">
        <w:rPr>
          <w:b/>
        </w:rPr>
        <w:fldChar w:fldCharType="begin"/>
      </w:r>
      <w:r w:rsidRPr="004120DD">
        <w:rPr>
          <w:b/>
        </w:rPr>
        <w:instrText xml:space="preserve"> TOC \o "1-3" \h \z \u </w:instrText>
      </w:r>
      <w:r w:rsidRPr="004120DD">
        <w:rPr>
          <w:b/>
        </w:rPr>
        <w:fldChar w:fldCharType="separate"/>
      </w:r>
      <w:hyperlink w:anchor="_Toc290548375" w:history="1">
        <w:r w:rsidRPr="006633B6">
          <w:rPr>
            <w:rStyle w:val="Hyperlink"/>
            <w:noProof/>
          </w:rPr>
          <w:t>A.</w:t>
        </w:r>
        <w:r>
          <w:rPr>
            <w:noProof/>
            <w:szCs w:val="24"/>
          </w:rPr>
          <w:tab/>
        </w:r>
        <w:r w:rsidRPr="006633B6">
          <w:rPr>
            <w:rStyle w:val="Hyperlink"/>
            <w:noProof/>
          </w:rPr>
          <w:t>Claim Interpretation</w:t>
        </w:r>
        <w:r>
          <w:rPr>
            <w:noProof/>
            <w:webHidden/>
          </w:rPr>
          <w:tab/>
        </w:r>
        <w:r>
          <w:rPr>
            <w:noProof/>
            <w:webHidden/>
          </w:rPr>
          <w:fldChar w:fldCharType="begin"/>
        </w:r>
        <w:r>
          <w:rPr>
            <w:noProof/>
            <w:webHidden/>
          </w:rPr>
          <w:instrText xml:space="preserve"> PAGEREF _Toc290548375 \h </w:instrText>
        </w:r>
        <w:r>
          <w:rPr>
            <w:noProof/>
            <w:webHidden/>
          </w:rPr>
        </w:r>
        <w:r>
          <w:rPr>
            <w:noProof/>
            <w:webHidden/>
          </w:rPr>
          <w:fldChar w:fldCharType="separate"/>
        </w:r>
        <w:r w:rsidR="00655486">
          <w:rPr>
            <w:noProof/>
            <w:webHidden/>
          </w:rPr>
          <w:t>2</w:t>
        </w:r>
        <w:r>
          <w:rPr>
            <w:noProof/>
            <w:webHidden/>
          </w:rPr>
          <w:fldChar w:fldCharType="end"/>
        </w:r>
      </w:hyperlink>
    </w:p>
    <w:p w:rsidR="00F96657" w:rsidRDefault="00CE5829">
      <w:pPr>
        <w:pStyle w:val="TOC2"/>
        <w:rPr>
          <w:noProof/>
          <w:szCs w:val="24"/>
        </w:rPr>
      </w:pPr>
      <w:hyperlink w:anchor="_Toc290548376" w:history="1">
        <w:r w:rsidR="00F96657" w:rsidRPr="006633B6">
          <w:rPr>
            <w:rStyle w:val="Hyperlink"/>
            <w:noProof/>
          </w:rPr>
          <w:t>1.</w:t>
        </w:r>
        <w:r w:rsidR="00F96657">
          <w:rPr>
            <w:noProof/>
            <w:szCs w:val="24"/>
          </w:rPr>
          <w:tab/>
        </w:r>
        <w:r w:rsidR="00F96657" w:rsidRPr="006633B6">
          <w:rPr>
            <w:rStyle w:val="Hyperlink"/>
            <w:noProof/>
          </w:rPr>
          <w:t>Intrinsic and Extrinsic Evidence</w:t>
        </w:r>
        <w:r w:rsidR="00F96657">
          <w:rPr>
            <w:noProof/>
            <w:webHidden/>
          </w:rPr>
          <w:tab/>
        </w:r>
        <w:r w:rsidR="00F96657">
          <w:rPr>
            <w:noProof/>
            <w:webHidden/>
          </w:rPr>
          <w:fldChar w:fldCharType="begin"/>
        </w:r>
        <w:r w:rsidR="00F96657">
          <w:rPr>
            <w:noProof/>
            <w:webHidden/>
          </w:rPr>
          <w:instrText xml:space="preserve"> PAGEREF _Toc290548376 \h </w:instrText>
        </w:r>
        <w:r w:rsidR="00F96657">
          <w:rPr>
            <w:noProof/>
            <w:webHidden/>
          </w:rPr>
        </w:r>
        <w:r w:rsidR="00F96657">
          <w:rPr>
            <w:noProof/>
            <w:webHidden/>
          </w:rPr>
          <w:fldChar w:fldCharType="separate"/>
        </w:r>
        <w:r w:rsidR="00655486">
          <w:rPr>
            <w:noProof/>
            <w:webHidden/>
          </w:rPr>
          <w:t>2</w:t>
        </w:r>
        <w:r w:rsidR="00F96657">
          <w:rPr>
            <w:noProof/>
            <w:webHidden/>
          </w:rPr>
          <w:fldChar w:fldCharType="end"/>
        </w:r>
      </w:hyperlink>
    </w:p>
    <w:p w:rsidR="00F96657" w:rsidRDefault="00CE5829">
      <w:pPr>
        <w:pStyle w:val="TOC2"/>
        <w:rPr>
          <w:noProof/>
          <w:szCs w:val="24"/>
        </w:rPr>
      </w:pPr>
      <w:hyperlink w:anchor="_Toc290548377" w:history="1">
        <w:r w:rsidR="00F96657" w:rsidRPr="006633B6">
          <w:rPr>
            <w:rStyle w:val="Hyperlink"/>
            <w:noProof/>
          </w:rPr>
          <w:t>2.</w:t>
        </w:r>
        <w:r w:rsidR="00F96657">
          <w:rPr>
            <w:noProof/>
            <w:szCs w:val="24"/>
          </w:rPr>
          <w:tab/>
        </w:r>
        <w:r w:rsidR="00F96657" w:rsidRPr="006633B6">
          <w:rPr>
            <w:rStyle w:val="Hyperlink"/>
            <w:noProof/>
          </w:rPr>
          <w:t>Means-Plus-Function Claims</w:t>
        </w:r>
        <w:r w:rsidR="00F96657">
          <w:rPr>
            <w:noProof/>
            <w:webHidden/>
          </w:rPr>
          <w:tab/>
        </w:r>
        <w:r w:rsidR="00F96657">
          <w:rPr>
            <w:noProof/>
            <w:webHidden/>
          </w:rPr>
          <w:fldChar w:fldCharType="begin"/>
        </w:r>
        <w:r w:rsidR="00F96657">
          <w:rPr>
            <w:noProof/>
            <w:webHidden/>
          </w:rPr>
          <w:instrText xml:space="preserve"> PAGEREF _Toc290548377 \h </w:instrText>
        </w:r>
        <w:r w:rsidR="00F96657">
          <w:rPr>
            <w:noProof/>
            <w:webHidden/>
          </w:rPr>
        </w:r>
        <w:r w:rsidR="00F96657">
          <w:rPr>
            <w:noProof/>
            <w:webHidden/>
          </w:rPr>
          <w:fldChar w:fldCharType="separate"/>
        </w:r>
        <w:r w:rsidR="00655486">
          <w:rPr>
            <w:noProof/>
            <w:webHidden/>
          </w:rPr>
          <w:t>3</w:t>
        </w:r>
        <w:r w:rsidR="00F96657">
          <w:rPr>
            <w:noProof/>
            <w:webHidden/>
          </w:rPr>
          <w:fldChar w:fldCharType="end"/>
        </w:r>
      </w:hyperlink>
    </w:p>
    <w:p w:rsidR="00F96657" w:rsidRDefault="00CE5829">
      <w:pPr>
        <w:pStyle w:val="TOC2"/>
        <w:rPr>
          <w:noProof/>
          <w:szCs w:val="24"/>
        </w:rPr>
      </w:pPr>
      <w:hyperlink w:anchor="_Toc290548378" w:history="1">
        <w:r w:rsidR="00F96657" w:rsidRPr="006633B6">
          <w:rPr>
            <w:rStyle w:val="Hyperlink"/>
            <w:noProof/>
          </w:rPr>
          <w:t>3.</w:t>
        </w:r>
        <w:r w:rsidR="00F96657">
          <w:rPr>
            <w:noProof/>
            <w:szCs w:val="24"/>
          </w:rPr>
          <w:tab/>
        </w:r>
        <w:r w:rsidR="00F96657" w:rsidRPr="006633B6">
          <w:rPr>
            <w:rStyle w:val="Hyperlink"/>
            <w:noProof/>
          </w:rPr>
          <w:t>Prosecution History Estoppel</w:t>
        </w:r>
        <w:r w:rsidR="00F96657">
          <w:rPr>
            <w:noProof/>
            <w:webHidden/>
          </w:rPr>
          <w:tab/>
        </w:r>
        <w:r w:rsidR="00F96657">
          <w:rPr>
            <w:noProof/>
            <w:webHidden/>
          </w:rPr>
          <w:fldChar w:fldCharType="begin"/>
        </w:r>
        <w:r w:rsidR="00F96657">
          <w:rPr>
            <w:noProof/>
            <w:webHidden/>
          </w:rPr>
          <w:instrText xml:space="preserve"> PAGEREF _Toc290548378 \h </w:instrText>
        </w:r>
        <w:r w:rsidR="00F96657">
          <w:rPr>
            <w:noProof/>
            <w:webHidden/>
          </w:rPr>
        </w:r>
        <w:r w:rsidR="00F96657">
          <w:rPr>
            <w:noProof/>
            <w:webHidden/>
          </w:rPr>
          <w:fldChar w:fldCharType="separate"/>
        </w:r>
        <w:r w:rsidR="00655486">
          <w:rPr>
            <w:noProof/>
            <w:webHidden/>
          </w:rPr>
          <w:t>4</w:t>
        </w:r>
        <w:r w:rsidR="00F96657">
          <w:rPr>
            <w:noProof/>
            <w:webHidden/>
          </w:rPr>
          <w:fldChar w:fldCharType="end"/>
        </w:r>
      </w:hyperlink>
    </w:p>
    <w:p w:rsidR="00F96657" w:rsidRDefault="00CE5829">
      <w:pPr>
        <w:pStyle w:val="TOC1"/>
        <w:tabs>
          <w:tab w:val="left" w:pos="720"/>
        </w:tabs>
        <w:rPr>
          <w:noProof/>
          <w:szCs w:val="24"/>
        </w:rPr>
      </w:pPr>
      <w:hyperlink w:anchor="_Toc290548379" w:history="1">
        <w:r w:rsidR="00F96657" w:rsidRPr="006633B6">
          <w:rPr>
            <w:rStyle w:val="Hyperlink"/>
            <w:noProof/>
          </w:rPr>
          <w:t>B.</w:t>
        </w:r>
        <w:r w:rsidR="00F96657">
          <w:rPr>
            <w:noProof/>
            <w:szCs w:val="24"/>
          </w:rPr>
          <w:tab/>
        </w:r>
        <w:r w:rsidR="00F96657" w:rsidRPr="006633B6">
          <w:rPr>
            <w:rStyle w:val="Hyperlink"/>
            <w:noProof/>
          </w:rPr>
          <w:t>Invalidity</w:t>
        </w:r>
        <w:r w:rsidR="00F96657">
          <w:rPr>
            <w:noProof/>
            <w:webHidden/>
          </w:rPr>
          <w:tab/>
        </w:r>
        <w:r w:rsidR="00F96657">
          <w:rPr>
            <w:noProof/>
            <w:webHidden/>
          </w:rPr>
          <w:fldChar w:fldCharType="begin"/>
        </w:r>
        <w:r w:rsidR="00F96657">
          <w:rPr>
            <w:noProof/>
            <w:webHidden/>
          </w:rPr>
          <w:instrText xml:space="preserve"> PAGEREF _Toc290548379 \h </w:instrText>
        </w:r>
        <w:r w:rsidR="00F96657">
          <w:rPr>
            <w:noProof/>
            <w:webHidden/>
          </w:rPr>
        </w:r>
        <w:r w:rsidR="00F96657">
          <w:rPr>
            <w:noProof/>
            <w:webHidden/>
          </w:rPr>
          <w:fldChar w:fldCharType="separate"/>
        </w:r>
        <w:r w:rsidR="00655486">
          <w:rPr>
            <w:noProof/>
            <w:webHidden/>
          </w:rPr>
          <w:t>5</w:t>
        </w:r>
        <w:r w:rsidR="00F96657">
          <w:rPr>
            <w:noProof/>
            <w:webHidden/>
          </w:rPr>
          <w:fldChar w:fldCharType="end"/>
        </w:r>
      </w:hyperlink>
    </w:p>
    <w:p w:rsidR="00F96657" w:rsidRDefault="00CE5829">
      <w:pPr>
        <w:pStyle w:val="TOC2"/>
        <w:rPr>
          <w:noProof/>
          <w:szCs w:val="24"/>
        </w:rPr>
      </w:pPr>
      <w:hyperlink w:anchor="_Toc290548380" w:history="1">
        <w:r w:rsidR="00F96657" w:rsidRPr="006633B6">
          <w:rPr>
            <w:rStyle w:val="Hyperlink"/>
            <w:noProof/>
          </w:rPr>
          <w:t>1.</w:t>
        </w:r>
        <w:r w:rsidR="00F96657">
          <w:rPr>
            <w:noProof/>
            <w:szCs w:val="24"/>
          </w:rPr>
          <w:tab/>
        </w:r>
        <w:r w:rsidR="00F96657" w:rsidRPr="006633B6">
          <w:rPr>
            <w:rStyle w:val="Hyperlink"/>
            <w:noProof/>
          </w:rPr>
          <w:t>Indefiniteness</w:t>
        </w:r>
        <w:r w:rsidR="00F96657">
          <w:rPr>
            <w:noProof/>
            <w:webHidden/>
          </w:rPr>
          <w:tab/>
        </w:r>
        <w:r w:rsidR="00F96657">
          <w:rPr>
            <w:noProof/>
            <w:webHidden/>
          </w:rPr>
          <w:fldChar w:fldCharType="begin"/>
        </w:r>
        <w:r w:rsidR="00F96657">
          <w:rPr>
            <w:noProof/>
            <w:webHidden/>
          </w:rPr>
          <w:instrText xml:space="preserve"> PAGEREF _Toc290548380 \h </w:instrText>
        </w:r>
        <w:r w:rsidR="00F96657">
          <w:rPr>
            <w:noProof/>
            <w:webHidden/>
          </w:rPr>
        </w:r>
        <w:r w:rsidR="00F96657">
          <w:rPr>
            <w:noProof/>
            <w:webHidden/>
          </w:rPr>
          <w:fldChar w:fldCharType="separate"/>
        </w:r>
        <w:r w:rsidR="00655486">
          <w:rPr>
            <w:noProof/>
            <w:webHidden/>
          </w:rPr>
          <w:t>5</w:t>
        </w:r>
        <w:r w:rsidR="00F96657">
          <w:rPr>
            <w:noProof/>
            <w:webHidden/>
          </w:rPr>
          <w:fldChar w:fldCharType="end"/>
        </w:r>
      </w:hyperlink>
    </w:p>
    <w:p w:rsidR="00F96657" w:rsidRDefault="00CE5829">
      <w:pPr>
        <w:pStyle w:val="TOC2"/>
        <w:rPr>
          <w:noProof/>
          <w:szCs w:val="24"/>
        </w:rPr>
      </w:pPr>
      <w:hyperlink w:anchor="_Toc290548381" w:history="1">
        <w:r w:rsidR="00F96657" w:rsidRPr="006633B6">
          <w:rPr>
            <w:rStyle w:val="Hyperlink"/>
            <w:noProof/>
          </w:rPr>
          <w:t>2.</w:t>
        </w:r>
        <w:r w:rsidR="00F96657">
          <w:rPr>
            <w:noProof/>
            <w:szCs w:val="24"/>
          </w:rPr>
          <w:tab/>
        </w:r>
        <w:r w:rsidR="00F96657" w:rsidRPr="006633B6">
          <w:rPr>
            <w:rStyle w:val="Hyperlink"/>
            <w:noProof/>
          </w:rPr>
          <w:t>Written Description</w:t>
        </w:r>
        <w:r w:rsidR="00F96657">
          <w:rPr>
            <w:noProof/>
            <w:webHidden/>
          </w:rPr>
          <w:tab/>
        </w:r>
        <w:r w:rsidR="00F96657">
          <w:rPr>
            <w:noProof/>
            <w:webHidden/>
          </w:rPr>
          <w:fldChar w:fldCharType="begin"/>
        </w:r>
        <w:r w:rsidR="00F96657">
          <w:rPr>
            <w:noProof/>
            <w:webHidden/>
          </w:rPr>
          <w:instrText xml:space="preserve"> PAGEREF _Toc290548381 \h </w:instrText>
        </w:r>
        <w:r w:rsidR="00F96657">
          <w:rPr>
            <w:noProof/>
            <w:webHidden/>
          </w:rPr>
        </w:r>
        <w:r w:rsidR="00F96657">
          <w:rPr>
            <w:noProof/>
            <w:webHidden/>
          </w:rPr>
          <w:fldChar w:fldCharType="separate"/>
        </w:r>
        <w:r w:rsidR="00655486">
          <w:rPr>
            <w:noProof/>
            <w:webHidden/>
          </w:rPr>
          <w:t>7</w:t>
        </w:r>
        <w:r w:rsidR="00F96657">
          <w:rPr>
            <w:noProof/>
            <w:webHidden/>
          </w:rPr>
          <w:fldChar w:fldCharType="end"/>
        </w:r>
      </w:hyperlink>
    </w:p>
    <w:p w:rsidR="00F96657" w:rsidRDefault="00CE5829">
      <w:pPr>
        <w:pStyle w:val="TOC2"/>
        <w:rPr>
          <w:noProof/>
          <w:szCs w:val="24"/>
        </w:rPr>
      </w:pPr>
      <w:hyperlink w:anchor="_Toc290548382" w:history="1">
        <w:r w:rsidR="00F96657" w:rsidRPr="006633B6">
          <w:rPr>
            <w:rStyle w:val="Hyperlink"/>
            <w:noProof/>
          </w:rPr>
          <w:t>3.</w:t>
        </w:r>
        <w:r w:rsidR="00F96657">
          <w:rPr>
            <w:noProof/>
            <w:szCs w:val="24"/>
          </w:rPr>
          <w:tab/>
        </w:r>
        <w:r w:rsidR="00F96657" w:rsidRPr="006633B6">
          <w:rPr>
            <w:rStyle w:val="Hyperlink"/>
            <w:noProof/>
          </w:rPr>
          <w:t>Enablement</w:t>
        </w:r>
        <w:r w:rsidR="00F96657">
          <w:rPr>
            <w:noProof/>
            <w:webHidden/>
          </w:rPr>
          <w:tab/>
        </w:r>
        <w:r w:rsidR="00F96657">
          <w:rPr>
            <w:noProof/>
            <w:webHidden/>
          </w:rPr>
          <w:fldChar w:fldCharType="begin"/>
        </w:r>
        <w:r w:rsidR="00F96657">
          <w:rPr>
            <w:noProof/>
            <w:webHidden/>
          </w:rPr>
          <w:instrText xml:space="preserve"> PAGEREF _Toc290548382 \h </w:instrText>
        </w:r>
        <w:r w:rsidR="00F96657">
          <w:rPr>
            <w:noProof/>
            <w:webHidden/>
          </w:rPr>
        </w:r>
        <w:r w:rsidR="00F96657">
          <w:rPr>
            <w:noProof/>
            <w:webHidden/>
          </w:rPr>
          <w:fldChar w:fldCharType="separate"/>
        </w:r>
        <w:r w:rsidR="00655486">
          <w:rPr>
            <w:noProof/>
            <w:webHidden/>
          </w:rPr>
          <w:t>8</w:t>
        </w:r>
        <w:r w:rsidR="00F96657">
          <w:rPr>
            <w:noProof/>
            <w:webHidden/>
          </w:rPr>
          <w:fldChar w:fldCharType="end"/>
        </w:r>
      </w:hyperlink>
    </w:p>
    <w:p w:rsidR="00F96657" w:rsidRDefault="00CE5829">
      <w:pPr>
        <w:pStyle w:val="TOC2"/>
        <w:rPr>
          <w:noProof/>
          <w:szCs w:val="24"/>
        </w:rPr>
      </w:pPr>
      <w:hyperlink w:anchor="_Toc290548383" w:history="1">
        <w:r w:rsidR="00F96657" w:rsidRPr="006633B6">
          <w:rPr>
            <w:rStyle w:val="Hyperlink"/>
            <w:noProof/>
          </w:rPr>
          <w:t>4.</w:t>
        </w:r>
        <w:r w:rsidR="00F96657">
          <w:rPr>
            <w:noProof/>
            <w:szCs w:val="24"/>
          </w:rPr>
          <w:tab/>
        </w:r>
        <w:r w:rsidR="00F96657" w:rsidRPr="006633B6">
          <w:rPr>
            <w:rStyle w:val="Hyperlink"/>
            <w:noProof/>
          </w:rPr>
          <w:t>Best Mode</w:t>
        </w:r>
        <w:r w:rsidR="00F96657">
          <w:rPr>
            <w:noProof/>
            <w:webHidden/>
          </w:rPr>
          <w:tab/>
        </w:r>
        <w:r w:rsidR="00F96657">
          <w:rPr>
            <w:noProof/>
            <w:webHidden/>
          </w:rPr>
          <w:fldChar w:fldCharType="begin"/>
        </w:r>
        <w:r w:rsidR="00F96657">
          <w:rPr>
            <w:noProof/>
            <w:webHidden/>
          </w:rPr>
          <w:instrText xml:space="preserve"> PAGEREF _Toc290548383 \h </w:instrText>
        </w:r>
        <w:r w:rsidR="00F96657">
          <w:rPr>
            <w:noProof/>
            <w:webHidden/>
          </w:rPr>
        </w:r>
        <w:r w:rsidR="00F96657">
          <w:rPr>
            <w:noProof/>
            <w:webHidden/>
          </w:rPr>
          <w:fldChar w:fldCharType="separate"/>
        </w:r>
        <w:r w:rsidR="00655486">
          <w:rPr>
            <w:noProof/>
            <w:webHidden/>
          </w:rPr>
          <w:t>9</w:t>
        </w:r>
        <w:r w:rsidR="00F96657">
          <w:rPr>
            <w:noProof/>
            <w:webHidden/>
          </w:rPr>
          <w:fldChar w:fldCharType="end"/>
        </w:r>
      </w:hyperlink>
    </w:p>
    <w:p w:rsidR="00F96657" w:rsidRDefault="00CE5829">
      <w:pPr>
        <w:pStyle w:val="TOC2"/>
        <w:rPr>
          <w:noProof/>
          <w:szCs w:val="24"/>
        </w:rPr>
      </w:pPr>
      <w:hyperlink w:anchor="_Toc290548384" w:history="1">
        <w:r w:rsidR="00F96657" w:rsidRPr="006633B6">
          <w:rPr>
            <w:rStyle w:val="Hyperlink"/>
            <w:noProof/>
          </w:rPr>
          <w:t>5.</w:t>
        </w:r>
        <w:r w:rsidR="00F96657">
          <w:rPr>
            <w:noProof/>
            <w:szCs w:val="24"/>
          </w:rPr>
          <w:tab/>
        </w:r>
        <w:r w:rsidR="00F96657" w:rsidRPr="006633B6">
          <w:rPr>
            <w:rStyle w:val="Hyperlink"/>
            <w:noProof/>
          </w:rPr>
          <w:t>Prior Art</w:t>
        </w:r>
        <w:r w:rsidR="00F96657">
          <w:rPr>
            <w:noProof/>
            <w:webHidden/>
          </w:rPr>
          <w:tab/>
        </w:r>
        <w:r w:rsidR="00F96657">
          <w:rPr>
            <w:noProof/>
            <w:webHidden/>
          </w:rPr>
          <w:fldChar w:fldCharType="begin"/>
        </w:r>
        <w:r w:rsidR="00F96657">
          <w:rPr>
            <w:noProof/>
            <w:webHidden/>
          </w:rPr>
          <w:instrText xml:space="preserve"> PAGEREF _Toc290548384 \h </w:instrText>
        </w:r>
        <w:r w:rsidR="00F96657">
          <w:rPr>
            <w:noProof/>
            <w:webHidden/>
          </w:rPr>
        </w:r>
        <w:r w:rsidR="00F96657">
          <w:rPr>
            <w:noProof/>
            <w:webHidden/>
          </w:rPr>
          <w:fldChar w:fldCharType="separate"/>
        </w:r>
        <w:r w:rsidR="00655486">
          <w:rPr>
            <w:noProof/>
            <w:webHidden/>
          </w:rPr>
          <w:t>9</w:t>
        </w:r>
        <w:r w:rsidR="00F96657">
          <w:rPr>
            <w:noProof/>
            <w:webHidden/>
          </w:rPr>
          <w:fldChar w:fldCharType="end"/>
        </w:r>
      </w:hyperlink>
    </w:p>
    <w:p w:rsidR="00F96657" w:rsidRDefault="00CE5829">
      <w:pPr>
        <w:pStyle w:val="TOC3"/>
        <w:tabs>
          <w:tab w:val="left" w:pos="1920"/>
          <w:tab w:val="right" w:leader="dot" w:pos="9350"/>
        </w:tabs>
        <w:rPr>
          <w:noProof/>
          <w:szCs w:val="24"/>
        </w:rPr>
      </w:pPr>
      <w:hyperlink w:anchor="_Toc290548385" w:history="1">
        <w:r w:rsidR="00F96657" w:rsidRPr="006633B6">
          <w:rPr>
            <w:rStyle w:val="Hyperlink"/>
            <w:noProof/>
          </w:rPr>
          <w:t>a.</w:t>
        </w:r>
        <w:r w:rsidR="00F96657">
          <w:rPr>
            <w:noProof/>
            <w:szCs w:val="24"/>
          </w:rPr>
          <w:tab/>
        </w:r>
        <w:r w:rsidR="00F96657" w:rsidRPr="006633B6">
          <w:rPr>
            <w:rStyle w:val="Hyperlink"/>
            <w:noProof/>
          </w:rPr>
          <w:t>Anticipation</w:t>
        </w:r>
        <w:r w:rsidR="00F96657">
          <w:rPr>
            <w:noProof/>
            <w:webHidden/>
          </w:rPr>
          <w:tab/>
        </w:r>
        <w:r w:rsidR="00F96657">
          <w:rPr>
            <w:noProof/>
            <w:webHidden/>
          </w:rPr>
          <w:fldChar w:fldCharType="begin"/>
        </w:r>
        <w:r w:rsidR="00F96657">
          <w:rPr>
            <w:noProof/>
            <w:webHidden/>
          </w:rPr>
          <w:instrText xml:space="preserve"> PAGEREF _Toc290548385 \h </w:instrText>
        </w:r>
        <w:r w:rsidR="00F96657">
          <w:rPr>
            <w:noProof/>
            <w:webHidden/>
          </w:rPr>
        </w:r>
        <w:r w:rsidR="00F96657">
          <w:rPr>
            <w:noProof/>
            <w:webHidden/>
          </w:rPr>
          <w:fldChar w:fldCharType="separate"/>
        </w:r>
        <w:r w:rsidR="00655486">
          <w:rPr>
            <w:noProof/>
            <w:webHidden/>
          </w:rPr>
          <w:t>10</w:t>
        </w:r>
        <w:r w:rsidR="00F96657">
          <w:rPr>
            <w:noProof/>
            <w:webHidden/>
          </w:rPr>
          <w:fldChar w:fldCharType="end"/>
        </w:r>
      </w:hyperlink>
    </w:p>
    <w:p w:rsidR="00F96657" w:rsidRDefault="00CE5829">
      <w:pPr>
        <w:pStyle w:val="TOC3"/>
        <w:tabs>
          <w:tab w:val="left" w:pos="1920"/>
          <w:tab w:val="right" w:leader="dot" w:pos="9350"/>
        </w:tabs>
        <w:rPr>
          <w:noProof/>
          <w:szCs w:val="24"/>
        </w:rPr>
      </w:pPr>
      <w:hyperlink w:anchor="_Toc290548386" w:history="1">
        <w:r w:rsidR="00F96657" w:rsidRPr="006633B6">
          <w:rPr>
            <w:rStyle w:val="Hyperlink"/>
            <w:noProof/>
          </w:rPr>
          <w:t>b.</w:t>
        </w:r>
        <w:r w:rsidR="00F96657">
          <w:rPr>
            <w:noProof/>
            <w:szCs w:val="24"/>
          </w:rPr>
          <w:tab/>
        </w:r>
        <w:r w:rsidR="00F96657" w:rsidRPr="006633B6">
          <w:rPr>
            <w:rStyle w:val="Hyperlink"/>
            <w:noProof/>
          </w:rPr>
          <w:t>Obviousness</w:t>
        </w:r>
        <w:r w:rsidR="00F96657">
          <w:rPr>
            <w:noProof/>
            <w:webHidden/>
          </w:rPr>
          <w:tab/>
        </w:r>
        <w:r w:rsidR="00F96657">
          <w:rPr>
            <w:noProof/>
            <w:webHidden/>
          </w:rPr>
          <w:fldChar w:fldCharType="begin"/>
        </w:r>
        <w:r w:rsidR="00F96657">
          <w:rPr>
            <w:noProof/>
            <w:webHidden/>
          </w:rPr>
          <w:instrText xml:space="preserve"> PAGEREF _Toc290548386 \h </w:instrText>
        </w:r>
        <w:r w:rsidR="00F96657">
          <w:rPr>
            <w:noProof/>
            <w:webHidden/>
          </w:rPr>
        </w:r>
        <w:r w:rsidR="00F96657">
          <w:rPr>
            <w:noProof/>
            <w:webHidden/>
          </w:rPr>
          <w:fldChar w:fldCharType="separate"/>
        </w:r>
        <w:r w:rsidR="00655486">
          <w:rPr>
            <w:noProof/>
            <w:webHidden/>
          </w:rPr>
          <w:t>10</w:t>
        </w:r>
        <w:r w:rsidR="00F96657">
          <w:rPr>
            <w:noProof/>
            <w:webHidden/>
          </w:rPr>
          <w:fldChar w:fldCharType="end"/>
        </w:r>
      </w:hyperlink>
    </w:p>
    <w:p w:rsidR="00F96657" w:rsidRDefault="00CE5829">
      <w:pPr>
        <w:pStyle w:val="TOC2"/>
        <w:rPr>
          <w:noProof/>
          <w:szCs w:val="24"/>
        </w:rPr>
      </w:pPr>
      <w:hyperlink w:anchor="_Toc290548387" w:history="1">
        <w:r w:rsidR="00F96657" w:rsidRPr="006633B6">
          <w:rPr>
            <w:rStyle w:val="Hyperlink"/>
            <w:noProof/>
          </w:rPr>
          <w:t>6.</w:t>
        </w:r>
        <w:r w:rsidR="00F96657">
          <w:rPr>
            <w:noProof/>
            <w:szCs w:val="24"/>
          </w:rPr>
          <w:tab/>
        </w:r>
        <w:r w:rsidR="00F96657" w:rsidRPr="006633B6">
          <w:rPr>
            <w:rStyle w:val="Hyperlink"/>
            <w:noProof/>
          </w:rPr>
          <w:t>Patentee’s Conduct</w:t>
        </w:r>
        <w:r w:rsidR="00F96657">
          <w:rPr>
            <w:noProof/>
            <w:webHidden/>
          </w:rPr>
          <w:tab/>
        </w:r>
        <w:r w:rsidR="00F96657">
          <w:rPr>
            <w:noProof/>
            <w:webHidden/>
          </w:rPr>
          <w:fldChar w:fldCharType="begin"/>
        </w:r>
        <w:r w:rsidR="00F96657">
          <w:rPr>
            <w:noProof/>
            <w:webHidden/>
          </w:rPr>
          <w:instrText xml:space="preserve"> PAGEREF _Toc290548387 \h </w:instrText>
        </w:r>
        <w:r w:rsidR="00F96657">
          <w:rPr>
            <w:noProof/>
            <w:webHidden/>
          </w:rPr>
        </w:r>
        <w:r w:rsidR="00F96657">
          <w:rPr>
            <w:noProof/>
            <w:webHidden/>
          </w:rPr>
          <w:fldChar w:fldCharType="separate"/>
        </w:r>
        <w:r w:rsidR="00655486">
          <w:rPr>
            <w:noProof/>
            <w:webHidden/>
          </w:rPr>
          <w:t>13</w:t>
        </w:r>
        <w:r w:rsidR="00F96657">
          <w:rPr>
            <w:noProof/>
            <w:webHidden/>
          </w:rPr>
          <w:fldChar w:fldCharType="end"/>
        </w:r>
      </w:hyperlink>
    </w:p>
    <w:p w:rsidR="00F96657" w:rsidRDefault="00CE5829">
      <w:pPr>
        <w:pStyle w:val="TOC3"/>
        <w:tabs>
          <w:tab w:val="left" w:pos="1920"/>
          <w:tab w:val="right" w:leader="dot" w:pos="9350"/>
        </w:tabs>
        <w:rPr>
          <w:noProof/>
          <w:szCs w:val="24"/>
        </w:rPr>
      </w:pPr>
      <w:hyperlink w:anchor="_Toc290548388" w:history="1">
        <w:r w:rsidR="00F96657" w:rsidRPr="006633B6">
          <w:rPr>
            <w:rStyle w:val="Hyperlink"/>
            <w:noProof/>
          </w:rPr>
          <w:t>a.</w:t>
        </w:r>
        <w:r w:rsidR="00F96657">
          <w:rPr>
            <w:noProof/>
            <w:szCs w:val="24"/>
          </w:rPr>
          <w:tab/>
        </w:r>
        <w:r w:rsidR="00F96657" w:rsidRPr="006633B6">
          <w:rPr>
            <w:rStyle w:val="Hyperlink"/>
            <w:noProof/>
          </w:rPr>
          <w:t>Inequitable Conduct</w:t>
        </w:r>
        <w:r w:rsidR="00F96657">
          <w:rPr>
            <w:noProof/>
            <w:webHidden/>
          </w:rPr>
          <w:tab/>
        </w:r>
        <w:r w:rsidR="00F96657">
          <w:rPr>
            <w:noProof/>
            <w:webHidden/>
          </w:rPr>
          <w:fldChar w:fldCharType="begin"/>
        </w:r>
        <w:r w:rsidR="00F96657">
          <w:rPr>
            <w:noProof/>
            <w:webHidden/>
          </w:rPr>
          <w:instrText xml:space="preserve"> PAGEREF _Toc290548388 \h </w:instrText>
        </w:r>
        <w:r w:rsidR="00F96657">
          <w:rPr>
            <w:noProof/>
            <w:webHidden/>
          </w:rPr>
        </w:r>
        <w:r w:rsidR="00F96657">
          <w:rPr>
            <w:noProof/>
            <w:webHidden/>
          </w:rPr>
          <w:fldChar w:fldCharType="separate"/>
        </w:r>
        <w:r w:rsidR="00655486">
          <w:rPr>
            <w:noProof/>
            <w:webHidden/>
          </w:rPr>
          <w:t>13</w:t>
        </w:r>
        <w:r w:rsidR="00F96657">
          <w:rPr>
            <w:noProof/>
            <w:webHidden/>
          </w:rPr>
          <w:fldChar w:fldCharType="end"/>
        </w:r>
      </w:hyperlink>
    </w:p>
    <w:p w:rsidR="00F96657" w:rsidRDefault="00CE5829">
      <w:pPr>
        <w:pStyle w:val="TOC3"/>
        <w:tabs>
          <w:tab w:val="left" w:pos="1920"/>
          <w:tab w:val="right" w:leader="dot" w:pos="9350"/>
        </w:tabs>
        <w:rPr>
          <w:noProof/>
          <w:szCs w:val="24"/>
        </w:rPr>
      </w:pPr>
      <w:hyperlink w:anchor="_Toc290548389" w:history="1">
        <w:r w:rsidR="00F96657" w:rsidRPr="006633B6">
          <w:rPr>
            <w:rStyle w:val="Hyperlink"/>
            <w:noProof/>
          </w:rPr>
          <w:t>b.</w:t>
        </w:r>
        <w:r w:rsidR="00F96657">
          <w:rPr>
            <w:noProof/>
            <w:szCs w:val="24"/>
          </w:rPr>
          <w:tab/>
        </w:r>
        <w:r w:rsidR="00F96657" w:rsidRPr="006633B6">
          <w:rPr>
            <w:rStyle w:val="Hyperlink"/>
            <w:noProof/>
          </w:rPr>
          <w:t>Misuse</w:t>
        </w:r>
        <w:r w:rsidR="00F96657">
          <w:rPr>
            <w:noProof/>
            <w:webHidden/>
          </w:rPr>
          <w:tab/>
        </w:r>
        <w:r w:rsidR="00F96657">
          <w:rPr>
            <w:noProof/>
            <w:webHidden/>
          </w:rPr>
          <w:fldChar w:fldCharType="begin"/>
        </w:r>
        <w:r w:rsidR="00F96657">
          <w:rPr>
            <w:noProof/>
            <w:webHidden/>
          </w:rPr>
          <w:instrText xml:space="preserve"> PAGEREF _Toc290548389 \h </w:instrText>
        </w:r>
        <w:r w:rsidR="00F96657">
          <w:rPr>
            <w:noProof/>
            <w:webHidden/>
          </w:rPr>
        </w:r>
        <w:r w:rsidR="00F96657">
          <w:rPr>
            <w:noProof/>
            <w:webHidden/>
          </w:rPr>
          <w:fldChar w:fldCharType="separate"/>
        </w:r>
        <w:r w:rsidR="00655486">
          <w:rPr>
            <w:noProof/>
            <w:webHidden/>
          </w:rPr>
          <w:t>14</w:t>
        </w:r>
        <w:r w:rsidR="00F96657">
          <w:rPr>
            <w:noProof/>
            <w:webHidden/>
          </w:rPr>
          <w:fldChar w:fldCharType="end"/>
        </w:r>
      </w:hyperlink>
    </w:p>
    <w:p w:rsidR="00F96657" w:rsidRDefault="00CE5829">
      <w:pPr>
        <w:pStyle w:val="TOC3"/>
        <w:tabs>
          <w:tab w:val="left" w:pos="1920"/>
          <w:tab w:val="right" w:leader="dot" w:pos="9350"/>
        </w:tabs>
        <w:rPr>
          <w:noProof/>
          <w:szCs w:val="24"/>
        </w:rPr>
      </w:pPr>
      <w:hyperlink w:anchor="_Toc290548390" w:history="1">
        <w:r w:rsidR="00F96657" w:rsidRPr="006633B6">
          <w:rPr>
            <w:rStyle w:val="Hyperlink"/>
            <w:noProof/>
          </w:rPr>
          <w:t>c.</w:t>
        </w:r>
        <w:r w:rsidR="00F96657">
          <w:rPr>
            <w:noProof/>
            <w:szCs w:val="24"/>
          </w:rPr>
          <w:tab/>
        </w:r>
        <w:r w:rsidR="00F96657" w:rsidRPr="006633B6">
          <w:rPr>
            <w:rStyle w:val="Hyperlink"/>
            <w:noProof/>
          </w:rPr>
          <w:t>Assignor Estoppel</w:t>
        </w:r>
        <w:r w:rsidR="00F96657">
          <w:rPr>
            <w:noProof/>
            <w:webHidden/>
          </w:rPr>
          <w:tab/>
        </w:r>
        <w:r w:rsidR="00F96657">
          <w:rPr>
            <w:noProof/>
            <w:webHidden/>
          </w:rPr>
          <w:fldChar w:fldCharType="begin"/>
        </w:r>
        <w:r w:rsidR="00F96657">
          <w:rPr>
            <w:noProof/>
            <w:webHidden/>
          </w:rPr>
          <w:instrText xml:space="preserve"> PAGEREF _Toc290548390 \h </w:instrText>
        </w:r>
        <w:r w:rsidR="00F96657">
          <w:rPr>
            <w:noProof/>
            <w:webHidden/>
          </w:rPr>
        </w:r>
        <w:r w:rsidR="00F96657">
          <w:rPr>
            <w:noProof/>
            <w:webHidden/>
          </w:rPr>
          <w:fldChar w:fldCharType="separate"/>
        </w:r>
        <w:r w:rsidR="00655486">
          <w:rPr>
            <w:noProof/>
            <w:webHidden/>
          </w:rPr>
          <w:t>15</w:t>
        </w:r>
        <w:r w:rsidR="00F96657">
          <w:rPr>
            <w:noProof/>
            <w:webHidden/>
          </w:rPr>
          <w:fldChar w:fldCharType="end"/>
        </w:r>
      </w:hyperlink>
    </w:p>
    <w:p w:rsidR="00F96657" w:rsidRDefault="00CE5829">
      <w:pPr>
        <w:pStyle w:val="TOC1"/>
        <w:tabs>
          <w:tab w:val="left" w:pos="720"/>
        </w:tabs>
        <w:rPr>
          <w:noProof/>
          <w:szCs w:val="24"/>
        </w:rPr>
      </w:pPr>
      <w:hyperlink w:anchor="_Toc290548391" w:history="1">
        <w:r w:rsidR="00F96657" w:rsidRPr="006633B6">
          <w:rPr>
            <w:rStyle w:val="Hyperlink"/>
            <w:noProof/>
          </w:rPr>
          <w:t>C.</w:t>
        </w:r>
        <w:r w:rsidR="00F96657">
          <w:rPr>
            <w:noProof/>
            <w:szCs w:val="24"/>
          </w:rPr>
          <w:tab/>
        </w:r>
        <w:r w:rsidR="00F96657" w:rsidRPr="006633B6">
          <w:rPr>
            <w:rStyle w:val="Hyperlink"/>
            <w:noProof/>
          </w:rPr>
          <w:t>Infringement</w:t>
        </w:r>
        <w:r w:rsidR="00F96657">
          <w:rPr>
            <w:noProof/>
            <w:webHidden/>
          </w:rPr>
          <w:tab/>
        </w:r>
        <w:r w:rsidR="00F96657">
          <w:rPr>
            <w:noProof/>
            <w:webHidden/>
          </w:rPr>
          <w:fldChar w:fldCharType="begin"/>
        </w:r>
        <w:r w:rsidR="00F96657">
          <w:rPr>
            <w:noProof/>
            <w:webHidden/>
          </w:rPr>
          <w:instrText xml:space="preserve"> PAGEREF _Toc290548391 \h </w:instrText>
        </w:r>
        <w:r w:rsidR="00F96657">
          <w:rPr>
            <w:noProof/>
            <w:webHidden/>
          </w:rPr>
        </w:r>
        <w:r w:rsidR="00F96657">
          <w:rPr>
            <w:noProof/>
            <w:webHidden/>
          </w:rPr>
          <w:fldChar w:fldCharType="separate"/>
        </w:r>
        <w:r w:rsidR="00655486">
          <w:rPr>
            <w:noProof/>
            <w:webHidden/>
          </w:rPr>
          <w:t>16</w:t>
        </w:r>
        <w:r w:rsidR="00F96657">
          <w:rPr>
            <w:noProof/>
            <w:webHidden/>
          </w:rPr>
          <w:fldChar w:fldCharType="end"/>
        </w:r>
      </w:hyperlink>
    </w:p>
    <w:p w:rsidR="00F96657" w:rsidRDefault="00CE5829">
      <w:pPr>
        <w:pStyle w:val="TOC2"/>
        <w:rPr>
          <w:noProof/>
          <w:szCs w:val="24"/>
        </w:rPr>
      </w:pPr>
      <w:hyperlink w:anchor="_Toc290548392" w:history="1">
        <w:r w:rsidR="00F96657" w:rsidRPr="006633B6">
          <w:rPr>
            <w:rStyle w:val="Hyperlink"/>
            <w:noProof/>
          </w:rPr>
          <w:t>1.</w:t>
        </w:r>
        <w:r w:rsidR="00F96657">
          <w:rPr>
            <w:noProof/>
            <w:szCs w:val="24"/>
          </w:rPr>
          <w:tab/>
        </w:r>
        <w:r w:rsidR="00F96657" w:rsidRPr="006633B6">
          <w:rPr>
            <w:rStyle w:val="Hyperlink"/>
            <w:noProof/>
          </w:rPr>
          <w:t>Literal Infringement</w:t>
        </w:r>
        <w:r w:rsidR="00F96657">
          <w:rPr>
            <w:noProof/>
            <w:webHidden/>
          </w:rPr>
          <w:tab/>
        </w:r>
        <w:r w:rsidR="00F96657">
          <w:rPr>
            <w:noProof/>
            <w:webHidden/>
          </w:rPr>
          <w:fldChar w:fldCharType="begin"/>
        </w:r>
        <w:r w:rsidR="00F96657">
          <w:rPr>
            <w:noProof/>
            <w:webHidden/>
          </w:rPr>
          <w:instrText xml:space="preserve"> PAGEREF _Toc290548392 \h </w:instrText>
        </w:r>
        <w:r w:rsidR="00F96657">
          <w:rPr>
            <w:noProof/>
            <w:webHidden/>
          </w:rPr>
        </w:r>
        <w:r w:rsidR="00F96657">
          <w:rPr>
            <w:noProof/>
            <w:webHidden/>
          </w:rPr>
          <w:fldChar w:fldCharType="separate"/>
        </w:r>
        <w:r w:rsidR="00655486">
          <w:rPr>
            <w:noProof/>
            <w:webHidden/>
          </w:rPr>
          <w:t>16</w:t>
        </w:r>
        <w:r w:rsidR="00F96657">
          <w:rPr>
            <w:noProof/>
            <w:webHidden/>
          </w:rPr>
          <w:fldChar w:fldCharType="end"/>
        </w:r>
      </w:hyperlink>
    </w:p>
    <w:p w:rsidR="00F96657" w:rsidRDefault="00CE5829">
      <w:pPr>
        <w:pStyle w:val="TOC2"/>
        <w:rPr>
          <w:noProof/>
          <w:szCs w:val="24"/>
        </w:rPr>
      </w:pPr>
      <w:hyperlink w:anchor="_Toc290548393" w:history="1">
        <w:r w:rsidR="00F96657" w:rsidRPr="006633B6">
          <w:rPr>
            <w:rStyle w:val="Hyperlink"/>
            <w:noProof/>
          </w:rPr>
          <w:t>2.</w:t>
        </w:r>
        <w:r w:rsidR="00F96657">
          <w:rPr>
            <w:noProof/>
            <w:szCs w:val="24"/>
          </w:rPr>
          <w:tab/>
        </w:r>
        <w:r w:rsidR="00F96657" w:rsidRPr="006633B6">
          <w:rPr>
            <w:rStyle w:val="Hyperlink"/>
            <w:noProof/>
          </w:rPr>
          <w:t>Infringement Under the Doctrine of Equivalents</w:t>
        </w:r>
        <w:r w:rsidR="00F96657">
          <w:rPr>
            <w:noProof/>
            <w:webHidden/>
          </w:rPr>
          <w:tab/>
        </w:r>
        <w:r w:rsidR="00F96657">
          <w:rPr>
            <w:noProof/>
            <w:webHidden/>
          </w:rPr>
          <w:fldChar w:fldCharType="begin"/>
        </w:r>
        <w:r w:rsidR="00F96657">
          <w:rPr>
            <w:noProof/>
            <w:webHidden/>
          </w:rPr>
          <w:instrText xml:space="preserve"> PAGEREF _Toc290548393 \h </w:instrText>
        </w:r>
        <w:r w:rsidR="00F96657">
          <w:rPr>
            <w:noProof/>
            <w:webHidden/>
          </w:rPr>
        </w:r>
        <w:r w:rsidR="00F96657">
          <w:rPr>
            <w:noProof/>
            <w:webHidden/>
          </w:rPr>
          <w:fldChar w:fldCharType="separate"/>
        </w:r>
        <w:r w:rsidR="00655486">
          <w:rPr>
            <w:noProof/>
            <w:webHidden/>
          </w:rPr>
          <w:t>16</w:t>
        </w:r>
        <w:r w:rsidR="00F96657">
          <w:rPr>
            <w:noProof/>
            <w:webHidden/>
          </w:rPr>
          <w:fldChar w:fldCharType="end"/>
        </w:r>
      </w:hyperlink>
    </w:p>
    <w:p w:rsidR="00F96657" w:rsidRDefault="00CE5829">
      <w:pPr>
        <w:pStyle w:val="TOC2"/>
        <w:rPr>
          <w:noProof/>
          <w:szCs w:val="24"/>
        </w:rPr>
      </w:pPr>
      <w:hyperlink w:anchor="_Toc290548394" w:history="1">
        <w:r w:rsidR="00F96657" w:rsidRPr="006633B6">
          <w:rPr>
            <w:rStyle w:val="Hyperlink"/>
            <w:noProof/>
          </w:rPr>
          <w:t>3.</w:t>
        </w:r>
        <w:r w:rsidR="00F96657">
          <w:rPr>
            <w:noProof/>
            <w:szCs w:val="24"/>
          </w:rPr>
          <w:tab/>
        </w:r>
        <w:r w:rsidR="00F96657" w:rsidRPr="006633B6">
          <w:rPr>
            <w:rStyle w:val="Hyperlink"/>
            <w:noProof/>
          </w:rPr>
          <w:t>Indirect Infringement</w:t>
        </w:r>
        <w:r w:rsidR="00F96657">
          <w:rPr>
            <w:noProof/>
            <w:webHidden/>
          </w:rPr>
          <w:tab/>
        </w:r>
        <w:r w:rsidR="00F96657">
          <w:rPr>
            <w:noProof/>
            <w:webHidden/>
          </w:rPr>
          <w:fldChar w:fldCharType="begin"/>
        </w:r>
        <w:r w:rsidR="00F96657">
          <w:rPr>
            <w:noProof/>
            <w:webHidden/>
          </w:rPr>
          <w:instrText xml:space="preserve"> PAGEREF _Toc290548394 \h </w:instrText>
        </w:r>
        <w:r w:rsidR="00F96657">
          <w:rPr>
            <w:noProof/>
            <w:webHidden/>
          </w:rPr>
        </w:r>
        <w:r w:rsidR="00F96657">
          <w:rPr>
            <w:noProof/>
            <w:webHidden/>
          </w:rPr>
          <w:fldChar w:fldCharType="separate"/>
        </w:r>
        <w:r w:rsidR="00655486">
          <w:rPr>
            <w:noProof/>
            <w:webHidden/>
          </w:rPr>
          <w:t>17</w:t>
        </w:r>
        <w:r w:rsidR="00F96657">
          <w:rPr>
            <w:noProof/>
            <w:webHidden/>
          </w:rPr>
          <w:fldChar w:fldCharType="end"/>
        </w:r>
      </w:hyperlink>
    </w:p>
    <w:p w:rsidR="00F96657" w:rsidRDefault="00CE5829">
      <w:pPr>
        <w:pStyle w:val="TOC3"/>
        <w:tabs>
          <w:tab w:val="left" w:pos="1920"/>
          <w:tab w:val="right" w:leader="dot" w:pos="9350"/>
        </w:tabs>
        <w:rPr>
          <w:noProof/>
          <w:szCs w:val="24"/>
        </w:rPr>
      </w:pPr>
      <w:hyperlink w:anchor="_Toc290548395" w:history="1">
        <w:r w:rsidR="00F96657" w:rsidRPr="006633B6">
          <w:rPr>
            <w:rStyle w:val="Hyperlink"/>
            <w:noProof/>
          </w:rPr>
          <w:t>a.</w:t>
        </w:r>
        <w:r w:rsidR="00F96657">
          <w:rPr>
            <w:noProof/>
            <w:szCs w:val="24"/>
          </w:rPr>
          <w:tab/>
        </w:r>
        <w:r w:rsidR="00F96657" w:rsidRPr="006633B6">
          <w:rPr>
            <w:rStyle w:val="Hyperlink"/>
            <w:noProof/>
          </w:rPr>
          <w:t>Inducing Infringement</w:t>
        </w:r>
        <w:r w:rsidR="00F96657">
          <w:rPr>
            <w:noProof/>
            <w:webHidden/>
          </w:rPr>
          <w:tab/>
        </w:r>
        <w:r w:rsidR="00F96657">
          <w:rPr>
            <w:noProof/>
            <w:webHidden/>
          </w:rPr>
          <w:fldChar w:fldCharType="begin"/>
        </w:r>
        <w:r w:rsidR="00F96657">
          <w:rPr>
            <w:noProof/>
            <w:webHidden/>
          </w:rPr>
          <w:instrText xml:space="preserve"> PAGEREF _Toc290548395 \h </w:instrText>
        </w:r>
        <w:r w:rsidR="00F96657">
          <w:rPr>
            <w:noProof/>
            <w:webHidden/>
          </w:rPr>
        </w:r>
        <w:r w:rsidR="00F96657">
          <w:rPr>
            <w:noProof/>
            <w:webHidden/>
          </w:rPr>
          <w:fldChar w:fldCharType="separate"/>
        </w:r>
        <w:r w:rsidR="00655486">
          <w:rPr>
            <w:noProof/>
            <w:webHidden/>
          </w:rPr>
          <w:t>18</w:t>
        </w:r>
        <w:r w:rsidR="00F96657">
          <w:rPr>
            <w:noProof/>
            <w:webHidden/>
          </w:rPr>
          <w:fldChar w:fldCharType="end"/>
        </w:r>
      </w:hyperlink>
    </w:p>
    <w:p w:rsidR="00F96657" w:rsidRDefault="00CE5829">
      <w:pPr>
        <w:pStyle w:val="TOC3"/>
        <w:tabs>
          <w:tab w:val="left" w:pos="1920"/>
          <w:tab w:val="right" w:leader="dot" w:pos="9350"/>
        </w:tabs>
        <w:rPr>
          <w:noProof/>
          <w:szCs w:val="24"/>
        </w:rPr>
      </w:pPr>
      <w:hyperlink w:anchor="_Toc290548396" w:history="1">
        <w:r w:rsidR="00F96657" w:rsidRPr="006633B6">
          <w:rPr>
            <w:rStyle w:val="Hyperlink"/>
            <w:noProof/>
          </w:rPr>
          <w:t>b.</w:t>
        </w:r>
        <w:r w:rsidR="00F96657">
          <w:rPr>
            <w:noProof/>
            <w:szCs w:val="24"/>
          </w:rPr>
          <w:tab/>
        </w:r>
        <w:r w:rsidR="00F96657" w:rsidRPr="006633B6">
          <w:rPr>
            <w:rStyle w:val="Hyperlink"/>
            <w:noProof/>
          </w:rPr>
          <w:t>Contributory Infringement</w:t>
        </w:r>
        <w:r w:rsidR="00F96657">
          <w:rPr>
            <w:noProof/>
            <w:webHidden/>
          </w:rPr>
          <w:tab/>
        </w:r>
        <w:r w:rsidR="00F96657">
          <w:rPr>
            <w:noProof/>
            <w:webHidden/>
          </w:rPr>
          <w:fldChar w:fldCharType="begin"/>
        </w:r>
        <w:r w:rsidR="00F96657">
          <w:rPr>
            <w:noProof/>
            <w:webHidden/>
          </w:rPr>
          <w:instrText xml:space="preserve"> PAGEREF _Toc290548396 \h </w:instrText>
        </w:r>
        <w:r w:rsidR="00F96657">
          <w:rPr>
            <w:noProof/>
            <w:webHidden/>
          </w:rPr>
        </w:r>
        <w:r w:rsidR="00F96657">
          <w:rPr>
            <w:noProof/>
            <w:webHidden/>
          </w:rPr>
          <w:fldChar w:fldCharType="separate"/>
        </w:r>
        <w:r w:rsidR="00655486">
          <w:rPr>
            <w:noProof/>
            <w:webHidden/>
          </w:rPr>
          <w:t>18</w:t>
        </w:r>
        <w:r w:rsidR="00F96657">
          <w:rPr>
            <w:noProof/>
            <w:webHidden/>
          </w:rPr>
          <w:fldChar w:fldCharType="end"/>
        </w:r>
      </w:hyperlink>
    </w:p>
    <w:p w:rsidR="00F96657" w:rsidRDefault="00CE5829">
      <w:pPr>
        <w:pStyle w:val="TOC2"/>
        <w:rPr>
          <w:noProof/>
          <w:szCs w:val="24"/>
        </w:rPr>
      </w:pPr>
      <w:hyperlink w:anchor="_Toc290548397" w:history="1">
        <w:r w:rsidR="00F96657" w:rsidRPr="006633B6">
          <w:rPr>
            <w:rStyle w:val="Hyperlink"/>
            <w:noProof/>
          </w:rPr>
          <w:t>4.</w:t>
        </w:r>
        <w:r w:rsidR="00F96657">
          <w:rPr>
            <w:noProof/>
            <w:szCs w:val="24"/>
          </w:rPr>
          <w:tab/>
        </w:r>
        <w:r w:rsidR="00F96657" w:rsidRPr="006633B6">
          <w:rPr>
            <w:rStyle w:val="Hyperlink"/>
            <w:noProof/>
          </w:rPr>
          <w:t>Method Claims</w:t>
        </w:r>
        <w:r w:rsidR="00F96657">
          <w:rPr>
            <w:noProof/>
            <w:webHidden/>
          </w:rPr>
          <w:tab/>
        </w:r>
        <w:r w:rsidR="00F96657">
          <w:rPr>
            <w:noProof/>
            <w:webHidden/>
          </w:rPr>
          <w:fldChar w:fldCharType="begin"/>
        </w:r>
        <w:r w:rsidR="00F96657">
          <w:rPr>
            <w:noProof/>
            <w:webHidden/>
          </w:rPr>
          <w:instrText xml:space="preserve"> PAGEREF _Toc290548397 \h </w:instrText>
        </w:r>
        <w:r w:rsidR="00F96657">
          <w:rPr>
            <w:noProof/>
            <w:webHidden/>
          </w:rPr>
        </w:r>
        <w:r w:rsidR="00F96657">
          <w:rPr>
            <w:noProof/>
            <w:webHidden/>
          </w:rPr>
          <w:fldChar w:fldCharType="separate"/>
        </w:r>
        <w:r w:rsidR="00655486">
          <w:rPr>
            <w:noProof/>
            <w:webHidden/>
          </w:rPr>
          <w:t>19</w:t>
        </w:r>
        <w:r w:rsidR="00F96657">
          <w:rPr>
            <w:noProof/>
            <w:webHidden/>
          </w:rPr>
          <w:fldChar w:fldCharType="end"/>
        </w:r>
      </w:hyperlink>
    </w:p>
    <w:p w:rsidR="00F96657" w:rsidRDefault="00CE5829">
      <w:pPr>
        <w:pStyle w:val="TOC2"/>
        <w:rPr>
          <w:noProof/>
          <w:szCs w:val="24"/>
        </w:rPr>
      </w:pPr>
      <w:hyperlink w:anchor="_Toc290548398" w:history="1">
        <w:r w:rsidR="00F96657" w:rsidRPr="006633B6">
          <w:rPr>
            <w:rStyle w:val="Hyperlink"/>
            <w:noProof/>
          </w:rPr>
          <w:t>5.</w:t>
        </w:r>
        <w:r w:rsidR="00F96657">
          <w:rPr>
            <w:noProof/>
            <w:szCs w:val="24"/>
          </w:rPr>
          <w:tab/>
        </w:r>
        <w:r w:rsidR="00F96657" w:rsidRPr="006633B6">
          <w:rPr>
            <w:rStyle w:val="Hyperlink"/>
            <w:noProof/>
          </w:rPr>
          <w:t>Dependent Claims</w:t>
        </w:r>
        <w:r w:rsidR="00F96657">
          <w:rPr>
            <w:noProof/>
            <w:webHidden/>
          </w:rPr>
          <w:tab/>
        </w:r>
        <w:r w:rsidR="00F96657">
          <w:rPr>
            <w:noProof/>
            <w:webHidden/>
          </w:rPr>
          <w:fldChar w:fldCharType="begin"/>
        </w:r>
        <w:r w:rsidR="00F96657">
          <w:rPr>
            <w:noProof/>
            <w:webHidden/>
          </w:rPr>
          <w:instrText xml:space="preserve"> PAGEREF _Toc290548398 \h </w:instrText>
        </w:r>
        <w:r w:rsidR="00F96657">
          <w:rPr>
            <w:noProof/>
            <w:webHidden/>
          </w:rPr>
        </w:r>
        <w:r w:rsidR="00F96657">
          <w:rPr>
            <w:noProof/>
            <w:webHidden/>
          </w:rPr>
          <w:fldChar w:fldCharType="separate"/>
        </w:r>
        <w:r w:rsidR="00655486">
          <w:rPr>
            <w:noProof/>
            <w:webHidden/>
          </w:rPr>
          <w:t>19</w:t>
        </w:r>
        <w:r w:rsidR="00F96657">
          <w:rPr>
            <w:noProof/>
            <w:webHidden/>
          </w:rPr>
          <w:fldChar w:fldCharType="end"/>
        </w:r>
      </w:hyperlink>
    </w:p>
    <w:p w:rsidR="00F96657" w:rsidRDefault="00F96657" w:rsidP="00F96657">
      <w:pPr>
        <w:tabs>
          <w:tab w:val="left" w:pos="720"/>
          <w:tab w:val="left" w:pos="1440"/>
          <w:tab w:val="right" w:leader="dot" w:pos="9360"/>
        </w:tabs>
        <w:spacing w:after="120"/>
        <w:rPr>
          <w:b/>
        </w:rPr>
        <w:sectPr w:rsidR="00F96657" w:rsidSect="00F96657">
          <w:headerReference w:type="even" r:id="rId9"/>
          <w:headerReference w:type="default" r:id="rId10"/>
          <w:footerReference w:type="even" r:id="rId11"/>
          <w:footerReference w:type="default" r:id="rId12"/>
          <w:headerReference w:type="first" r:id="rId13"/>
          <w:footerReference w:type="first" r:id="rId14"/>
          <w:pgSz w:w="12240" w:h="15840" w:code="1"/>
          <w:pgMar w:top="1440" w:right="1440" w:bottom="1440" w:left="1440" w:header="720" w:footer="720" w:gutter="0"/>
          <w:pgNumType w:fmt="lowerRoman"/>
          <w:cols w:space="720"/>
          <w:docGrid w:linePitch="360"/>
        </w:sectPr>
      </w:pPr>
      <w:r w:rsidRPr="004120DD">
        <w:rPr>
          <w:b/>
        </w:rPr>
        <w:fldChar w:fldCharType="end"/>
      </w:r>
    </w:p>
    <w:p w:rsidR="00F96657" w:rsidRPr="004120DD" w:rsidRDefault="00F96657" w:rsidP="00F96657">
      <w:pPr>
        <w:tabs>
          <w:tab w:val="left" w:pos="720"/>
          <w:tab w:val="left" w:pos="1440"/>
        </w:tabs>
        <w:spacing w:after="120"/>
        <w:jc w:val="center"/>
        <w:rPr>
          <w:b/>
        </w:rPr>
      </w:pPr>
      <w:r w:rsidRPr="004120DD">
        <w:rPr>
          <w:b/>
        </w:rPr>
        <w:t>Summary of the Law</w:t>
      </w:r>
    </w:p>
    <w:p w:rsidR="00F96657" w:rsidRPr="004120DD" w:rsidRDefault="00F96657" w:rsidP="00F96657">
      <w:pPr>
        <w:pStyle w:val="BodyTextIndent"/>
        <w:tabs>
          <w:tab w:val="left" w:pos="720"/>
          <w:tab w:val="left" w:pos="1440"/>
        </w:tabs>
        <w:spacing w:after="0"/>
        <w:ind w:left="0"/>
      </w:pPr>
    </w:p>
    <w:p w:rsidR="00F96657" w:rsidRPr="004120DD" w:rsidRDefault="00F96657" w:rsidP="00F96657">
      <w:pPr>
        <w:pStyle w:val="BodyTextIndent"/>
        <w:tabs>
          <w:tab w:val="left" w:pos="720"/>
          <w:tab w:val="left" w:pos="1440"/>
        </w:tabs>
        <w:spacing w:after="0"/>
        <w:ind w:left="0"/>
      </w:pPr>
    </w:p>
    <w:p w:rsidR="00F96657" w:rsidRPr="004120DD" w:rsidRDefault="00F96657" w:rsidP="00F96657">
      <w:pPr>
        <w:pStyle w:val="Heading1"/>
        <w:rPr>
          <w:rFonts w:ascii="Times New Roman" w:hAnsi="Times New Roman"/>
        </w:rPr>
      </w:pPr>
      <w:bookmarkStart w:id="1" w:name="_Toc289408114"/>
      <w:bookmarkStart w:id="2" w:name="_Toc289409400"/>
      <w:bookmarkStart w:id="3" w:name="_Toc289409510"/>
      <w:bookmarkStart w:id="4" w:name="_Toc289409653"/>
      <w:bookmarkStart w:id="5" w:name="_Toc290548375"/>
      <w:bookmarkStart w:id="6" w:name="A"/>
      <w:r w:rsidRPr="004120DD">
        <w:rPr>
          <w:rFonts w:ascii="Times New Roman" w:hAnsi="Times New Roman"/>
        </w:rPr>
        <w:t>A.</w:t>
      </w:r>
      <w:r w:rsidRPr="004120DD">
        <w:rPr>
          <w:rFonts w:ascii="Times New Roman" w:hAnsi="Times New Roman"/>
        </w:rPr>
        <w:tab/>
        <w:t>Claim Interpretation</w:t>
      </w:r>
      <w:bookmarkEnd w:id="1"/>
      <w:bookmarkEnd w:id="2"/>
      <w:bookmarkEnd w:id="3"/>
      <w:bookmarkEnd w:id="4"/>
      <w:bookmarkEnd w:id="5"/>
    </w:p>
    <w:bookmarkEnd w:id="6"/>
    <w:p w:rsidR="00F96657" w:rsidRPr="004120DD" w:rsidRDefault="00F96657" w:rsidP="00F96657">
      <w:pPr>
        <w:tabs>
          <w:tab w:val="left" w:pos="720"/>
          <w:tab w:val="left" w:pos="1440"/>
        </w:tabs>
        <w:rPr>
          <w:szCs w:val="24"/>
        </w:rPr>
      </w:pPr>
    </w:p>
    <w:p w:rsidR="00F96657" w:rsidRDefault="00F96657" w:rsidP="00F96657">
      <w:pPr>
        <w:tabs>
          <w:tab w:val="left" w:pos="720"/>
          <w:tab w:val="left" w:pos="1440"/>
        </w:tabs>
        <w:rPr>
          <w:szCs w:val="24"/>
        </w:rPr>
      </w:pPr>
      <w:r w:rsidRPr="004120DD">
        <w:rPr>
          <w:szCs w:val="24"/>
        </w:rPr>
        <w:t>Both infringement and invalidity analyses are two-step processes.  “The first [step] is determining the meaning and scope of the patent claims . . .”</w:t>
      </w:r>
      <w:r>
        <w:rPr>
          <w:szCs w:val="24"/>
        </w:rPr>
        <w:t xml:space="preserve"> </w:t>
      </w:r>
      <w:r w:rsidRPr="00392CE0">
        <w:rPr>
          <w:i/>
        </w:rPr>
        <w:t>Markman v. Westview Instruments, Inc.</w:t>
      </w:r>
      <w:r w:rsidRPr="000D12D6">
        <w:t xml:space="preserve">, 52 F.3d 967, 979 (Fed. Cir. 1995), </w:t>
      </w:r>
      <w:r w:rsidRPr="00BC01CE">
        <w:rPr>
          <w:i/>
        </w:rPr>
        <w:t>aff’d</w:t>
      </w:r>
      <w:r w:rsidRPr="000D12D6">
        <w:t xml:space="preserve">, 116 </w:t>
      </w:r>
      <w:smartTag w:uri="urn:schemas-microsoft-com:office:smarttags" w:element="place">
        <w:r w:rsidRPr="000D12D6">
          <w:t>S. Ct.</w:t>
        </w:r>
      </w:smartTag>
      <w:r w:rsidRPr="000D12D6">
        <w:t xml:space="preserve"> 1384 (1996)</w:t>
      </w:r>
      <w:r w:rsidRPr="004120DD">
        <w:t>.</w:t>
      </w:r>
      <w:r>
        <w:fldChar w:fldCharType="begin"/>
      </w:r>
      <w:r>
        <w:instrText xml:space="preserve"> TA \l "</w:instrText>
      </w:r>
      <w:r w:rsidRPr="00F54CA2">
        <w:rPr>
          <w:u w:val="single"/>
        </w:rPr>
        <w:instrText>Markman v. Westview Instruments, Inc.</w:instrText>
      </w:r>
      <w:r w:rsidRPr="00F54CA2">
        <w:instrText xml:space="preserve">, 52 F.3d 967, 979 (Fed. Cir. 1995), </w:instrText>
      </w:r>
      <w:r w:rsidRPr="007E6E90">
        <w:rPr>
          <w:i/>
        </w:rPr>
        <w:instrText>aff’d</w:instrText>
      </w:r>
      <w:r w:rsidRPr="00F54CA2">
        <w:instrText>, 116 S. Ct. 1384 (1996).</w:instrText>
      </w:r>
      <w:r>
        <w:instrText xml:space="preserve">" \s "Markman v. Westview Instruments, Inc., 52 F.3d 967, 979 (Fed. Cir. 1995), aff’d, 116 S. Ct. 1384 (1996)." \c 1 </w:instrText>
      </w:r>
      <w:r>
        <w:fldChar w:fldCharType="end"/>
      </w:r>
      <w:r w:rsidRPr="004120DD">
        <w:t xml:space="preserve">  When analyzing infringement, “</w:t>
      </w:r>
      <w:r w:rsidRPr="004120DD">
        <w:rPr>
          <w:szCs w:val="24"/>
        </w:rPr>
        <w:t xml:space="preserve">The second step is comparing the properly construed claims to the device accused of infringing.”  </w:t>
      </w:r>
      <w:r w:rsidRPr="00392CE0">
        <w:rPr>
          <w:i/>
          <w:szCs w:val="24"/>
        </w:rPr>
        <w:t>Id</w:t>
      </w:r>
      <w:r w:rsidRPr="004120DD">
        <w:rPr>
          <w:szCs w:val="24"/>
        </w:rPr>
        <w:t>.</w:t>
      </w:r>
      <w:r>
        <w:rPr>
          <w:szCs w:val="24"/>
        </w:rPr>
        <w:fldChar w:fldCharType="begin"/>
      </w:r>
      <w:r>
        <w:instrText xml:space="preserve"> TA \s "Markman v. Westview Instruments, Inc., 52 F.3d 967, 979 (Fed. Cir. 1995), aff’d, 116 S. Ct. 1384 (1996)." </w:instrText>
      </w:r>
      <w:r>
        <w:rPr>
          <w:szCs w:val="24"/>
        </w:rPr>
        <w:fldChar w:fldCharType="end"/>
      </w:r>
      <w:r w:rsidRPr="004120DD">
        <w:rPr>
          <w:szCs w:val="24"/>
        </w:rPr>
        <w:t xml:space="preserve">  Likewise, whether the specification supports the claims is determined in view of the properly construed claims, and the properly construed claims are compared to the prior art to determine whether they are valid</w:t>
      </w:r>
      <w:r>
        <w:rPr>
          <w:szCs w:val="24"/>
        </w:rPr>
        <w:t>.</w:t>
      </w:r>
    </w:p>
    <w:p w:rsidR="00F96657" w:rsidRPr="004120DD" w:rsidRDefault="00F96657" w:rsidP="00F96657">
      <w:pPr>
        <w:tabs>
          <w:tab w:val="left" w:pos="720"/>
          <w:tab w:val="left" w:pos="1440"/>
        </w:tabs>
        <w:autoSpaceDE w:val="0"/>
        <w:autoSpaceDN w:val="0"/>
        <w:adjustRightInd w:val="0"/>
        <w:rPr>
          <w:szCs w:val="24"/>
        </w:rPr>
      </w:pPr>
    </w:p>
    <w:p w:rsidR="00F96657" w:rsidRDefault="00F96657" w:rsidP="00F96657">
      <w:pPr>
        <w:tabs>
          <w:tab w:val="left" w:pos="720"/>
          <w:tab w:val="left" w:pos="1440"/>
        </w:tabs>
        <w:autoSpaceDE w:val="0"/>
        <w:autoSpaceDN w:val="0"/>
        <w:adjustRightInd w:val="0"/>
        <w:rPr>
          <w:szCs w:val="24"/>
          <w:u w:val="single"/>
        </w:rPr>
      </w:pPr>
      <w:r w:rsidRPr="004120DD">
        <w:rPr>
          <w:szCs w:val="24"/>
        </w:rPr>
        <w:t xml:space="preserve">There is no rigid algorithm for claim construction.  The Federal Circuit has stated that “we [have] recognized that there is no magic formula or catechism for conducting claim construction . . . [n]or is the court barred from considering any particular sources or required to analyze sources in any specific sequence, as long as those sources are not used to contradict claim meaning that is unambiguous in light of the intrinsic evidence.”  </w:t>
      </w:r>
      <w:r w:rsidRPr="00392CE0">
        <w:rPr>
          <w:i/>
          <w:szCs w:val="24"/>
        </w:rPr>
        <w:t>Phillips v. AWH Corp.</w:t>
      </w:r>
      <w:r w:rsidRPr="004120DD">
        <w:rPr>
          <w:szCs w:val="24"/>
        </w:rPr>
        <w:t xml:space="preserve">, 415 F.3d 1303, 75 </w:t>
      </w:r>
      <w:r>
        <w:rPr>
          <w:szCs w:val="24"/>
        </w:rPr>
        <w:t>U.S.P.Q.</w:t>
      </w:r>
      <w:r w:rsidRPr="004120DD">
        <w:rPr>
          <w:szCs w:val="24"/>
        </w:rPr>
        <w:t>2d 1321, 1334-35 (Fed. Cir. 2005)</w:t>
      </w:r>
      <w:r>
        <w:rPr>
          <w:szCs w:val="24"/>
        </w:rPr>
        <w:fldChar w:fldCharType="begin"/>
      </w:r>
      <w:r>
        <w:instrText xml:space="preserve"> TA \l "</w:instrText>
      </w:r>
      <w:r w:rsidRPr="00F54CA2">
        <w:rPr>
          <w:szCs w:val="24"/>
          <w:u w:val="single"/>
        </w:rPr>
        <w:instrText>Phillips v. AWH Corp.</w:instrText>
      </w:r>
      <w:r w:rsidRPr="00F54CA2">
        <w:rPr>
          <w:szCs w:val="24"/>
        </w:rPr>
        <w:instrText xml:space="preserve">, 415 F.3d 1303, 75 </w:instrText>
      </w:r>
      <w:r>
        <w:rPr>
          <w:szCs w:val="24"/>
        </w:rPr>
        <w:instrText>U.S.P.Q.</w:instrText>
      </w:r>
      <w:r w:rsidRPr="00F54CA2">
        <w:rPr>
          <w:szCs w:val="24"/>
        </w:rPr>
        <w:instrText>2d 1321, 1334-35 (Fed. Cir. 2005)</w:instrText>
      </w:r>
      <w:r>
        <w:instrText xml:space="preserve">" \s "Phillips v. AWH Corp., 415 F.3d 1303, 75 U.S.P.Q.2d 1321, 1334-35 (Fed. Cir. 2005)" \c 1 </w:instrText>
      </w:r>
      <w:r>
        <w:rPr>
          <w:szCs w:val="24"/>
        </w:rPr>
        <w:fldChar w:fldCharType="end"/>
      </w:r>
      <w:r w:rsidRPr="004120DD">
        <w:rPr>
          <w:szCs w:val="24"/>
        </w:rPr>
        <w:t xml:space="preserve">.  “[W]hat matters is for the court to attach the appropriate weight to be assigned to those sources in light of the statutes and policies that inform patent law.”  </w:t>
      </w:r>
      <w:r w:rsidRPr="00392CE0">
        <w:rPr>
          <w:i/>
          <w:szCs w:val="24"/>
        </w:rPr>
        <w:t>Id</w:t>
      </w:r>
      <w:r w:rsidR="00392CE0">
        <w:rPr>
          <w:szCs w:val="24"/>
        </w:rPr>
        <w:t>.</w:t>
      </w:r>
      <w:r>
        <w:rPr>
          <w:szCs w:val="24"/>
          <w:u w:val="single"/>
        </w:rPr>
        <w:fldChar w:fldCharType="begin"/>
      </w:r>
      <w:r>
        <w:instrText xml:space="preserve"> TA \s "Phillips v. AWH Corp., 415 F.3d 1303, 75 U.S.P.Q.2d 1321, 1334-35 (Fed. Cir. 2005)" </w:instrText>
      </w:r>
      <w:r>
        <w:rPr>
          <w:szCs w:val="24"/>
          <w:u w:val="single"/>
        </w:rPr>
        <w:fldChar w:fldCharType="end"/>
      </w:r>
    </w:p>
    <w:p w:rsidR="00F96657" w:rsidRPr="004120DD" w:rsidRDefault="00F96657" w:rsidP="00F96657">
      <w:pPr>
        <w:tabs>
          <w:tab w:val="left" w:pos="720"/>
          <w:tab w:val="left" w:pos="1440"/>
        </w:tabs>
        <w:autoSpaceDE w:val="0"/>
        <w:autoSpaceDN w:val="0"/>
        <w:adjustRightInd w:val="0"/>
        <w:rPr>
          <w:szCs w:val="24"/>
        </w:rPr>
      </w:pPr>
    </w:p>
    <w:p w:rsidR="00F96657" w:rsidRPr="004120DD" w:rsidRDefault="00F96657" w:rsidP="00F96657">
      <w:pPr>
        <w:tabs>
          <w:tab w:val="left" w:pos="720"/>
          <w:tab w:val="left" w:pos="1440"/>
        </w:tabs>
        <w:autoSpaceDE w:val="0"/>
        <w:autoSpaceDN w:val="0"/>
        <w:adjustRightInd w:val="0"/>
        <w:rPr>
          <w:szCs w:val="24"/>
        </w:rPr>
      </w:pPr>
      <w:r w:rsidRPr="004120DD">
        <w:rPr>
          <w:szCs w:val="24"/>
        </w:rPr>
        <w:t xml:space="preserve">Under current case law, a term in a patent claim is given its ordinary meaning unless the patent’s claims, written description, drawings and/or the prosecution history suggest otherwise.  </w:t>
      </w:r>
      <w:r w:rsidRPr="00392CE0">
        <w:rPr>
          <w:i/>
          <w:szCs w:val="24"/>
        </w:rPr>
        <w:t>Desper Products, Inc. v. QSound Labs, Inc.</w:t>
      </w:r>
      <w:r w:rsidRPr="004120DD">
        <w:rPr>
          <w:szCs w:val="24"/>
        </w:rPr>
        <w:t xml:space="preserve">, 48 </w:t>
      </w:r>
      <w:r>
        <w:rPr>
          <w:szCs w:val="24"/>
        </w:rPr>
        <w:t>U.S.P.Q.</w:t>
      </w:r>
      <w:r w:rsidRPr="004120DD">
        <w:rPr>
          <w:szCs w:val="24"/>
        </w:rPr>
        <w:t>2d 1088, 1096 (Fed. Cir. 1998)</w:t>
      </w:r>
      <w:r>
        <w:rPr>
          <w:szCs w:val="24"/>
        </w:rPr>
        <w:fldChar w:fldCharType="begin"/>
      </w:r>
      <w:r>
        <w:instrText xml:space="preserve"> TA \l "</w:instrText>
      </w:r>
      <w:r w:rsidRPr="00F54CA2">
        <w:rPr>
          <w:szCs w:val="24"/>
          <w:u w:val="single"/>
        </w:rPr>
        <w:instrText>Desper Products, Inc. v. QSound Labs, Inc.</w:instrText>
      </w:r>
      <w:r w:rsidRPr="00F54CA2">
        <w:rPr>
          <w:szCs w:val="24"/>
        </w:rPr>
        <w:instrText xml:space="preserve">, 48 </w:instrText>
      </w:r>
      <w:r>
        <w:rPr>
          <w:szCs w:val="24"/>
        </w:rPr>
        <w:instrText>U.S.P.Q.</w:instrText>
      </w:r>
      <w:r w:rsidRPr="00F54CA2">
        <w:rPr>
          <w:szCs w:val="24"/>
        </w:rPr>
        <w:instrText>2d 1088, 1096 (Fed. Cir. 1998)</w:instrText>
      </w:r>
      <w:r>
        <w:instrText xml:space="preserve">" \s "Desper Products, Inc. v. QSound Labs, Inc., 48 U.S.P.Q.2d 1088, 1096 (Fed. Cir. 1998)" \c 1 </w:instrText>
      </w:r>
      <w:r>
        <w:rPr>
          <w:szCs w:val="24"/>
        </w:rPr>
        <w:fldChar w:fldCharType="end"/>
      </w:r>
      <w:r w:rsidRPr="004120DD">
        <w:rPr>
          <w:szCs w:val="24"/>
        </w:rPr>
        <w:t xml:space="preserve">.  “[T]he ordinary and customary meaning of a claim term is the meaning that the term would have to a person of ordinary skill in the art in question at the time of the invention, i.e., as of the effective filing date of the patent application.”  </w:t>
      </w:r>
      <w:r w:rsidRPr="00392CE0">
        <w:rPr>
          <w:i/>
          <w:szCs w:val="24"/>
        </w:rPr>
        <w:t>Phillips</w:t>
      </w:r>
      <w:r w:rsidRPr="004120DD">
        <w:rPr>
          <w:szCs w:val="24"/>
        </w:rPr>
        <w:t xml:space="preserve">, 75 </w:t>
      </w:r>
      <w:r>
        <w:rPr>
          <w:szCs w:val="24"/>
        </w:rPr>
        <w:t>U.S.P.Q.</w:t>
      </w:r>
      <w:r w:rsidRPr="004120DD">
        <w:rPr>
          <w:szCs w:val="24"/>
        </w:rPr>
        <w:t>2d 1321, 1326.</w:t>
      </w:r>
    </w:p>
    <w:p w:rsidR="00F96657" w:rsidRPr="004120DD" w:rsidRDefault="00F96657" w:rsidP="00F96657">
      <w:pPr>
        <w:tabs>
          <w:tab w:val="left" w:pos="720"/>
          <w:tab w:val="left" w:pos="1440"/>
        </w:tabs>
        <w:autoSpaceDE w:val="0"/>
        <w:autoSpaceDN w:val="0"/>
        <w:adjustRightInd w:val="0"/>
        <w:rPr>
          <w:szCs w:val="24"/>
        </w:rPr>
      </w:pPr>
    </w:p>
    <w:p w:rsidR="00F96657" w:rsidRDefault="00F96657" w:rsidP="00F96657">
      <w:pPr>
        <w:tabs>
          <w:tab w:val="left" w:pos="720"/>
          <w:tab w:val="left" w:pos="1440"/>
        </w:tabs>
        <w:autoSpaceDE w:val="0"/>
        <w:autoSpaceDN w:val="0"/>
        <w:adjustRightInd w:val="0"/>
      </w:pPr>
      <w:r w:rsidRPr="004120DD">
        <w:rPr>
          <w:szCs w:val="24"/>
        </w:rPr>
        <w:t xml:space="preserve">Claim construction is a question of law.  See, e.g., </w:t>
      </w:r>
      <w:r w:rsidRPr="00392CE0">
        <w:rPr>
          <w:i/>
          <w:szCs w:val="24"/>
        </w:rPr>
        <w:t>Sinorgchem Co. Shandong v. Int’l Trade Comm’n</w:t>
      </w:r>
      <w:r w:rsidRPr="004120DD">
        <w:rPr>
          <w:szCs w:val="24"/>
        </w:rPr>
        <w:t xml:space="preserve">, 511 F.3d 1132, 85 </w:t>
      </w:r>
      <w:r>
        <w:rPr>
          <w:szCs w:val="24"/>
        </w:rPr>
        <w:t>U.S.P.Q.</w:t>
      </w:r>
      <w:r w:rsidRPr="004120DD">
        <w:rPr>
          <w:szCs w:val="24"/>
        </w:rPr>
        <w:t>2d 1415, 1418 (Fed. Cir. 2008)</w:t>
      </w:r>
      <w:r>
        <w:rPr>
          <w:szCs w:val="24"/>
        </w:rPr>
        <w:fldChar w:fldCharType="begin"/>
      </w:r>
      <w:r>
        <w:instrText xml:space="preserve"> TA \l "</w:instrText>
      </w:r>
      <w:r w:rsidRPr="00F54CA2">
        <w:rPr>
          <w:szCs w:val="24"/>
          <w:u w:val="single"/>
        </w:rPr>
        <w:instrText xml:space="preserve">Sinorgchem Co. Shandong v. </w:instrText>
      </w:r>
      <w:r>
        <w:rPr>
          <w:szCs w:val="24"/>
          <w:u w:val="single"/>
        </w:rPr>
        <w:instrText>Int’l</w:instrText>
      </w:r>
      <w:r w:rsidRPr="00F54CA2">
        <w:rPr>
          <w:szCs w:val="24"/>
          <w:u w:val="single"/>
        </w:rPr>
        <w:instrText xml:space="preserve"> Trade </w:instrText>
      </w:r>
      <w:r>
        <w:rPr>
          <w:szCs w:val="24"/>
          <w:u w:val="single"/>
        </w:rPr>
        <w:instrText>Comm’n</w:instrText>
      </w:r>
      <w:r w:rsidRPr="00F54CA2">
        <w:rPr>
          <w:szCs w:val="24"/>
        </w:rPr>
        <w:instrText xml:space="preserve">, 511 F.3d 1132, 85 </w:instrText>
      </w:r>
      <w:r>
        <w:rPr>
          <w:szCs w:val="24"/>
        </w:rPr>
        <w:instrText>U.S.P.Q.</w:instrText>
      </w:r>
      <w:r w:rsidRPr="00F54CA2">
        <w:rPr>
          <w:szCs w:val="24"/>
        </w:rPr>
        <w:instrText>2d 1415, 1418 (Fed. Cir. 2008)</w:instrText>
      </w:r>
      <w:r>
        <w:instrText xml:space="preserve">" \s "Sinorgchem Co. Shandong v. Int’l Trade Comm’n, 511 F.3d 1132, 85 U.S.P.Q.2d 1415, 1418 (Fed. Cir. 2008)" \c 1 </w:instrText>
      </w:r>
      <w:r>
        <w:rPr>
          <w:szCs w:val="24"/>
        </w:rPr>
        <w:fldChar w:fldCharType="end"/>
      </w:r>
      <w:r w:rsidRPr="004120DD">
        <w:rPr>
          <w:szCs w:val="24"/>
        </w:rPr>
        <w:t xml:space="preserve"> (citing </w:t>
      </w:r>
      <w:r w:rsidRPr="00392CE0">
        <w:rPr>
          <w:rStyle w:val="emphi"/>
          <w:i/>
        </w:rPr>
        <w:t>Cybor Corp. v. FAS Techs., Inc</w:t>
      </w:r>
      <w:r w:rsidRPr="004120DD">
        <w:rPr>
          <w:rStyle w:val="emphi"/>
        </w:rPr>
        <w:t>.</w:t>
      </w:r>
      <w:r w:rsidRPr="004120DD">
        <w:t>, 138 F.3d 1448, 1456 (Fed. Cir. 1998) (en banc)</w:t>
      </w:r>
      <w:r>
        <w:fldChar w:fldCharType="begin"/>
      </w:r>
      <w:r>
        <w:instrText xml:space="preserve"> TA \l "</w:instrText>
      </w:r>
      <w:r w:rsidRPr="00F54CA2">
        <w:rPr>
          <w:rStyle w:val="emphi"/>
          <w:u w:val="single"/>
        </w:rPr>
        <w:instrText>Cybor Corp. v. FAS Techs., Inc</w:instrText>
      </w:r>
      <w:r w:rsidRPr="00F54CA2">
        <w:rPr>
          <w:rStyle w:val="emphi"/>
        </w:rPr>
        <w:instrText>.</w:instrText>
      </w:r>
      <w:r w:rsidRPr="00F54CA2">
        <w:instrText>, 138 F.3d 1448, 1456 (Fed. Cir. 1998) (en banc)</w:instrText>
      </w:r>
      <w:r>
        <w:instrText xml:space="preserve">" \s "Cybor Corp. v. FAS Techs., Inc., 138 F.3d 1448, 1456 (Fed. Cir. 1998) (en banc)" \c 1 </w:instrText>
      </w:r>
      <w:r>
        <w:fldChar w:fldCharType="end"/>
      </w:r>
      <w:r w:rsidRPr="004120DD">
        <w:t>)</w:t>
      </w:r>
      <w:r>
        <w:t>.</w:t>
      </w:r>
    </w:p>
    <w:p w:rsidR="00F96657" w:rsidRPr="004120DD" w:rsidRDefault="00F96657" w:rsidP="00F96657">
      <w:pPr>
        <w:tabs>
          <w:tab w:val="left" w:pos="720"/>
          <w:tab w:val="left" w:pos="1440"/>
        </w:tabs>
        <w:autoSpaceDE w:val="0"/>
        <w:autoSpaceDN w:val="0"/>
        <w:adjustRightInd w:val="0"/>
        <w:rPr>
          <w:szCs w:val="24"/>
        </w:rPr>
      </w:pPr>
    </w:p>
    <w:p w:rsidR="00F96657" w:rsidRPr="004120DD" w:rsidRDefault="00F96657" w:rsidP="00F96657">
      <w:pPr>
        <w:pStyle w:val="Heading2"/>
        <w:rPr>
          <w:rFonts w:ascii="Times New Roman" w:hAnsi="Times New Roman"/>
        </w:rPr>
      </w:pPr>
      <w:bookmarkStart w:id="7" w:name="_Toc289408115"/>
      <w:bookmarkStart w:id="8" w:name="_Toc289409401"/>
      <w:bookmarkStart w:id="9" w:name="_Toc289409511"/>
      <w:bookmarkStart w:id="10" w:name="_Toc289409654"/>
      <w:bookmarkStart w:id="11" w:name="_Toc290548376"/>
      <w:bookmarkStart w:id="12" w:name="A1"/>
      <w:r w:rsidRPr="004120DD">
        <w:rPr>
          <w:rFonts w:ascii="Times New Roman" w:hAnsi="Times New Roman"/>
        </w:rPr>
        <w:t>1.</w:t>
      </w:r>
      <w:r w:rsidRPr="004120DD">
        <w:rPr>
          <w:rFonts w:ascii="Times New Roman" w:hAnsi="Times New Roman"/>
        </w:rPr>
        <w:tab/>
        <w:t>Intrinsic and Extrinsic Evidence</w:t>
      </w:r>
      <w:bookmarkEnd w:id="7"/>
      <w:bookmarkEnd w:id="8"/>
      <w:bookmarkEnd w:id="9"/>
      <w:bookmarkEnd w:id="10"/>
      <w:bookmarkEnd w:id="11"/>
    </w:p>
    <w:bookmarkEnd w:id="12"/>
    <w:p w:rsidR="00F96657" w:rsidRPr="004120DD" w:rsidRDefault="00F96657" w:rsidP="00F96657">
      <w:pPr>
        <w:tabs>
          <w:tab w:val="left" w:pos="720"/>
          <w:tab w:val="left" w:pos="1440"/>
        </w:tabs>
        <w:autoSpaceDE w:val="0"/>
        <w:autoSpaceDN w:val="0"/>
        <w:adjustRightInd w:val="0"/>
        <w:rPr>
          <w:szCs w:val="24"/>
        </w:rPr>
      </w:pPr>
    </w:p>
    <w:p w:rsidR="00F96657" w:rsidRDefault="00F96657" w:rsidP="00F96657">
      <w:pPr>
        <w:tabs>
          <w:tab w:val="left" w:pos="720"/>
          <w:tab w:val="left" w:pos="1440"/>
        </w:tabs>
        <w:autoSpaceDE w:val="0"/>
        <w:autoSpaceDN w:val="0"/>
        <w:adjustRightInd w:val="0"/>
        <w:rPr>
          <w:szCs w:val="24"/>
        </w:rPr>
      </w:pPr>
      <w:r w:rsidRPr="004120DD">
        <w:rPr>
          <w:szCs w:val="24"/>
        </w:rPr>
        <w:t xml:space="preserve">Generally, there are two main sources for determining the ordinary meaning of claim terms:  intrinsic evidence, found in the patent itself and its file history, and extrinsic evidence, which is found elsewhere.  Intrinsic evidence includes the claims of the patent, the patent’s specification, and prosecution history.  </w:t>
      </w:r>
      <w:r w:rsidRPr="00392CE0">
        <w:rPr>
          <w:i/>
          <w:szCs w:val="24"/>
        </w:rPr>
        <w:t>Primos Inc. v. Hutner’s Specialties Inc.</w:t>
      </w:r>
      <w:r w:rsidRPr="004120DD">
        <w:rPr>
          <w:szCs w:val="24"/>
        </w:rPr>
        <w:t xml:space="preserve">, 451 F.3d 841, 79 </w:t>
      </w:r>
      <w:r>
        <w:rPr>
          <w:szCs w:val="24"/>
        </w:rPr>
        <w:t>U.S.P.Q.</w:t>
      </w:r>
      <w:r w:rsidRPr="004120DD">
        <w:rPr>
          <w:szCs w:val="24"/>
        </w:rPr>
        <w:t>2d 1129, 1134 (Fed. Cir. 2006)</w:t>
      </w:r>
      <w:r>
        <w:rPr>
          <w:szCs w:val="24"/>
        </w:rPr>
        <w:fldChar w:fldCharType="begin"/>
      </w:r>
      <w:r>
        <w:instrText xml:space="preserve"> TA \l "</w:instrText>
      </w:r>
      <w:r w:rsidRPr="00F54CA2">
        <w:rPr>
          <w:szCs w:val="24"/>
          <w:u w:val="single"/>
        </w:rPr>
        <w:instrText>Primos Inc. v. Hutner’s Specialties Inc.</w:instrText>
      </w:r>
      <w:r w:rsidRPr="00F54CA2">
        <w:rPr>
          <w:szCs w:val="24"/>
        </w:rPr>
        <w:instrText xml:space="preserve">, 451 F.3d 841, 79 </w:instrText>
      </w:r>
      <w:r>
        <w:rPr>
          <w:szCs w:val="24"/>
        </w:rPr>
        <w:instrText>U.S.P.Q.</w:instrText>
      </w:r>
      <w:r w:rsidRPr="00F54CA2">
        <w:rPr>
          <w:szCs w:val="24"/>
        </w:rPr>
        <w:instrText>2d 1129, 1134 (Fed. Cir. 2006)</w:instrText>
      </w:r>
      <w:r>
        <w:instrText xml:space="preserve">" \s "Primos Inc. v. Hutner’s Specialties Inc., 451 F.3d 841, 79 U.S.P.Q.2d 1129, 1134 (Fed. Cir. 2006)" \c 1 </w:instrText>
      </w:r>
      <w:r>
        <w:rPr>
          <w:szCs w:val="24"/>
        </w:rPr>
        <w:fldChar w:fldCharType="end"/>
      </w:r>
      <w:r w:rsidRPr="004120DD">
        <w:rPr>
          <w:szCs w:val="24"/>
        </w:rPr>
        <w:t xml:space="preserve">.  A claim term’s meaning can also be determined from explicit or implicit usage in the patent’s specification.  </w:t>
      </w:r>
      <w:r w:rsidRPr="00392CE0">
        <w:rPr>
          <w:i/>
          <w:szCs w:val="24"/>
        </w:rPr>
        <w:t>Irdeto Access Inc. v. Echostar Satellite Corp</w:t>
      </w:r>
      <w:r w:rsidRPr="004120DD">
        <w:rPr>
          <w:szCs w:val="24"/>
        </w:rPr>
        <w:t xml:space="preserve">., 383 F.3d 1295, 72 </w:t>
      </w:r>
      <w:r>
        <w:rPr>
          <w:szCs w:val="24"/>
        </w:rPr>
        <w:t>U.S.P.Q.</w:t>
      </w:r>
      <w:r w:rsidRPr="004120DD">
        <w:rPr>
          <w:szCs w:val="24"/>
        </w:rPr>
        <w:t>2d 1678, 1682 (Fed. Cir. 2002)</w:t>
      </w:r>
      <w:r>
        <w:rPr>
          <w:szCs w:val="24"/>
        </w:rPr>
        <w:fldChar w:fldCharType="begin"/>
      </w:r>
      <w:r>
        <w:instrText xml:space="preserve"> TA \l "</w:instrText>
      </w:r>
      <w:r w:rsidRPr="00F54CA2">
        <w:rPr>
          <w:szCs w:val="24"/>
          <w:u w:val="single"/>
        </w:rPr>
        <w:instrText>Irdeto Access Inc. v. Echostar Satellite Corp</w:instrText>
      </w:r>
      <w:r w:rsidRPr="00F54CA2">
        <w:rPr>
          <w:szCs w:val="24"/>
        </w:rPr>
        <w:instrText xml:space="preserve">., 383 F.3d 1295, 72 </w:instrText>
      </w:r>
      <w:r>
        <w:rPr>
          <w:szCs w:val="24"/>
        </w:rPr>
        <w:instrText>U.S.P.Q.</w:instrText>
      </w:r>
      <w:r w:rsidRPr="00F54CA2">
        <w:rPr>
          <w:szCs w:val="24"/>
        </w:rPr>
        <w:instrText>2d 1678, 1682 (Fed. Cir. 2002)</w:instrText>
      </w:r>
      <w:r>
        <w:instrText xml:space="preserve">" \s "Irdeto Access Inc. v. Echostar Satellite Corp., 383 F.3d 1295, 72 U.S.P.Q.2d 1678, 1682 (Fed. Cir. 2002)" \c 1 </w:instrText>
      </w:r>
      <w:r>
        <w:rPr>
          <w:szCs w:val="24"/>
        </w:rPr>
        <w:fldChar w:fldCharType="end"/>
      </w:r>
      <w:r w:rsidRPr="004120DD">
        <w:rPr>
          <w:szCs w:val="24"/>
        </w:rPr>
        <w:t xml:space="preserve">; </w:t>
      </w:r>
      <w:r w:rsidRPr="00392CE0">
        <w:rPr>
          <w:i/>
          <w:szCs w:val="24"/>
        </w:rPr>
        <w:t>Bell Atlantic Network Svcs., Inc. v. Covad Comm. Group</w:t>
      </w:r>
      <w:r w:rsidRPr="004120DD">
        <w:rPr>
          <w:szCs w:val="24"/>
        </w:rPr>
        <w:t>, 262 F.3d 1258, 1273 (Fed. Cir. 2001)</w:t>
      </w:r>
      <w:r>
        <w:rPr>
          <w:szCs w:val="24"/>
        </w:rPr>
        <w:fldChar w:fldCharType="begin"/>
      </w:r>
      <w:r>
        <w:instrText xml:space="preserve"> TA \l "</w:instrText>
      </w:r>
      <w:r w:rsidRPr="00F54CA2">
        <w:rPr>
          <w:szCs w:val="24"/>
          <w:u w:val="single"/>
        </w:rPr>
        <w:instrText>Bell Atlantic Network Svcs., Inc. v. Covad Comm. Group</w:instrText>
      </w:r>
      <w:r w:rsidRPr="00F54CA2">
        <w:rPr>
          <w:szCs w:val="24"/>
        </w:rPr>
        <w:instrText>, 262 F.3d 1258, 1273 (Fed. Cir. 2001)</w:instrText>
      </w:r>
      <w:r>
        <w:instrText xml:space="preserve">" \s "Bell Atlantic Network Svcs., Inc. v. Covad Comm. Group, 262 F.3d 1258, 1273 (Fed. Cir. 2001)" \c 1 </w:instrText>
      </w:r>
      <w:r>
        <w:rPr>
          <w:szCs w:val="24"/>
        </w:rPr>
        <w:fldChar w:fldCharType="end"/>
      </w:r>
      <w:r w:rsidRPr="004120DD">
        <w:rPr>
          <w:szCs w:val="24"/>
        </w:rPr>
        <w:t xml:space="preserve">.  To that end, language used in the written description may limit a claim term or provide a disavowal of certain subject mater.  </w:t>
      </w:r>
      <w:r w:rsidRPr="00392CE0">
        <w:rPr>
          <w:i/>
          <w:szCs w:val="24"/>
        </w:rPr>
        <w:t>Honeywell Int’l Inc. v. ITT Indus. Inc.</w:t>
      </w:r>
      <w:r w:rsidRPr="004120DD">
        <w:rPr>
          <w:szCs w:val="24"/>
        </w:rPr>
        <w:t xml:space="preserve">, 79 </w:t>
      </w:r>
      <w:r>
        <w:rPr>
          <w:szCs w:val="24"/>
        </w:rPr>
        <w:t>U.S.P.Q.</w:t>
      </w:r>
      <w:r w:rsidRPr="004120DD">
        <w:rPr>
          <w:szCs w:val="24"/>
        </w:rPr>
        <w:t>2d 1294 (Fed. Cir. 2006)</w:t>
      </w:r>
      <w:r>
        <w:rPr>
          <w:szCs w:val="24"/>
        </w:rPr>
        <w:fldChar w:fldCharType="begin"/>
      </w:r>
      <w:r>
        <w:instrText xml:space="preserve"> TA \l "</w:instrText>
      </w:r>
      <w:r w:rsidRPr="00F54CA2">
        <w:rPr>
          <w:szCs w:val="24"/>
          <w:u w:val="single"/>
        </w:rPr>
        <w:instrText xml:space="preserve">Honeywell </w:instrText>
      </w:r>
      <w:r>
        <w:rPr>
          <w:szCs w:val="24"/>
          <w:u w:val="single"/>
        </w:rPr>
        <w:instrText>Int’l</w:instrText>
      </w:r>
      <w:r w:rsidRPr="00F54CA2">
        <w:rPr>
          <w:szCs w:val="24"/>
          <w:u w:val="single"/>
        </w:rPr>
        <w:instrText xml:space="preserve"> Inc. v. ITT </w:instrText>
      </w:r>
      <w:r>
        <w:rPr>
          <w:szCs w:val="24"/>
          <w:u w:val="single"/>
        </w:rPr>
        <w:instrText>Indus.</w:instrText>
      </w:r>
      <w:r w:rsidRPr="00F54CA2">
        <w:rPr>
          <w:szCs w:val="24"/>
          <w:u w:val="single"/>
        </w:rPr>
        <w:instrText xml:space="preserve"> Inc.</w:instrText>
      </w:r>
      <w:r w:rsidRPr="00F54CA2">
        <w:rPr>
          <w:szCs w:val="24"/>
        </w:rPr>
        <w:instrText xml:space="preserve">, 79 </w:instrText>
      </w:r>
      <w:r>
        <w:rPr>
          <w:szCs w:val="24"/>
        </w:rPr>
        <w:instrText>U.S.P.Q.</w:instrText>
      </w:r>
      <w:r w:rsidRPr="00F54CA2">
        <w:rPr>
          <w:szCs w:val="24"/>
        </w:rPr>
        <w:instrText>2d 1294 (Fed. Cir. 2006)</w:instrText>
      </w:r>
      <w:r>
        <w:instrText xml:space="preserve">" \s "Honeywell Int’l Inc. v. ITT Indus. Inc., 79 U.S.P.Q.2d 1294 (Fed. Cir. 2006)" \c 1 </w:instrText>
      </w:r>
      <w:r>
        <w:rPr>
          <w:szCs w:val="24"/>
        </w:rPr>
        <w:fldChar w:fldCharType="end"/>
      </w:r>
      <w:r w:rsidRPr="004120DD">
        <w:rPr>
          <w:szCs w:val="24"/>
        </w:rPr>
        <w:t xml:space="preserve">.  However, limitations cannot be read into the claims from the specification.  </w:t>
      </w:r>
      <w:r w:rsidRPr="00B42EF0">
        <w:rPr>
          <w:i/>
          <w:szCs w:val="24"/>
        </w:rPr>
        <w:t>Id</w:t>
      </w:r>
      <w:r w:rsidRPr="004120DD">
        <w:rPr>
          <w:szCs w:val="24"/>
        </w:rPr>
        <w:t>.</w:t>
      </w:r>
      <w:r>
        <w:rPr>
          <w:szCs w:val="24"/>
        </w:rPr>
        <w:fldChar w:fldCharType="begin"/>
      </w:r>
      <w:r>
        <w:instrText xml:space="preserve"> TA \s "Honeywell Int’l Inc. v. ITT Indus. Inc., 79 U.S.P.Q.2d 1294 (Fed. Cir. 2006)" </w:instrText>
      </w:r>
      <w:r>
        <w:rPr>
          <w:szCs w:val="24"/>
        </w:rPr>
        <w:fldChar w:fldCharType="end"/>
      </w:r>
      <w:r w:rsidRPr="004120DD">
        <w:rPr>
          <w:szCs w:val="24"/>
        </w:rPr>
        <w:t xml:space="preserve"> at 1323</w:t>
      </w:r>
      <w:r>
        <w:rPr>
          <w:szCs w:val="24"/>
        </w:rPr>
        <w:t>.</w:t>
      </w:r>
    </w:p>
    <w:p w:rsidR="00F96657" w:rsidRPr="004120DD" w:rsidRDefault="00F96657" w:rsidP="00F96657">
      <w:pPr>
        <w:tabs>
          <w:tab w:val="left" w:pos="720"/>
          <w:tab w:val="left" w:pos="1440"/>
        </w:tabs>
        <w:autoSpaceDE w:val="0"/>
        <w:autoSpaceDN w:val="0"/>
        <w:adjustRightInd w:val="0"/>
        <w:rPr>
          <w:szCs w:val="24"/>
        </w:rPr>
      </w:pPr>
    </w:p>
    <w:p w:rsidR="00F96657" w:rsidRPr="004120DD" w:rsidRDefault="00F96657" w:rsidP="00F96657">
      <w:pPr>
        <w:tabs>
          <w:tab w:val="left" w:pos="720"/>
          <w:tab w:val="left" w:pos="1440"/>
        </w:tabs>
        <w:autoSpaceDE w:val="0"/>
        <w:autoSpaceDN w:val="0"/>
        <w:adjustRightInd w:val="0"/>
        <w:rPr>
          <w:szCs w:val="24"/>
        </w:rPr>
      </w:pPr>
      <w:r w:rsidRPr="004120DD">
        <w:rPr>
          <w:szCs w:val="24"/>
        </w:rPr>
        <w:t xml:space="preserve">The Federal Circuit has “also authorized district courts to rely on extrinsic evidence, which ‘consists of all evidence external to the patent and prosecution history, including expert and inventor testimony, dictionaries, and learned treatises.’”  </w:t>
      </w:r>
      <w:r w:rsidRPr="00392CE0">
        <w:rPr>
          <w:i/>
          <w:szCs w:val="24"/>
        </w:rPr>
        <w:t>Phillips v. AWH Corp.</w:t>
      </w:r>
      <w:r w:rsidR="00392CE0">
        <w:rPr>
          <w:szCs w:val="24"/>
        </w:rPr>
        <w:t>,</w:t>
      </w:r>
      <w:r w:rsidRPr="004120DD">
        <w:rPr>
          <w:szCs w:val="24"/>
        </w:rPr>
        <w:t xml:space="preserve"> 415 F.3d 1303</w:t>
      </w:r>
      <w:r>
        <w:rPr>
          <w:szCs w:val="24"/>
        </w:rPr>
        <w:fldChar w:fldCharType="begin"/>
      </w:r>
      <w:r>
        <w:instrText xml:space="preserve"> TA \l "</w:instrText>
      </w:r>
      <w:r w:rsidRPr="00F54CA2">
        <w:rPr>
          <w:szCs w:val="24"/>
          <w:u w:val="single"/>
        </w:rPr>
        <w:instrText>Phillips v. AWH Corp.,</w:instrText>
      </w:r>
      <w:r w:rsidRPr="00F54CA2">
        <w:rPr>
          <w:szCs w:val="24"/>
        </w:rPr>
        <w:instrText xml:space="preserve"> 415 F.3d 1303</w:instrText>
      </w:r>
      <w:r>
        <w:instrText xml:space="preserve">" \s "Phillips v. AWH Corp., 415 F.3d 1303" \c 1 </w:instrText>
      </w:r>
      <w:r>
        <w:rPr>
          <w:szCs w:val="24"/>
        </w:rPr>
        <w:fldChar w:fldCharType="end"/>
      </w:r>
      <w:r w:rsidRPr="004120DD">
        <w:rPr>
          <w:szCs w:val="24"/>
        </w:rPr>
        <w:t xml:space="preserve">.  </w:t>
      </w:r>
      <w:r w:rsidR="00564E50">
        <w:rPr>
          <w:szCs w:val="24"/>
        </w:rPr>
        <w:t>However, “</w:t>
      </w:r>
      <w:r w:rsidR="00564E50" w:rsidRPr="00564E50">
        <w:rPr>
          <w:szCs w:val="24"/>
        </w:rPr>
        <w:t>a court may not use the accused product or process as a form of extrinsic evidence to supply limitations for patent claim language.”</w:t>
      </w:r>
      <w:r w:rsidR="00564E50">
        <w:rPr>
          <w:szCs w:val="24"/>
        </w:rPr>
        <w:t xml:space="preserve"> </w:t>
      </w:r>
      <w:r w:rsidR="00564E50" w:rsidRPr="00392CE0">
        <w:rPr>
          <w:i/>
          <w:szCs w:val="24"/>
        </w:rPr>
        <w:t>Wilson Sporting Goods Co. v. Hillerich &amp; Bradsby Co.</w:t>
      </w:r>
      <w:r w:rsidR="00564E50" w:rsidRPr="00564E50">
        <w:rPr>
          <w:szCs w:val="24"/>
        </w:rPr>
        <w:t>, 442 F.3d 1322, 1330-1331, 2006 U.S. App. LEXIS 7169, *21-22, 78 U.S.P.Q.2D (BNA) 1382, 1389 (Fed. Cir. 2006)</w:t>
      </w:r>
      <w:r w:rsidR="00564E50">
        <w:rPr>
          <w:szCs w:val="24"/>
        </w:rPr>
        <w:t xml:space="preserve">. </w:t>
      </w:r>
      <w:r w:rsidRPr="004120DD">
        <w:rPr>
          <w:szCs w:val="24"/>
        </w:rPr>
        <w:t xml:space="preserve">In </w:t>
      </w:r>
      <w:r w:rsidRPr="00392CE0">
        <w:rPr>
          <w:i/>
          <w:szCs w:val="24"/>
        </w:rPr>
        <w:t>Phillips</w:t>
      </w:r>
      <w:r>
        <w:rPr>
          <w:szCs w:val="24"/>
          <w:u w:val="single"/>
        </w:rPr>
        <w:fldChar w:fldCharType="begin"/>
      </w:r>
      <w:r>
        <w:instrText xml:space="preserve"> TA \s "Phillips v. AWH Corp., 415 F.3d 1303" </w:instrText>
      </w:r>
      <w:r>
        <w:rPr>
          <w:szCs w:val="24"/>
          <w:u w:val="single"/>
        </w:rPr>
        <w:fldChar w:fldCharType="end"/>
      </w:r>
      <w:r w:rsidRPr="004120DD">
        <w:rPr>
          <w:szCs w:val="24"/>
        </w:rPr>
        <w:t xml:space="preserve">, the Federal Circuit placed greater evidential weight or emphasis on intrinsic evidence when interpreting claims, and “viewed extrinsic evidence in general as less reliable than the patent and its prosecution history in determining how to read claim terms.”  </w:t>
      </w:r>
      <w:r w:rsidRPr="00392CE0">
        <w:rPr>
          <w:i/>
          <w:szCs w:val="24"/>
        </w:rPr>
        <w:t>Phillips</w:t>
      </w:r>
      <w:r w:rsidRPr="004120DD">
        <w:rPr>
          <w:szCs w:val="24"/>
        </w:rPr>
        <w:t xml:space="preserve">, </w:t>
      </w:r>
      <w:r w:rsidRPr="00392CE0">
        <w:rPr>
          <w:i/>
          <w:szCs w:val="24"/>
        </w:rPr>
        <w:t>Id</w:t>
      </w:r>
      <w:r w:rsidR="00392CE0">
        <w:rPr>
          <w:szCs w:val="24"/>
        </w:rPr>
        <w:t>.</w:t>
      </w:r>
      <w:r>
        <w:rPr>
          <w:szCs w:val="24"/>
          <w:u w:val="single"/>
        </w:rPr>
        <w:fldChar w:fldCharType="begin"/>
      </w:r>
      <w:r>
        <w:instrText xml:space="preserve"> TA \s "Phillips v. AWH Corp., 415 F.3d 1303" </w:instrText>
      </w:r>
      <w:r>
        <w:rPr>
          <w:szCs w:val="24"/>
          <w:u w:val="single"/>
        </w:rPr>
        <w:fldChar w:fldCharType="end"/>
      </w:r>
      <w:r w:rsidRPr="004120DD">
        <w:rPr>
          <w:szCs w:val="24"/>
        </w:rPr>
        <w:t xml:space="preserve"> at 1330.    Intrinsic evidence is also favored over extrinsic evidence because it is available to interested parties who seek to determine what the patent forbids them to do.  </w:t>
      </w:r>
      <w:r w:rsidRPr="00392CE0">
        <w:rPr>
          <w:i/>
          <w:szCs w:val="24"/>
        </w:rPr>
        <w:t>Id</w:t>
      </w:r>
      <w:r w:rsidR="00392CE0">
        <w:rPr>
          <w:szCs w:val="24"/>
        </w:rPr>
        <w:t>.</w:t>
      </w:r>
      <w:r w:rsidRPr="002D0E2B">
        <w:rPr>
          <w:szCs w:val="24"/>
          <w:u w:val="single"/>
        </w:rPr>
        <w:fldChar w:fldCharType="begin"/>
      </w:r>
      <w:r w:rsidRPr="002D0E2B">
        <w:rPr>
          <w:u w:val="single"/>
        </w:rPr>
        <w:instrText xml:space="preserve"> TA \s "Phillips v. AWH Corp., 415 F.3d 1303" </w:instrText>
      </w:r>
      <w:r w:rsidRPr="002D0E2B">
        <w:rPr>
          <w:szCs w:val="24"/>
          <w:u w:val="single"/>
        </w:rPr>
        <w:fldChar w:fldCharType="end"/>
      </w:r>
      <w:r w:rsidRPr="004120DD">
        <w:rPr>
          <w:szCs w:val="24"/>
        </w:rPr>
        <w:t xml:space="preserve"> See also </w:t>
      </w:r>
      <w:r w:rsidRPr="00392CE0">
        <w:rPr>
          <w:i/>
          <w:szCs w:val="24"/>
        </w:rPr>
        <w:t>MBO Labs. Inc. v. Becton</w:t>
      </w:r>
      <w:r w:rsidR="00392CE0">
        <w:rPr>
          <w:szCs w:val="24"/>
        </w:rPr>
        <w:t>,</w:t>
      </w:r>
      <w:r w:rsidRPr="004120DD">
        <w:rPr>
          <w:szCs w:val="24"/>
        </w:rPr>
        <w:t xml:space="preserve"> 474 F.3d 1323, 81 </w:t>
      </w:r>
      <w:r>
        <w:rPr>
          <w:szCs w:val="24"/>
        </w:rPr>
        <w:t>U.S.P.Q.</w:t>
      </w:r>
      <w:r w:rsidRPr="004120DD">
        <w:rPr>
          <w:szCs w:val="24"/>
        </w:rPr>
        <w:t>2d 1661, 1665 (Fed. Cir. 2007)</w:t>
      </w:r>
      <w:r>
        <w:rPr>
          <w:szCs w:val="24"/>
        </w:rPr>
        <w:fldChar w:fldCharType="begin"/>
      </w:r>
      <w:r>
        <w:instrText xml:space="preserve"> TA \l "</w:instrText>
      </w:r>
      <w:r w:rsidRPr="00F54CA2">
        <w:rPr>
          <w:szCs w:val="24"/>
          <w:u w:val="single"/>
        </w:rPr>
        <w:instrText xml:space="preserve">MBO </w:instrText>
      </w:r>
      <w:r>
        <w:rPr>
          <w:szCs w:val="24"/>
          <w:u w:val="single"/>
        </w:rPr>
        <w:instrText>Labs.</w:instrText>
      </w:r>
      <w:r w:rsidRPr="00F54CA2">
        <w:rPr>
          <w:szCs w:val="24"/>
          <w:u w:val="single"/>
        </w:rPr>
        <w:instrText xml:space="preserve"> Inc. v. Becton,</w:instrText>
      </w:r>
      <w:r w:rsidRPr="00F54CA2">
        <w:rPr>
          <w:szCs w:val="24"/>
        </w:rPr>
        <w:instrText xml:space="preserve"> 474 F.3d 1323, 81 </w:instrText>
      </w:r>
      <w:r>
        <w:rPr>
          <w:szCs w:val="24"/>
        </w:rPr>
        <w:instrText>U.S.P.Q.</w:instrText>
      </w:r>
      <w:r w:rsidRPr="00F54CA2">
        <w:rPr>
          <w:szCs w:val="24"/>
        </w:rPr>
        <w:instrText>2d 1661, 1665 (Fed. Cir. 2007)</w:instrText>
      </w:r>
      <w:r>
        <w:instrText xml:space="preserve">" \s "MBO Labs. Inc. v. Becton, 474 F.3d 1323, 81 U.S.P.Q.2d 1661, 1665 (Fed. Cir. 2007)" \c 1 </w:instrText>
      </w:r>
      <w:r>
        <w:rPr>
          <w:szCs w:val="24"/>
        </w:rPr>
        <w:fldChar w:fldCharType="end"/>
      </w:r>
      <w:r w:rsidRPr="004120DD">
        <w:rPr>
          <w:szCs w:val="24"/>
        </w:rPr>
        <w:t>.</w:t>
      </w:r>
    </w:p>
    <w:p w:rsidR="00F96657" w:rsidRPr="004120DD" w:rsidRDefault="00F96657" w:rsidP="00F96657">
      <w:pPr>
        <w:tabs>
          <w:tab w:val="left" w:pos="720"/>
          <w:tab w:val="left" w:pos="1440"/>
        </w:tabs>
      </w:pPr>
    </w:p>
    <w:p w:rsidR="00F96657" w:rsidRPr="004120DD" w:rsidRDefault="00F96657" w:rsidP="00F96657">
      <w:pPr>
        <w:pStyle w:val="Heading2"/>
        <w:rPr>
          <w:rFonts w:ascii="Times New Roman" w:hAnsi="Times New Roman"/>
        </w:rPr>
      </w:pPr>
      <w:bookmarkStart w:id="13" w:name="_Toc289408116"/>
      <w:bookmarkStart w:id="14" w:name="_Toc289409402"/>
      <w:bookmarkStart w:id="15" w:name="_Toc289409512"/>
      <w:bookmarkStart w:id="16" w:name="_Toc289409655"/>
      <w:bookmarkStart w:id="17" w:name="_Toc290548377"/>
      <w:bookmarkStart w:id="18" w:name="A2"/>
      <w:r w:rsidRPr="004120DD">
        <w:rPr>
          <w:rFonts w:ascii="Times New Roman" w:hAnsi="Times New Roman"/>
        </w:rPr>
        <w:t>2.</w:t>
      </w:r>
      <w:r w:rsidRPr="004120DD">
        <w:rPr>
          <w:rFonts w:ascii="Times New Roman" w:hAnsi="Times New Roman"/>
        </w:rPr>
        <w:tab/>
        <w:t>Means-Plus-Function Claims</w:t>
      </w:r>
      <w:bookmarkEnd w:id="13"/>
      <w:bookmarkEnd w:id="14"/>
      <w:bookmarkEnd w:id="15"/>
      <w:bookmarkEnd w:id="16"/>
      <w:bookmarkEnd w:id="17"/>
    </w:p>
    <w:bookmarkEnd w:id="18"/>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Claim elements may be claimed in functional terms.  </w:t>
      </w:r>
      <w:r w:rsidR="005A0DF9">
        <w:t xml:space="preserve">When expressed as a means or step for performing a specified function, such elements are means-plus-function or step-plus-function elements. </w:t>
      </w:r>
      <w:r w:rsidRPr="004120DD">
        <w:t>35 U.S.C. § 112</w:t>
      </w:r>
      <w:r w:rsidR="00564E50">
        <w:t xml:space="preserve">(f) (pre-AIA 35 U.S.C. </w:t>
      </w:r>
      <w:r>
        <w:fldChar w:fldCharType="begin"/>
      </w:r>
      <w:r>
        <w:instrText xml:space="preserve"> TA \l "</w:instrText>
      </w:r>
      <w:r w:rsidRPr="00F54CA2">
        <w:instrText>35 U.S.C. § 112</w:instrText>
      </w:r>
      <w:r>
        <w:instrText xml:space="preserve">" \s "35 U.S.C. § 112" \c 2 </w:instrText>
      </w:r>
      <w:r>
        <w:fldChar w:fldCharType="end"/>
      </w:r>
      <w:r w:rsidR="00564E50" w:rsidRPr="004120DD">
        <w:t>§ 112</w:t>
      </w:r>
      <w:r w:rsidR="00564E50">
        <w:t xml:space="preserve"> </w:t>
      </w:r>
      <w:r w:rsidRPr="004120DD">
        <w:t>¶6</w:t>
      </w:r>
      <w:r w:rsidR="00564E50">
        <w:t>)</w:t>
      </w:r>
      <w:r w:rsidRPr="004120DD">
        <w:t>.  Proper construction of a potential means-plus-function claim is a three-step process.  First, it must be resolved whether the claim is, in fact, to be construed according to 35 U.S.C. § 112</w:t>
      </w:r>
      <w:r>
        <w:fldChar w:fldCharType="begin"/>
      </w:r>
      <w:r>
        <w:instrText xml:space="preserve"> TA \s "35 U.S.C. § 112" </w:instrText>
      </w:r>
      <w:r>
        <w:fldChar w:fldCharType="end"/>
      </w:r>
      <w:r w:rsidRPr="004120DD">
        <w:t xml:space="preserve">, ¶6.  “Once a court concludes that a claim limitation is a means-plus-function limitation, two steps of claim construction remain: 1) the court must first identify the function of the limitation; and 2) the court must then look to the specification and identify the corresponding structure for that function.”  </w:t>
      </w:r>
      <w:r w:rsidRPr="00392CE0">
        <w:rPr>
          <w:i/>
        </w:rPr>
        <w:t>Biomedino LLC v. Waters Technologies Corp</w:t>
      </w:r>
      <w:r w:rsidRPr="004120DD">
        <w:t xml:space="preserve">., 490 F.3d 946, 83 </w:t>
      </w:r>
      <w:r>
        <w:t>U.S.P.Q.</w:t>
      </w:r>
      <w:r w:rsidRPr="004120DD">
        <w:t>2d 1118, 1121 (Fed. Cir. 2007)</w:t>
      </w:r>
      <w:r>
        <w:fldChar w:fldCharType="begin"/>
      </w:r>
      <w:r>
        <w:instrText xml:space="preserve"> TA \l "</w:instrText>
      </w:r>
      <w:r w:rsidRPr="00F54CA2">
        <w:rPr>
          <w:u w:val="single"/>
        </w:rPr>
        <w:instrText>Biomedino LLC v. Waters Technologies Corp</w:instrText>
      </w:r>
      <w:r w:rsidRPr="00F54CA2">
        <w:instrText xml:space="preserve">., 490 F.3d 946, 83 </w:instrText>
      </w:r>
      <w:r>
        <w:instrText>U.S.P.Q.</w:instrText>
      </w:r>
      <w:r w:rsidRPr="00F54CA2">
        <w:instrText>2d 1118, 1121 (Fed. Cir. 2007)</w:instrText>
      </w:r>
      <w:r>
        <w:instrText xml:space="preserve">" \s "Biomedino LLC v. Waters Technologies Corp., 490 F.3d 946, 83 U.S.P.Q.2d 1118, 1121 (Fed. Cir. 2007)" \c 1 </w:instrText>
      </w:r>
      <w:r>
        <w:fldChar w:fldCharType="end"/>
      </w:r>
      <w:r w:rsidRPr="004120DD">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Use of the word “means</w:t>
      </w:r>
      <w:r w:rsidR="005A0DF9">
        <w:t xml:space="preserve"> for</w:t>
      </w:r>
      <w:r w:rsidRPr="004120DD">
        <w:t>”</w:t>
      </w:r>
      <w:r w:rsidR="005A0DF9">
        <w:t xml:space="preserve"> or “step for”</w:t>
      </w:r>
      <w:r w:rsidRPr="004120DD">
        <w:t xml:space="preserve"> in claim language creates a presumption that 35 U.S.C. §</w:t>
      </w:r>
      <w:r>
        <w:t xml:space="preserve"> </w:t>
      </w:r>
      <w:r w:rsidRPr="004120DD">
        <w:t>112</w:t>
      </w:r>
      <w:r>
        <w:fldChar w:fldCharType="begin"/>
      </w:r>
      <w:r>
        <w:instrText xml:space="preserve"> TA \s "35 U.S.C. § 112" </w:instrText>
      </w:r>
      <w:r>
        <w:fldChar w:fldCharType="end"/>
      </w:r>
      <w:r>
        <w:t xml:space="preserve">, </w:t>
      </w:r>
      <w:r w:rsidRPr="004120DD">
        <w:t xml:space="preserve">¶6 applies.  </w:t>
      </w:r>
      <w:r w:rsidRPr="00392CE0">
        <w:rPr>
          <w:i/>
        </w:rPr>
        <w:t>TriMed Inc. v. Stryker Corp</w:t>
      </w:r>
      <w:r w:rsidRPr="004120DD">
        <w:t xml:space="preserve">., 514 F.3d 1256 (Fed. Cir. 2008); </w:t>
      </w:r>
      <w:r w:rsidRPr="00392CE0">
        <w:rPr>
          <w:rStyle w:val="emphi"/>
          <w:i/>
        </w:rPr>
        <w:t>Greenberg v. Ethicon Endo-Surgery, Inc</w:t>
      </w:r>
      <w:r w:rsidRPr="004120DD">
        <w:rPr>
          <w:rStyle w:val="emphi"/>
        </w:rPr>
        <w:t>.</w:t>
      </w:r>
      <w:r w:rsidRPr="004120DD">
        <w:t>, 91 F.3d 1580, 1583 (Fed. Cir. 1996)</w:t>
      </w:r>
      <w:r>
        <w:fldChar w:fldCharType="begin"/>
      </w:r>
      <w:r>
        <w:instrText xml:space="preserve"> TA \l "</w:instrText>
      </w:r>
      <w:r w:rsidRPr="00BB3832">
        <w:rPr>
          <w:rStyle w:val="emphi"/>
          <w:u w:val="single"/>
        </w:rPr>
        <w:instrText>Greenberg v. Ethicon Endo-Surgery, Inc</w:instrText>
      </w:r>
      <w:r w:rsidRPr="00BB3832">
        <w:rPr>
          <w:rStyle w:val="emphi"/>
        </w:rPr>
        <w:instrText>.</w:instrText>
      </w:r>
      <w:r w:rsidRPr="00BB3832">
        <w:instrText>, 91 F.3d 1580, 1583 (Fed. Cir. 1996)</w:instrText>
      </w:r>
      <w:r>
        <w:instrText xml:space="preserve">" \s "Greenberg v. Ethicon Endo-Surgery, Inc., 91 F.3d 1580, 1583 (Fed. Cir. 1996)" \c 1 </w:instrText>
      </w:r>
      <w:r>
        <w:fldChar w:fldCharType="end"/>
      </w:r>
      <w:r w:rsidRPr="004120DD">
        <w:t xml:space="preserve">. If, in addition to the word “means” and the functional language, the claim recites sufficient structure for performing the described functions in their entirety, the presumption of </w:t>
      </w:r>
      <w:r>
        <w:t xml:space="preserve">35 U.S.C. </w:t>
      </w:r>
      <w:r w:rsidRPr="004120DD">
        <w:t>§</w:t>
      </w:r>
      <w:r>
        <w:t xml:space="preserve"> </w:t>
      </w:r>
      <w:r w:rsidRPr="004120DD">
        <w:t>112</w:t>
      </w:r>
      <w:r>
        <w:fldChar w:fldCharType="begin"/>
      </w:r>
      <w:r>
        <w:instrText xml:space="preserve"> TA \s "35 U.S.C. § 112" </w:instrText>
      </w:r>
      <w:r>
        <w:fldChar w:fldCharType="end"/>
      </w:r>
      <w:r w:rsidRPr="004120DD">
        <w:t xml:space="preserve"> ¶ 6 is overcome—the limitation is not a means-plus-function </w:t>
      </w:r>
      <w:r w:rsidR="005A0DF9">
        <w:t xml:space="preserve">or step-plus-function </w:t>
      </w:r>
      <w:r w:rsidRPr="004120DD">
        <w:t xml:space="preserve">limitation.  </w:t>
      </w:r>
      <w:r w:rsidRPr="00392CE0">
        <w:rPr>
          <w:i/>
        </w:rPr>
        <w:t>TriMed Inc. v. Stryker Corp</w:t>
      </w:r>
      <w:r w:rsidRPr="004120DD">
        <w:t>., 514 F.3d 1256 (Fed. Cir. 2008)</w:t>
      </w:r>
      <w:r>
        <w:fldChar w:fldCharType="begin"/>
      </w:r>
      <w:r>
        <w:instrText xml:space="preserve"> TA \l "</w:instrText>
      </w:r>
      <w:r w:rsidRPr="00F54CA2">
        <w:rPr>
          <w:u w:val="single"/>
        </w:rPr>
        <w:instrText>TriMed Inc. v. Stryker Corp</w:instrText>
      </w:r>
      <w:r w:rsidRPr="00F54CA2">
        <w:instrText>., 514 F.3d 1256 (Fed. Cir. 2008)</w:instrText>
      </w:r>
      <w:r>
        <w:instrText xml:space="preserve">" \s "TriMed Inc. v. Stryker Corp., 514 F.3d 1256 (Fed. Cir. 2008)" \c 1 </w:instrText>
      </w:r>
      <w:r>
        <w:fldChar w:fldCharType="end"/>
      </w:r>
      <w:r w:rsidRPr="004120DD">
        <w:t xml:space="preserve">; </w:t>
      </w:r>
      <w:r w:rsidRPr="00392CE0">
        <w:rPr>
          <w:i/>
        </w:rPr>
        <w:t>Lighting</w:t>
      </w:r>
      <w:r w:rsidRPr="00392CE0">
        <w:rPr>
          <w:rStyle w:val="emphi"/>
          <w:i/>
        </w:rPr>
        <w:t xml:space="preserve"> World, Inc. v. Birchwood Lighting, Inc</w:t>
      </w:r>
      <w:r w:rsidRPr="004120DD">
        <w:rPr>
          <w:rStyle w:val="emphi"/>
        </w:rPr>
        <w:t>.</w:t>
      </w:r>
      <w:r w:rsidRPr="004120DD">
        <w:t>, 382 F.3d 1354, 1360 (Fed. Cir. 2004)</w:t>
      </w:r>
      <w:r>
        <w:fldChar w:fldCharType="begin"/>
      </w:r>
      <w:r>
        <w:instrText xml:space="preserve"> TA \l "</w:instrText>
      </w:r>
      <w:r w:rsidRPr="00F54CA2">
        <w:rPr>
          <w:u w:val="single"/>
        </w:rPr>
        <w:instrText>Lighting</w:instrText>
      </w:r>
      <w:r w:rsidRPr="00F54CA2">
        <w:rPr>
          <w:rStyle w:val="emphi"/>
          <w:u w:val="single"/>
        </w:rPr>
        <w:instrText xml:space="preserve"> World, Inc. v. Birchwood Lighting, Inc</w:instrText>
      </w:r>
      <w:r w:rsidRPr="00F54CA2">
        <w:rPr>
          <w:rStyle w:val="emphi"/>
        </w:rPr>
        <w:instrText>.</w:instrText>
      </w:r>
      <w:r w:rsidRPr="00F54CA2">
        <w:instrText>, 382 F.3d 1354, 1360 (Fed. Cir. 2004)</w:instrText>
      </w:r>
      <w:r>
        <w:instrText xml:space="preserve">" \s "Lighting World, Inc. v. Birchwood Lighting, Inc., 382 F.3d 1354, 1360 (Fed. Cir. 2004)" \c 1 </w:instrText>
      </w:r>
      <w:r>
        <w:fldChar w:fldCharType="end"/>
      </w:r>
      <w:r w:rsidRPr="004120DD">
        <w:t xml:space="preserve">.  Sufficient structure exists when the claim language specifies the exact structure that performs the function in question without need to resort to other portions of the specification or extrinsic evidence for an adequate understanding of the structure.  </w:t>
      </w:r>
      <w:r w:rsidRPr="00392CE0">
        <w:rPr>
          <w:i/>
        </w:rPr>
        <w:t>TriMed Inc. v. Stryker Corp</w:t>
      </w:r>
      <w:r w:rsidRPr="004120DD">
        <w:t>., 514 F.3d 1256 (Fed. Cir. 2008)</w:t>
      </w:r>
      <w:r>
        <w:fldChar w:fldCharType="begin"/>
      </w:r>
      <w:r>
        <w:instrText xml:space="preserve"> TA \s "TriMed Inc. v. Stryker Corp., 514 F.3d 1256 (Fed. Cir. 2008)" </w:instrText>
      </w:r>
      <w:r>
        <w:fldChar w:fldCharType="end"/>
      </w:r>
      <w:r w:rsidRPr="004120DD">
        <w:t>;</w:t>
      </w:r>
      <w:r w:rsidRPr="000D5A6D">
        <w:t xml:space="preserve"> </w:t>
      </w:r>
      <w:r w:rsidRPr="00392CE0">
        <w:rPr>
          <w:i/>
        </w:rPr>
        <w:t>Altiris, Inc. v. Symantec Corp.</w:t>
      </w:r>
      <w:r w:rsidRPr="002B1326">
        <w:t>, 318 F.3d 1363, 1376 (Fed. Cir. 2003)</w:t>
      </w:r>
      <w:r>
        <w:fldChar w:fldCharType="begin"/>
      </w:r>
      <w:r>
        <w:instrText xml:space="preserve"> TA \l "</w:instrText>
      </w:r>
      <w:r w:rsidRPr="00F54CA2">
        <w:rPr>
          <w:u w:val="single"/>
        </w:rPr>
        <w:instrText>Altiris, Inc. v. Symantec Corp.</w:instrText>
      </w:r>
      <w:r w:rsidRPr="00F54CA2">
        <w:instrText>, 318 F.3d 1363, 1376 (Fed. Cir. 2003)</w:instrText>
      </w:r>
      <w:r>
        <w:instrText xml:space="preserve">" \s "Altiris, Inc. v. Symantec Corp., 318 F.3d 1363, 1376 (Fed. Cir. 2003)" \c 1 </w:instrText>
      </w:r>
      <w:r>
        <w:fldChar w:fldCharType="end"/>
      </w:r>
      <w:r>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Conversely, the absence of the word “means” creates a presumption that 35 U.S.C. § 112</w:t>
      </w:r>
      <w:r>
        <w:fldChar w:fldCharType="begin"/>
      </w:r>
      <w:r>
        <w:instrText xml:space="preserve"> TA \s "35 U.S.C. § 112" </w:instrText>
      </w:r>
      <w:r>
        <w:fldChar w:fldCharType="end"/>
      </w:r>
      <w:r w:rsidRPr="004120DD">
        <w:t xml:space="preserve">, ¶6 does not apply, which presumption can be overcome “if it is shown that the claim term fails to recite sufficiently definite structure or else recites function without reciting sufficient structure for performing the function.”  </w:t>
      </w:r>
      <w:r w:rsidRPr="00392CE0">
        <w:rPr>
          <w:i/>
        </w:rPr>
        <w:t>Massachusetts Inst. of Tech. v. Abacus Software</w:t>
      </w:r>
      <w:r w:rsidRPr="004120DD">
        <w:t xml:space="preserve">, 462 F.3d 1344, 80 </w:t>
      </w:r>
      <w:r>
        <w:t>U.S.P.Q.</w:t>
      </w:r>
      <w:r w:rsidRPr="004120DD">
        <w:t>2d 1225, 1231 (Fed. Cir. 2006)</w:t>
      </w:r>
      <w:r>
        <w:fldChar w:fldCharType="begin"/>
      </w:r>
      <w:r>
        <w:instrText xml:space="preserve"> TA \l "</w:instrText>
      </w:r>
      <w:r w:rsidRPr="00F54CA2">
        <w:rPr>
          <w:u w:val="single"/>
        </w:rPr>
        <w:instrText xml:space="preserve">Massachusetts </w:instrText>
      </w:r>
      <w:r>
        <w:rPr>
          <w:u w:val="single"/>
        </w:rPr>
        <w:instrText>Inst.</w:instrText>
      </w:r>
      <w:r w:rsidRPr="00F54CA2">
        <w:rPr>
          <w:u w:val="single"/>
        </w:rPr>
        <w:instrText xml:space="preserve"> of </w:instrText>
      </w:r>
      <w:r>
        <w:rPr>
          <w:u w:val="single"/>
        </w:rPr>
        <w:instrText>Tech.</w:instrText>
      </w:r>
      <w:r w:rsidRPr="00F54CA2">
        <w:rPr>
          <w:u w:val="single"/>
        </w:rPr>
        <w:instrText xml:space="preserve"> v. Abacus Software</w:instrText>
      </w:r>
      <w:r w:rsidRPr="00F54CA2">
        <w:instrText xml:space="preserve">, 462 F.3d 1344, 80 </w:instrText>
      </w:r>
      <w:r>
        <w:instrText>U.S.P.Q.</w:instrText>
      </w:r>
      <w:r w:rsidRPr="00F54CA2">
        <w:instrText>2d 1225, 1231 (Fed. Cir. 2006)</w:instrText>
      </w:r>
      <w:r>
        <w:instrText xml:space="preserve">" \s "Massachusetts Inst. of Tech. v. Abacus Software, 462 F.3d 1344, 80 U.S.P.Q.2d 1225, 1231 (Fed. Cir. 2006)" \c 1 </w:instrText>
      </w:r>
      <w:r>
        <w:fldChar w:fldCharType="end"/>
      </w:r>
      <w:r w:rsidRPr="004120DD">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If </w:t>
      </w:r>
      <w:r>
        <w:t xml:space="preserve">35 U.S.C. </w:t>
      </w:r>
      <w:r w:rsidRPr="004120DD">
        <w:t>§ 112</w:t>
      </w:r>
      <w:r>
        <w:fldChar w:fldCharType="begin"/>
      </w:r>
      <w:r>
        <w:instrText xml:space="preserve"> TA \s "35 U.S.C. § 112" </w:instrText>
      </w:r>
      <w:r>
        <w:fldChar w:fldCharType="end"/>
      </w:r>
      <w:r w:rsidRPr="004120DD">
        <w:t xml:space="preserve">, ¶6 does apply, the function is that which is “explicitly recited in the claim.”  </w:t>
      </w:r>
      <w:r w:rsidRPr="00655780">
        <w:t>See</w:t>
      </w:r>
      <w:r w:rsidRPr="00392CE0">
        <w:rPr>
          <w:i/>
        </w:rPr>
        <w:t xml:space="preserve"> </w:t>
      </w:r>
      <w:r w:rsidRPr="00392CE0">
        <w:rPr>
          <w:rStyle w:val="emphi"/>
          <w:i/>
        </w:rPr>
        <w:t>Micro Chem., Inc. v. Great Plains Chem. Co</w:t>
      </w:r>
      <w:r w:rsidRPr="004120DD">
        <w:rPr>
          <w:rStyle w:val="emphi"/>
        </w:rPr>
        <w:t>.</w:t>
      </w:r>
      <w:r w:rsidRPr="004120DD">
        <w:t>, 194 F.3d 1250, 1258 (Fed. Cir. 1999)</w:t>
      </w:r>
      <w:r>
        <w:fldChar w:fldCharType="begin"/>
      </w:r>
      <w:r>
        <w:instrText xml:space="preserve"> TA \l "</w:instrText>
      </w:r>
      <w:r w:rsidRPr="003213B3">
        <w:rPr>
          <w:rStyle w:val="emphi"/>
          <w:u w:val="single"/>
        </w:rPr>
        <w:instrText>Micro Chem., Inc. v. Great Plains Chem. Co</w:instrText>
      </w:r>
      <w:r w:rsidRPr="003213B3">
        <w:rPr>
          <w:rStyle w:val="emphi"/>
        </w:rPr>
        <w:instrText>.</w:instrText>
      </w:r>
      <w:r w:rsidRPr="003213B3">
        <w:instrText>, 194 F.3d 1250, 1258 (Fed. Cir. 1999)</w:instrText>
      </w:r>
      <w:r>
        <w:instrText xml:space="preserve">" \s "Micro Chem., Inc. v. Great Plains Chem. Co., 194 F.3d 1250, 1258 (Fed. Cir. 1999)" \c 1 </w:instrText>
      </w:r>
      <w:r>
        <w:fldChar w:fldCharType="end"/>
      </w:r>
      <w:r w:rsidRPr="004120DD">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Finally, if </w:t>
      </w:r>
      <w:r>
        <w:t xml:space="preserve">35 U.S.C. </w:t>
      </w:r>
      <w:r w:rsidRPr="004120DD">
        <w:t>§ 112</w:t>
      </w:r>
      <w:r>
        <w:fldChar w:fldCharType="begin"/>
      </w:r>
      <w:r>
        <w:instrText xml:space="preserve"> TA \s "35 U.S.C. § 112" </w:instrText>
      </w:r>
      <w:r>
        <w:fldChar w:fldCharType="end"/>
      </w:r>
      <w:r w:rsidRPr="004120DD">
        <w:t>, ¶6 applies, the structure or structures corresponding to the function that is disclosed in the specification must be identified, because “</w:t>
      </w:r>
      <w:r w:rsidR="005B4608">
        <w:t>[l]</w:t>
      </w:r>
      <w:r w:rsidR="005B4608" w:rsidRPr="004120DD">
        <w:t xml:space="preserve">iteral </w:t>
      </w:r>
      <w:r w:rsidRPr="004120DD">
        <w:t xml:space="preserve">infringement of a </w:t>
      </w:r>
      <w:r>
        <w:t>35 U.S.C. § 1</w:t>
      </w:r>
      <w:r w:rsidRPr="004120DD">
        <w:t>12</w:t>
      </w:r>
      <w:r>
        <w:fldChar w:fldCharType="begin"/>
      </w:r>
      <w:r>
        <w:instrText xml:space="preserve"> TA \s "35 U.S.C. § 112" </w:instrText>
      </w:r>
      <w:r>
        <w:fldChar w:fldCharType="end"/>
      </w:r>
      <w:r w:rsidRPr="004120DD">
        <w:t xml:space="preserve">, ¶6 limitation requires that the relevant structure in the accused device perform the identical function recited in the claim and be identical or equivalent” to that structure.  </w:t>
      </w:r>
      <w:r w:rsidRPr="00392CE0">
        <w:rPr>
          <w:i/>
        </w:rPr>
        <w:t>JVW Enterprises Inc. v. Interact Accessories Inc</w:t>
      </w:r>
      <w:r w:rsidRPr="004120DD">
        <w:t>., 424 F.3d 1324</w:t>
      </w:r>
      <w:r>
        <w:fldChar w:fldCharType="begin"/>
      </w:r>
      <w:r>
        <w:instrText xml:space="preserve"> TA \l "</w:instrText>
      </w:r>
      <w:r w:rsidRPr="00E1118C">
        <w:rPr>
          <w:u w:val="single"/>
        </w:rPr>
        <w:instrText>JVW Enterprises Inc. v. Interact Accessories Inc</w:instrText>
      </w:r>
      <w:r w:rsidRPr="00E1118C">
        <w:instrText>., 424 F.3d 1324</w:instrText>
      </w:r>
      <w:r>
        <w:instrText xml:space="preserve">" \s "JVW Enterprises Inc. v. Interact Accessories Inc., 424 F.3d 1324" \c 1 </w:instrText>
      </w:r>
      <w:r>
        <w:fldChar w:fldCharType="end"/>
      </w:r>
      <w:r w:rsidRPr="004120DD">
        <w:t xml:space="preserve">; </w:t>
      </w:r>
      <w:r w:rsidRPr="00392CE0">
        <w:rPr>
          <w:rStyle w:val="emphi"/>
          <w:i/>
        </w:rPr>
        <w:t>Odetics, Inc. v. Storage Tech. Corp</w:t>
      </w:r>
      <w:r w:rsidRPr="004120DD">
        <w:rPr>
          <w:rStyle w:val="emphi"/>
        </w:rPr>
        <w:t>.</w:t>
      </w:r>
      <w:r w:rsidRPr="004120DD">
        <w:t>, 185 F.3d 1259, 1267 (Fed. Cir. 1999)</w:t>
      </w:r>
      <w:r>
        <w:fldChar w:fldCharType="begin"/>
      </w:r>
      <w:r>
        <w:instrText xml:space="preserve"> TA \l "</w:instrText>
      </w:r>
      <w:r w:rsidRPr="00B64049">
        <w:rPr>
          <w:rStyle w:val="emphi"/>
          <w:u w:val="single"/>
        </w:rPr>
        <w:instrText>Odetics, Inc. v. Storage Tech. Corp</w:instrText>
      </w:r>
      <w:r w:rsidRPr="00B64049">
        <w:rPr>
          <w:rStyle w:val="emphi"/>
        </w:rPr>
        <w:instrText>.</w:instrText>
      </w:r>
      <w:r w:rsidRPr="00B64049">
        <w:instrText>, 185 F.3d 1259, 1267 (Fed. Cir. 1999)</w:instrText>
      </w:r>
      <w:r>
        <w:instrText xml:space="preserve">" \s "Odetics, Inc. v. Storage Tech. Corp., 185 F.3d 1259, 1267 (Fed. Cir. 1999)" \c 1 </w:instrText>
      </w:r>
      <w:r>
        <w:fldChar w:fldCharType="end"/>
      </w:r>
      <w:r w:rsidRPr="004120DD">
        <w:t xml:space="preserve">.  If there is no structure in the specification corresponding to the means-plus-function limitation in the claims, the claim will be found invalid as indefinite.  </w:t>
      </w:r>
      <w:r w:rsidRPr="004F028D">
        <w:t xml:space="preserve">See </w:t>
      </w:r>
      <w:r w:rsidRPr="00392CE0">
        <w:rPr>
          <w:i/>
        </w:rPr>
        <w:t>Atmel Corp. v. Info Storage Devices, Inc.</w:t>
      </w:r>
      <w:r w:rsidRPr="004F028D">
        <w:t>, 198 F.3d 1374, 1378-79 (Fed. Cir. 1999)</w:t>
      </w:r>
      <w:r>
        <w:fldChar w:fldCharType="begin"/>
      </w:r>
      <w:r>
        <w:instrText xml:space="preserve"> TA \l "</w:instrText>
      </w:r>
      <w:r w:rsidRPr="00F54CA2">
        <w:rPr>
          <w:u w:val="single"/>
        </w:rPr>
        <w:instrText>Atmel Corp. v. Info Storage Devices, Inc.</w:instrText>
      </w:r>
      <w:r w:rsidRPr="00F54CA2">
        <w:instrText>, 198 F.3d 1374, 1378-79 (Fed. Cir. 1999)</w:instrText>
      </w:r>
      <w:r>
        <w:instrText xml:space="preserve">" \s "Atmel Corp. v. Info Storage Devices, Inc., 198 F.3d 1374, 1378-79 (Fed. Cir. 1999)" \c 1 </w:instrText>
      </w:r>
      <w:r>
        <w:fldChar w:fldCharType="end"/>
      </w:r>
      <w:r w:rsidRPr="004F028D">
        <w:t xml:space="preserve"> </w:t>
      </w:r>
      <w:r w:rsidRPr="004120DD">
        <w:t xml:space="preserve">(citing </w:t>
      </w:r>
      <w:r w:rsidRPr="00392CE0">
        <w:rPr>
          <w:rStyle w:val="emphi"/>
          <w:i/>
        </w:rPr>
        <w:t>In re Donaldson</w:t>
      </w:r>
      <w:r w:rsidRPr="004120DD">
        <w:t>, 16 F.3d at 1195)</w:t>
      </w:r>
      <w:r>
        <w:fldChar w:fldCharType="begin"/>
      </w:r>
      <w:r>
        <w:instrText xml:space="preserve"> TA \l "</w:instrText>
      </w:r>
      <w:r w:rsidRPr="00F54CA2">
        <w:rPr>
          <w:rStyle w:val="emphi"/>
          <w:u w:val="single"/>
        </w:rPr>
        <w:instrText>In re Donaldson</w:instrText>
      </w:r>
      <w:r w:rsidRPr="00F54CA2">
        <w:instrText>, 16 F.3d at 1195)</w:instrText>
      </w:r>
      <w:r>
        <w:instrText xml:space="preserve">" \s "In re Donaldson, 16 F.3d at 1195)" \c 1 </w:instrText>
      </w:r>
      <w:r>
        <w:fldChar w:fldCharType="end"/>
      </w:r>
      <w:r w:rsidRPr="004120DD">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The task of determining whether the relevant claim language contains a means-plus-function limitation is, as with all claim construction issues, a question of law that is reviewed </w:t>
      </w:r>
      <w:r w:rsidRPr="004120DD">
        <w:rPr>
          <w:i/>
        </w:rPr>
        <w:t>de novo</w:t>
      </w:r>
      <w:r w:rsidRPr="004120DD">
        <w:t xml:space="preserve">. </w:t>
      </w:r>
      <w:r w:rsidRPr="00392CE0">
        <w:rPr>
          <w:rStyle w:val="emphi"/>
          <w:i/>
        </w:rPr>
        <w:t>Cybor Corp. v. FAS Techs. Inc.</w:t>
      </w:r>
      <w:r w:rsidRPr="004120DD">
        <w:t>, 138 F.3d 1448, 1455-56 (Fed. Cir. 1998) (en banc)</w:t>
      </w:r>
      <w:r>
        <w:fldChar w:fldCharType="begin"/>
      </w:r>
      <w:r>
        <w:instrText xml:space="preserve"> TA \l "</w:instrText>
      </w:r>
      <w:r w:rsidRPr="00F54CA2">
        <w:rPr>
          <w:rStyle w:val="emphi"/>
          <w:u w:val="single"/>
        </w:rPr>
        <w:instrText>Cybor Corp. v. FAS Techs. Inc.</w:instrText>
      </w:r>
      <w:r w:rsidRPr="00F54CA2">
        <w:instrText>, 138 F.3d 1448, 1455-56 (Fed. Cir. 1998) (en banc)</w:instrText>
      </w:r>
      <w:r>
        <w:instrText xml:space="preserve">" \s "Cybor Corp. v. FAS Techs. Inc., 138 F.3d 1448, 1455-56 (Fed. Cir. 1998) (en banc)" \c 1 </w:instrText>
      </w:r>
      <w:r>
        <w:fldChar w:fldCharType="end"/>
      </w:r>
      <w:r w:rsidRPr="004120DD">
        <w:t xml:space="preserve">.  A district court's identification of the function and corresponding structure of a means-plus-function limitation is also reviewed </w:t>
      </w:r>
      <w:r w:rsidRPr="004120DD">
        <w:rPr>
          <w:i/>
        </w:rPr>
        <w:t>de novo</w:t>
      </w:r>
      <w:r w:rsidRPr="004120DD">
        <w:t xml:space="preserve">.  </w:t>
      </w:r>
      <w:r w:rsidRPr="00392CE0">
        <w:rPr>
          <w:rStyle w:val="emphi"/>
          <w:i/>
        </w:rPr>
        <w:t>ACTV, Inc. v. Walt Disney Co.</w:t>
      </w:r>
      <w:r w:rsidRPr="004120DD">
        <w:t>, 346 F.3d 1082, 1087 (Fed. Cir. 2003)</w:t>
      </w:r>
      <w:r>
        <w:fldChar w:fldCharType="begin"/>
      </w:r>
      <w:r>
        <w:instrText xml:space="preserve"> TA \l "</w:instrText>
      </w:r>
      <w:r w:rsidRPr="006D7F12">
        <w:rPr>
          <w:rStyle w:val="emphi"/>
          <w:u w:val="single"/>
        </w:rPr>
        <w:instrText>ACTV, Inc. v. Walt Disney Co.</w:instrText>
      </w:r>
      <w:r w:rsidRPr="006D7F12">
        <w:instrText>, 346 F.3d 1082, 1087 (Fed. Cir. 2003)</w:instrText>
      </w:r>
      <w:r>
        <w:instrText xml:space="preserve">" \s "ACTV, Inc. v. Walt Disney Co., 346 F.3d 1082, 1087 (Fed. Cir. 2003)" \c 1 </w:instrText>
      </w:r>
      <w:r>
        <w:fldChar w:fldCharType="end"/>
      </w:r>
      <w:r w:rsidRPr="004120DD">
        <w:t>.</w:t>
      </w:r>
    </w:p>
    <w:p w:rsidR="00F96657" w:rsidRPr="004120DD" w:rsidRDefault="00F96657" w:rsidP="00F96657">
      <w:pPr>
        <w:tabs>
          <w:tab w:val="left" w:pos="720"/>
          <w:tab w:val="left" w:pos="1440"/>
        </w:tabs>
      </w:pPr>
    </w:p>
    <w:p w:rsidR="00F96657" w:rsidRPr="004120DD" w:rsidRDefault="00F96657" w:rsidP="00F96657">
      <w:pPr>
        <w:pStyle w:val="Heading2"/>
        <w:rPr>
          <w:rFonts w:ascii="Times New Roman" w:hAnsi="Times New Roman"/>
        </w:rPr>
      </w:pPr>
      <w:bookmarkStart w:id="19" w:name="_Toc289408117"/>
      <w:bookmarkStart w:id="20" w:name="_Toc289409403"/>
      <w:bookmarkStart w:id="21" w:name="_Toc289409513"/>
      <w:bookmarkStart w:id="22" w:name="_Toc289409656"/>
      <w:bookmarkStart w:id="23" w:name="_Toc290548378"/>
      <w:bookmarkStart w:id="24" w:name="A3"/>
      <w:r w:rsidRPr="004120DD">
        <w:rPr>
          <w:rFonts w:ascii="Times New Roman" w:hAnsi="Times New Roman"/>
        </w:rPr>
        <w:t>3.</w:t>
      </w:r>
      <w:r w:rsidRPr="004120DD">
        <w:rPr>
          <w:rFonts w:ascii="Times New Roman" w:hAnsi="Times New Roman"/>
        </w:rPr>
        <w:tab/>
        <w:t>Prosecution History Estoppel</w:t>
      </w:r>
      <w:bookmarkEnd w:id="19"/>
      <w:bookmarkEnd w:id="20"/>
      <w:bookmarkEnd w:id="21"/>
      <w:bookmarkEnd w:id="22"/>
      <w:bookmarkEnd w:id="23"/>
    </w:p>
    <w:bookmarkEnd w:id="24"/>
    <w:p w:rsidR="00F96657" w:rsidRPr="004120DD" w:rsidRDefault="00F96657" w:rsidP="00F96657">
      <w:pPr>
        <w:pStyle w:val="BodyTextIndent"/>
        <w:tabs>
          <w:tab w:val="left" w:pos="720"/>
          <w:tab w:val="left" w:pos="1440"/>
        </w:tabs>
        <w:spacing w:after="0"/>
        <w:ind w:left="0"/>
      </w:pPr>
    </w:p>
    <w:p w:rsidR="00F96657" w:rsidRDefault="00F96657" w:rsidP="00F96657">
      <w:pPr>
        <w:pStyle w:val="BodyTextIndent"/>
        <w:tabs>
          <w:tab w:val="left" w:pos="720"/>
          <w:tab w:val="left" w:pos="1440"/>
        </w:tabs>
        <w:spacing w:after="0"/>
        <w:ind w:left="0"/>
      </w:pPr>
      <w:r w:rsidRPr="004120DD">
        <w:t xml:space="preserve">Under the doctrine of prosecution history estoppel, patent claims may not be construed broadly enough to provide coverage that was given up during prosecution of the patent.  </w:t>
      </w:r>
      <w:r w:rsidR="005B4608" w:rsidRPr="00655780">
        <w:t>See</w:t>
      </w:r>
      <w:r w:rsidR="005B4608" w:rsidRPr="00392CE0">
        <w:rPr>
          <w:i/>
        </w:rPr>
        <w:t xml:space="preserve"> </w:t>
      </w:r>
      <w:r w:rsidRPr="00392CE0">
        <w:rPr>
          <w:i/>
        </w:rPr>
        <w:t>Loctite Corp. v. Ultraseal Ltd.</w:t>
      </w:r>
      <w:r w:rsidRPr="004120DD">
        <w:t>, 781 F.2d 861, 870-71 (Fed. Cir. 1985)</w:t>
      </w:r>
      <w:r>
        <w:fldChar w:fldCharType="begin"/>
      </w:r>
      <w:r>
        <w:instrText xml:space="preserve"> TA \l "</w:instrText>
      </w:r>
      <w:r w:rsidRPr="00F54CA2">
        <w:rPr>
          <w:u w:val="single"/>
        </w:rPr>
        <w:instrText>Loctite Corp. v. Ultraseal Ltd.</w:instrText>
      </w:r>
      <w:r w:rsidRPr="00F54CA2">
        <w:instrText>, 781 F.2d 861, 870-71 (Fed. Cir. 1985)</w:instrText>
      </w:r>
      <w:r>
        <w:instrText xml:space="preserve">" \s "Loctite Corp. v. Ultraseal Ltd., 781 F.2d 861, 870-71 (Fed. Cir. 1985)" \c 1 </w:instrText>
      </w:r>
      <w:r>
        <w:fldChar w:fldCharType="end"/>
      </w:r>
      <w:r w:rsidRPr="004120DD">
        <w:t xml:space="preserve">.  There is “a broad range of activities that can give rise to prosecution history estoppel,” including but not limited to the amendment of a claim to overcome prior art rejections, or the submission of statements that characterize the meaning of the claim.  </w:t>
      </w:r>
      <w:r w:rsidRPr="00392CE0">
        <w:rPr>
          <w:i/>
        </w:rPr>
        <w:t>Haynes Int’l v. Jessop Steel Co.</w:t>
      </w:r>
      <w:r w:rsidRPr="004120DD">
        <w:t>, 8 F.3d 1573, 1579 (Fed. Cir. 1993)</w:t>
      </w:r>
      <w:r>
        <w:fldChar w:fldCharType="begin"/>
      </w:r>
      <w:r>
        <w:instrText xml:space="preserve"> TA \l "</w:instrText>
      </w:r>
      <w:r w:rsidRPr="00F54CA2">
        <w:rPr>
          <w:u w:val="single"/>
        </w:rPr>
        <w:instrText>Haynes Int’l v. Jessop Steel Co.</w:instrText>
      </w:r>
      <w:r w:rsidRPr="00F54CA2">
        <w:instrText>, 8 F.3d 1573, 1579 (Fed. Cir. 1993)</w:instrText>
      </w:r>
      <w:r>
        <w:instrText xml:space="preserve">" \s "Haynes Int’l v. Jessop Steel Co., 8 F.3d 1573, 1579 (Fed. Cir. 1993)" \c 1 </w:instrText>
      </w:r>
      <w:r>
        <w:fldChar w:fldCharType="end"/>
      </w:r>
      <w:r w:rsidRPr="004120DD">
        <w:t xml:space="preserve">.  A disclaimer made with “‘reasonable clarity and deliberateness’” limits a claim, regardless of whether an examiner relied on or accepted them, because “[t]he public notice function of a patent and its prosecution history requires that a patentee be held to what he declares during the prosecution of his patent.”  </w:t>
      </w:r>
      <w:r w:rsidRPr="00392CE0">
        <w:rPr>
          <w:i/>
        </w:rPr>
        <w:t>Springs Window Fashions LP v. Novo Indus. LP</w:t>
      </w:r>
      <w:r w:rsidRPr="004120DD">
        <w:t xml:space="preserve">, 65 </w:t>
      </w:r>
      <w:r>
        <w:t>U.S.P.Q.</w:t>
      </w:r>
      <w:r w:rsidRPr="004120DD">
        <w:t>2d 1826, 1829-30 (Fed. Cir. 2003)</w:t>
      </w:r>
      <w:r>
        <w:fldChar w:fldCharType="begin"/>
      </w:r>
      <w:r>
        <w:instrText xml:space="preserve"> TA \l "</w:instrText>
      </w:r>
      <w:r w:rsidRPr="00F54CA2">
        <w:rPr>
          <w:u w:val="single"/>
        </w:rPr>
        <w:instrText>Springs Window Fashions LP v. Novo Indus. LP</w:instrText>
      </w:r>
      <w:r w:rsidRPr="00F54CA2">
        <w:instrText xml:space="preserve">, 65 </w:instrText>
      </w:r>
      <w:r>
        <w:instrText>U.S.P.Q.</w:instrText>
      </w:r>
      <w:r w:rsidRPr="00F54CA2">
        <w:instrText>2d 1826, 1829-30 (Fed. Cir. 2003)</w:instrText>
      </w:r>
      <w:r>
        <w:instrText xml:space="preserve">" \s "Springs Window Fashions LP v. Novo Indus. LP, 65 U.S.P.Q.2d 1826, 1829-30 (Fed. Cir. 2003)" \c 1 </w:instrText>
      </w:r>
      <w:r>
        <w:fldChar w:fldCharType="end"/>
      </w:r>
      <w:r w:rsidRPr="004120DD">
        <w:t xml:space="preserve"> (</w:t>
      </w:r>
      <w:r w:rsidRPr="00655780">
        <w:t>quoting</w:t>
      </w:r>
      <w:r w:rsidRPr="004120DD">
        <w:t xml:space="preserve"> </w:t>
      </w:r>
      <w:r w:rsidRPr="00392CE0">
        <w:rPr>
          <w:i/>
        </w:rPr>
        <w:t>Northern Telecom Ltd. v. Samsung Elecs. Co.</w:t>
      </w:r>
      <w:r w:rsidRPr="004120DD">
        <w:t>, 215 F.3d 1281, 1294 (Fed. Cir. 2000)</w:t>
      </w:r>
      <w:r>
        <w:fldChar w:fldCharType="begin"/>
      </w:r>
      <w:r>
        <w:instrText xml:space="preserve"> TA \l "</w:instrText>
      </w:r>
      <w:r w:rsidRPr="00F54CA2">
        <w:rPr>
          <w:u w:val="single"/>
        </w:rPr>
        <w:instrText>Northern Telecom Ltd. v. Samsung Elecs. Co.</w:instrText>
      </w:r>
      <w:r w:rsidRPr="00F54CA2">
        <w:instrText>, 215 F.3d 1281, 1294 (Fed. Cir. 2000)</w:instrText>
      </w:r>
      <w:r>
        <w:instrText xml:space="preserve">" \s "Northern Telecom Ltd. v. Samsung Elecs. Co., 215 F.3d 1281, 1294 (Fed. Cir. 2000)" \c 1 </w:instrText>
      </w:r>
      <w:r>
        <w:fldChar w:fldCharType="end"/>
      </w:r>
      <w:r w:rsidRPr="004120DD">
        <w:t>)</w:t>
      </w:r>
      <w:r>
        <w:t>.</w:t>
      </w:r>
    </w:p>
    <w:p w:rsidR="00F96657" w:rsidRPr="004120DD" w:rsidRDefault="00F96657" w:rsidP="00F96657">
      <w:pPr>
        <w:pStyle w:val="BodyTextIndent"/>
        <w:tabs>
          <w:tab w:val="left" w:pos="720"/>
          <w:tab w:val="left" w:pos="1440"/>
        </w:tabs>
        <w:spacing w:after="0"/>
        <w:ind w:left="0"/>
      </w:pPr>
    </w:p>
    <w:p w:rsidR="00F96657" w:rsidRPr="004120DD" w:rsidRDefault="00F96657" w:rsidP="00F96657">
      <w:pPr>
        <w:pStyle w:val="BodyTextIndent"/>
        <w:tabs>
          <w:tab w:val="left" w:pos="720"/>
          <w:tab w:val="left" w:pos="1440"/>
        </w:tabs>
        <w:spacing w:after="0"/>
        <w:ind w:left="0"/>
      </w:pPr>
      <w:r w:rsidRPr="004120DD">
        <w:t xml:space="preserve">In addition to informing the interpretation of the claims, it can restrict the application of the doctrine of equivalents.  </w:t>
      </w:r>
      <w:r w:rsidRPr="00392CE0">
        <w:rPr>
          <w:i/>
        </w:rPr>
        <w:t>Festo Corp. v. Shoketsu Kinzoku Kogyo Kabushiki Co.</w:t>
      </w:r>
      <w:r w:rsidRPr="004120DD">
        <w:t>, 122 S.Ct. 1831 (2002)</w:t>
      </w:r>
      <w:r>
        <w:fldChar w:fldCharType="begin"/>
      </w:r>
      <w:r>
        <w:instrText xml:space="preserve"> TA \l "</w:instrText>
      </w:r>
      <w:r w:rsidRPr="00F54CA2">
        <w:rPr>
          <w:u w:val="single"/>
        </w:rPr>
        <w:instrText xml:space="preserve">Festo Corp. v. Shoketsu Kinzoku </w:instrText>
      </w:r>
      <w:r>
        <w:rPr>
          <w:u w:val="single"/>
        </w:rPr>
        <w:instrText>Kogyo Kabushiki</w:instrText>
      </w:r>
      <w:r w:rsidRPr="00F54CA2">
        <w:rPr>
          <w:u w:val="single"/>
        </w:rPr>
        <w:instrText xml:space="preserve"> Co.</w:instrText>
      </w:r>
      <w:r w:rsidRPr="00F54CA2">
        <w:instrText>, 122 S.Ct. 1831 (2002)</w:instrText>
      </w:r>
      <w:r>
        <w:instrText xml:space="preserve">" \s "Festo Corp. v. Shoketsu Kinzoku Kogyo Kabushiki Co., 122 S.Ct. 1831 (2002)" \c 1 </w:instrText>
      </w:r>
      <w:r>
        <w:fldChar w:fldCharType="end"/>
      </w:r>
      <w:r w:rsidRPr="004120DD">
        <w:t xml:space="preserve">.  The Supreme Court held that where a rationale for limiting the effect of prosecution history estoppel is not evident, it is presumed that the patentee surrendered all subject matter between the broader original claim language and the narrower amended language.  </w:t>
      </w:r>
      <w:r w:rsidRPr="00B42EF0">
        <w:rPr>
          <w:i/>
        </w:rPr>
        <w:t>Id</w:t>
      </w:r>
      <w:r w:rsidRPr="004120DD">
        <w:t>.</w:t>
      </w:r>
      <w:r>
        <w:fldChar w:fldCharType="begin"/>
      </w:r>
      <w:r>
        <w:instrText xml:space="preserve"> TA \s "Festo Corp. v. Shoketsu Kinzoku Kogyo Kabushiki Co., 122 S.Ct. 1831 (2002)" </w:instrText>
      </w:r>
      <w:r>
        <w:fldChar w:fldCharType="end"/>
      </w:r>
      <w:r w:rsidRPr="004120DD">
        <w:t xml:space="preserve">  To overcome this presumption, a patentee may show “that the alleged equivalent could not reasonably have been described at the time the amendment was made, or that the alleged equivalent was tangential to the purpose of the amendment, or that the equivalent was not foreseeable (and thus not claimable) at the time of the amendment.”  </w:t>
      </w:r>
      <w:r w:rsidRPr="00392CE0">
        <w:rPr>
          <w:i/>
        </w:rPr>
        <w:t>Glaxo Wellcome, Inc. v. Impax Labs.</w:t>
      </w:r>
      <w:r w:rsidRPr="004120DD">
        <w:t>, Inc., 356 F.3d 1348, 1351-52 (Fed. Cir. 2004)</w:t>
      </w:r>
      <w:r>
        <w:fldChar w:fldCharType="begin"/>
      </w:r>
      <w:r>
        <w:instrText xml:space="preserve"> TA \l "</w:instrText>
      </w:r>
      <w:r w:rsidRPr="00F54CA2">
        <w:rPr>
          <w:u w:val="single"/>
        </w:rPr>
        <w:instrText>Glaxo Wellcome, Inc. v. Impax Labs.</w:instrText>
      </w:r>
      <w:r w:rsidRPr="00F54CA2">
        <w:instrText>, Inc., 356 F.3d 1348, 1351-52 (Fed. Cir. 2004)</w:instrText>
      </w:r>
      <w:r>
        <w:instrText xml:space="preserve">" \s "Glaxo Wellcome, Inc. v. Impax Labs., Inc., 356 F.3d 1348, 1351-52 (Fed. Cir. 2004)" \c 1 </w:instrText>
      </w:r>
      <w:r>
        <w:fldChar w:fldCharType="end"/>
      </w:r>
      <w:r w:rsidRPr="004120DD">
        <w:t xml:space="preserve"> (citing </w:t>
      </w:r>
      <w:r w:rsidRPr="00655780">
        <w:rPr>
          <w:i/>
        </w:rPr>
        <w:t>Festo VIII</w:t>
      </w:r>
      <w:r w:rsidRPr="004120DD">
        <w:t>, 535 U.S. at 740-41).</w:t>
      </w:r>
    </w:p>
    <w:p w:rsidR="00F96657" w:rsidRPr="004120DD" w:rsidRDefault="00F96657" w:rsidP="00F96657">
      <w:pPr>
        <w:pStyle w:val="BodyTextIndent"/>
        <w:tabs>
          <w:tab w:val="left" w:pos="720"/>
          <w:tab w:val="left" w:pos="1440"/>
        </w:tabs>
        <w:spacing w:after="0"/>
        <w:ind w:left="0"/>
        <w:rPr>
          <w:b/>
        </w:rPr>
      </w:pPr>
    </w:p>
    <w:p w:rsidR="00F96657" w:rsidRPr="004120DD" w:rsidRDefault="00F96657" w:rsidP="00F96657">
      <w:pPr>
        <w:pStyle w:val="Heading1"/>
        <w:rPr>
          <w:rFonts w:ascii="Times New Roman" w:hAnsi="Times New Roman"/>
        </w:rPr>
      </w:pPr>
      <w:bookmarkStart w:id="25" w:name="B"/>
      <w:bookmarkStart w:id="26" w:name="_Toc289408118"/>
      <w:bookmarkStart w:id="27" w:name="_Toc289409404"/>
      <w:bookmarkStart w:id="28" w:name="_Toc289409514"/>
      <w:bookmarkStart w:id="29" w:name="_Toc289409657"/>
      <w:bookmarkStart w:id="30" w:name="_Toc290548379"/>
      <w:r w:rsidRPr="004120DD">
        <w:rPr>
          <w:rFonts w:ascii="Times New Roman" w:hAnsi="Times New Roman"/>
        </w:rPr>
        <w:t>B.</w:t>
      </w:r>
      <w:r w:rsidRPr="004120DD">
        <w:rPr>
          <w:rFonts w:ascii="Times New Roman" w:hAnsi="Times New Roman"/>
        </w:rPr>
        <w:tab/>
        <w:t>Invalidity</w:t>
      </w:r>
      <w:bookmarkEnd w:id="25"/>
      <w:bookmarkEnd w:id="26"/>
      <w:bookmarkEnd w:id="27"/>
      <w:bookmarkEnd w:id="28"/>
      <w:bookmarkEnd w:id="29"/>
      <w:bookmarkEnd w:id="30"/>
      <w:r w:rsidRPr="004120DD">
        <w:rPr>
          <w:rFonts w:ascii="Times New Roman" w:hAnsi="Times New Roman"/>
        </w:rPr>
        <w:t xml:space="preserve"> </w:t>
      </w:r>
    </w:p>
    <w:p w:rsidR="00F96657" w:rsidRDefault="00F96657" w:rsidP="00F96657">
      <w:pPr>
        <w:tabs>
          <w:tab w:val="left" w:pos="720"/>
          <w:tab w:val="left" w:pos="1440"/>
        </w:tabs>
      </w:pPr>
    </w:p>
    <w:p w:rsidR="00F96657" w:rsidRPr="009F6013" w:rsidRDefault="00F96657" w:rsidP="00F96657">
      <w:pPr>
        <w:tabs>
          <w:tab w:val="left" w:pos="720"/>
          <w:tab w:val="left" w:pos="1440"/>
        </w:tabs>
      </w:pPr>
      <w:r w:rsidRPr="004120DD">
        <w:t xml:space="preserve">In order for a </w:t>
      </w:r>
      <w:r w:rsidRPr="009F6013">
        <w:t>patent to be infringed, the claims must be valid.  An issued United States patent is presumed to be valid.  35 U.S.C. § 282</w:t>
      </w:r>
      <w:r w:rsidRPr="009F6013">
        <w:fldChar w:fldCharType="begin"/>
      </w:r>
      <w:r w:rsidRPr="009F6013">
        <w:instrText xml:space="preserve"> TA \l "35 U.S.C. § 282" \s "35 U.S.C. § 282" \c 2 </w:instrText>
      </w:r>
      <w:r w:rsidRPr="009F6013">
        <w:fldChar w:fldCharType="end"/>
      </w:r>
      <w:r w:rsidRPr="009F6013">
        <w:t xml:space="preserve">.  “The burden of establishing invalidity of a patent or any claim thereof shall rest on the party asserting such invalidity.”  </w:t>
      </w:r>
      <w:r w:rsidRPr="00392CE0">
        <w:rPr>
          <w:i/>
        </w:rPr>
        <w:t>Id</w:t>
      </w:r>
      <w:r w:rsidRPr="009F6013">
        <w:t>.</w:t>
      </w:r>
      <w:r w:rsidRPr="009F6013">
        <w:fldChar w:fldCharType="begin"/>
      </w:r>
      <w:r w:rsidRPr="009F6013">
        <w:instrText xml:space="preserve"> TA \s "35 U.S.C. § 282" </w:instrText>
      </w:r>
      <w:r w:rsidRPr="009F6013">
        <w:fldChar w:fldCharType="end"/>
      </w:r>
      <w:r w:rsidRPr="009F6013">
        <w:t xml:space="preserve">  Invalidity must therefore be demonstrated by clear and convincing evidence.  </w:t>
      </w:r>
      <w:r w:rsidRPr="00655780">
        <w:t>See</w:t>
      </w:r>
      <w:r w:rsidRPr="00392CE0">
        <w:rPr>
          <w:i/>
        </w:rPr>
        <w:t xml:space="preserve"> Sitrick v. Dreamworks LLC</w:t>
      </w:r>
      <w:r w:rsidRPr="009F6013">
        <w:t>, 85 U.S.P.Q.2d 1826, 1830 (Fed. Cir. 2008)</w:t>
      </w:r>
      <w:r w:rsidRPr="009F6013">
        <w:fldChar w:fldCharType="begin"/>
      </w:r>
      <w:r w:rsidRPr="009F6013">
        <w:instrText xml:space="preserve"> TA \l "</w:instrText>
      </w:r>
      <w:r w:rsidRPr="009F6013">
        <w:rPr>
          <w:u w:val="single"/>
        </w:rPr>
        <w:instrText>Sitrick v. Dreamworks LLC</w:instrText>
      </w:r>
      <w:r w:rsidRPr="009F6013">
        <w:instrText xml:space="preserve">, 85 U.S.P.Q.2d 1826, 1830 (Fed. Cir. 2008)" \s "Sitrick v. Dreamworks LLC, 85 U.S.P.Q.2d 1826, 1830 (Fed. Cir. 2008)" \c 1 </w:instrText>
      </w:r>
      <w:r w:rsidRPr="009F6013">
        <w:fldChar w:fldCharType="end"/>
      </w:r>
      <w:r w:rsidRPr="009F6013">
        <w:t>.</w:t>
      </w:r>
      <w:r w:rsidR="009F6013" w:rsidRPr="009F6013">
        <w:rPr>
          <w:szCs w:val="24"/>
        </w:rPr>
        <w:t xml:space="preserve"> However, in Patent Office proceedings, such as reexamination, invalidity facts are more easily established under the lower “preponderance of the evidence” standard and therefore would more likely be employed to challenge the validity of the patent, if necessary. Also, in either setting, </w:t>
      </w:r>
      <w:r w:rsidR="009F6013" w:rsidRPr="009F6013">
        <w:rPr>
          <w:i/>
          <w:szCs w:val="24"/>
        </w:rPr>
        <w:t>legal</w:t>
      </w:r>
      <w:r w:rsidR="009F6013" w:rsidRPr="009F6013">
        <w:rPr>
          <w:szCs w:val="24"/>
        </w:rPr>
        <w:t xml:space="preserve"> questions (such as non-obviousness) are not subject to evidentiary standards. </w:t>
      </w:r>
      <w:r w:rsidR="00C81CC7" w:rsidRPr="00392CE0">
        <w:rPr>
          <w:i/>
          <w:szCs w:val="24"/>
        </w:rPr>
        <w:t>Microsoft Corp. v. i4i Ltd. P'ship</w:t>
      </w:r>
      <w:r w:rsidR="00C81CC7" w:rsidRPr="009F6013">
        <w:rPr>
          <w:i/>
          <w:szCs w:val="24"/>
        </w:rPr>
        <w:t xml:space="preserve"> </w:t>
      </w:r>
      <w:r w:rsidR="009F6013" w:rsidRPr="009F6013">
        <w:rPr>
          <w:i/>
          <w:szCs w:val="24"/>
        </w:rPr>
        <w:t>(concurring opinion: “</w:t>
      </w:r>
      <w:r w:rsidR="009F6013" w:rsidRPr="009F6013">
        <w:rPr>
          <w:szCs w:val="24"/>
        </w:rPr>
        <w:t xml:space="preserve">Many claims of invalidity rest, however, not upon factual disputes, but upon how the law applies to facts as given. Do the given facts show … that it was “non-obvious”? §§102, 103. …Where the ultimate question of patent validity turns on the correct answer to legal questions—what these subsidiary legal standards mean or how they apply to the facts as given—today’s strict standard of proof has no application.").     </w:t>
      </w:r>
    </w:p>
    <w:p w:rsidR="00F96657" w:rsidRPr="009F6013" w:rsidRDefault="00F96657" w:rsidP="00F96657">
      <w:pPr>
        <w:tabs>
          <w:tab w:val="left" w:pos="720"/>
          <w:tab w:val="left" w:pos="1440"/>
        </w:tabs>
      </w:pPr>
    </w:p>
    <w:p w:rsidR="00F96657" w:rsidRPr="009F6013" w:rsidRDefault="00F96657" w:rsidP="00F96657">
      <w:pPr>
        <w:tabs>
          <w:tab w:val="left" w:pos="720"/>
          <w:tab w:val="left" w:pos="1440"/>
        </w:tabs>
      </w:pPr>
      <w:r w:rsidRPr="009F6013">
        <w:t>Claims may be invalid either because the patent fails to meet the obligations necessary to support them, or because the patentee was never entitled to them in the first place in view of the existence of prior art.  These grounds are discussed in turn below.</w:t>
      </w:r>
    </w:p>
    <w:p w:rsidR="00F96657" w:rsidRPr="009F6013" w:rsidRDefault="00F96657" w:rsidP="00F96657">
      <w:pPr>
        <w:tabs>
          <w:tab w:val="left" w:pos="720"/>
          <w:tab w:val="left" w:pos="1440"/>
        </w:tabs>
        <w:rPr>
          <w:b/>
        </w:rPr>
      </w:pPr>
    </w:p>
    <w:p w:rsidR="00F96657" w:rsidRPr="009F6013" w:rsidRDefault="00F96657" w:rsidP="00F96657">
      <w:pPr>
        <w:pStyle w:val="Heading2"/>
        <w:rPr>
          <w:rFonts w:ascii="Times New Roman" w:hAnsi="Times New Roman" w:cs="Times New Roman"/>
        </w:rPr>
      </w:pPr>
      <w:bookmarkStart w:id="31" w:name="_Toc289408119"/>
      <w:bookmarkStart w:id="32" w:name="_Toc289409405"/>
      <w:bookmarkStart w:id="33" w:name="_Toc289409515"/>
      <w:bookmarkStart w:id="34" w:name="_Toc289409658"/>
      <w:bookmarkStart w:id="35" w:name="_Toc290548380"/>
      <w:bookmarkStart w:id="36" w:name="B1"/>
      <w:r w:rsidRPr="009F6013">
        <w:rPr>
          <w:rFonts w:ascii="Times New Roman" w:hAnsi="Times New Roman" w:cs="Times New Roman"/>
        </w:rPr>
        <w:t>1.</w:t>
      </w:r>
      <w:r w:rsidRPr="009F6013">
        <w:rPr>
          <w:rFonts w:ascii="Times New Roman" w:hAnsi="Times New Roman" w:cs="Times New Roman"/>
        </w:rPr>
        <w:tab/>
        <w:t>Indefiniteness</w:t>
      </w:r>
      <w:bookmarkEnd w:id="31"/>
      <w:bookmarkEnd w:id="32"/>
      <w:bookmarkEnd w:id="33"/>
      <w:bookmarkEnd w:id="34"/>
      <w:bookmarkEnd w:id="35"/>
    </w:p>
    <w:p w:rsidR="009F6013" w:rsidRPr="009F6013" w:rsidRDefault="009F6013" w:rsidP="009F6013"/>
    <w:p w:rsidR="009F6013" w:rsidRPr="009F6013" w:rsidRDefault="009F6013" w:rsidP="009F6013">
      <w:pPr>
        <w:pStyle w:val="para"/>
        <w:spacing w:before="0" w:beforeAutospacing="0" w:after="0" w:afterAutospacing="0"/>
        <w:ind w:firstLine="720"/>
        <w:jc w:val="both"/>
      </w:pPr>
      <w:r w:rsidRPr="009F6013">
        <w:t xml:space="preserve">The patent statute requires that the scope of a patent be defined with claims, and that those claims must be definite:  </w:t>
      </w:r>
      <w:r w:rsidRPr="009F6013">
        <w:rPr>
          <w:b/>
        </w:rPr>
        <w:t>“</w:t>
      </w:r>
      <w:r w:rsidRPr="009F6013">
        <w:t xml:space="preserve">The specification shall conclude with one or more claims particularly pointing out and distinctly claiming the subject matter which the applicant regards as his invention.” 35 U.S.C. § 112, ¶2.  The requirement that the claims be definite renders a claim invalid when the meaning of a claim is ambiguous.  This is crucial to the proper functioning of the patent system, because otherwise patents do not provide potential infringers with fair notice of what the patent forbids.  </w:t>
      </w:r>
      <w:r w:rsidRPr="00655780">
        <w:t>See</w:t>
      </w:r>
      <w:r w:rsidRPr="009F6013">
        <w:rPr>
          <w:i/>
        </w:rPr>
        <w:t xml:space="preserve"> </w:t>
      </w:r>
      <w:r w:rsidRPr="00392CE0">
        <w:rPr>
          <w:i/>
        </w:rPr>
        <w:t>Halliburton Energy Services v. M-I LLC</w:t>
      </w:r>
      <w:r w:rsidRPr="009F6013">
        <w:t xml:space="preserve">, 514 F.3d 1244 (Fed. Cir. 2008).  Permitting ambiguous claims gives patentees “unreasonable advantages.”  </w:t>
      </w:r>
      <w:r w:rsidRPr="00392CE0">
        <w:rPr>
          <w:i/>
          <w:iCs/>
        </w:rPr>
        <w:t>Athletic Alternatives, Inc. v. Prince Mfg., Inc.</w:t>
      </w:r>
      <w:r w:rsidRPr="009F6013">
        <w:t xml:space="preserve">, 73 F.3d 1573, 1581, 37 U.S.P.Q.2d 1365 (Fed. Cir. 1996).  “[T]he primary purpose of the [definiteness] requirement is ‘to guard against unreasonable advantages to the patentee and disadvantages to others arising from uncertainty as to their [respective] rights.’” </w:t>
      </w:r>
      <w:r w:rsidRPr="009F6013">
        <w:rPr>
          <w:i/>
        </w:rPr>
        <w:t xml:space="preserve"> </w:t>
      </w:r>
      <w:smartTag w:uri="urn:schemas-microsoft-com:office:smarttags" w:element="State">
        <w:r w:rsidRPr="009F6013">
          <w:rPr>
            <w:i/>
          </w:rPr>
          <w:t>Id</w:t>
        </w:r>
        <w:r w:rsidRPr="009F6013">
          <w:t>.</w:t>
        </w:r>
      </w:smartTag>
      <w:r w:rsidRPr="009F6013">
        <w:t xml:space="preserve"> (</w:t>
      </w:r>
      <w:r w:rsidRPr="00655780">
        <w:t>quoting</w:t>
      </w:r>
      <w:r w:rsidRPr="00392CE0">
        <w:rPr>
          <w:i/>
        </w:rPr>
        <w:t xml:space="preserve"> </w:t>
      </w:r>
      <w:r w:rsidRPr="00392CE0">
        <w:rPr>
          <w:i/>
          <w:iCs/>
        </w:rPr>
        <w:t>Gen. Elec. Co. v. Wabash Appliance Corp.</w:t>
      </w:r>
      <w:r w:rsidRPr="009F6013">
        <w:t xml:space="preserve">, 304 </w:t>
      </w:r>
      <w:smartTag w:uri="urn:schemas-microsoft-com:office:smarttags" w:element="place">
        <w:smartTag w:uri="urn:schemas-microsoft-com:office:smarttags" w:element="country-region">
          <w:r w:rsidRPr="009F6013">
            <w:t>U.S.</w:t>
          </w:r>
        </w:smartTag>
      </w:smartTag>
      <w:r w:rsidRPr="009F6013">
        <w:t xml:space="preserve"> 364, 369 37 U.S.P.Q.2d 466 (1938)).  </w:t>
      </w:r>
    </w:p>
    <w:p w:rsidR="009F6013" w:rsidRPr="009F6013" w:rsidRDefault="009F6013" w:rsidP="009F6013">
      <w:pPr>
        <w:pStyle w:val="para"/>
        <w:keepNext/>
        <w:spacing w:before="0" w:beforeAutospacing="0" w:after="0" w:afterAutospacing="0"/>
        <w:ind w:firstLine="720"/>
        <w:jc w:val="both"/>
      </w:pPr>
    </w:p>
    <w:p w:rsidR="009F6013" w:rsidRPr="009F6013" w:rsidRDefault="009F6013" w:rsidP="009F6013">
      <w:pPr>
        <w:ind w:firstLine="720"/>
        <w:jc w:val="both"/>
      </w:pPr>
      <w:r w:rsidRPr="009F6013">
        <w:t xml:space="preserve">“An analysis of claim indefiniteness under §112 ¶2 is inextricably intertwined with claim construction.” </w:t>
      </w:r>
      <w:r w:rsidRPr="00392CE0">
        <w:rPr>
          <w:i/>
        </w:rPr>
        <w:t>Atmel Corp. v. Information Storage Devices, Inc.</w:t>
      </w:r>
      <w:r w:rsidRPr="009F6013">
        <w:t xml:space="preserve">, 198 F.3d 1374, 1379 (Fed. Cir. 1999) (internal quotes omitted); </w:t>
      </w:r>
      <w:r w:rsidRPr="00655780">
        <w:t>see also</w:t>
      </w:r>
      <w:r w:rsidRPr="009F6013">
        <w:rPr>
          <w:i/>
        </w:rPr>
        <w:t xml:space="preserve"> </w:t>
      </w:r>
      <w:r w:rsidRPr="00392CE0">
        <w:rPr>
          <w:i/>
        </w:rPr>
        <w:t>Datamize v. Plumtree Software, Inc.</w:t>
      </w:r>
      <w:r w:rsidRPr="009F6013">
        <w:t>, 417 F.3d 1342, 1347-48 (Fed. Cir. 2005) (“By finding claims indefinite only if reasonable efforts at claim construction prove futile, we accord respect to the statutory presumption of validity and we protect the inventive contribution of patentees, even when the drafting of their patents has been less than ideal.”) (</w:t>
      </w:r>
      <w:r w:rsidRPr="00655780">
        <w:t>quoting</w:t>
      </w:r>
      <w:r w:rsidRPr="00392CE0">
        <w:rPr>
          <w:i/>
        </w:rPr>
        <w:t xml:space="preserve"> Exxon Research &amp; Eng'g Co. v United States</w:t>
      </w:r>
      <w:r w:rsidRPr="009F6013">
        <w:t xml:space="preserve">, 265 F.3d at 1371, 1375 (Fed Cir 2001)); </w:t>
      </w:r>
      <w:r w:rsidRPr="00392CE0">
        <w:rPr>
          <w:i/>
        </w:rPr>
        <w:t>Oakley, Inc. v. Sunglass Hut Int'l</w:t>
      </w:r>
      <w:r w:rsidRPr="009F6013">
        <w:t xml:space="preserve">, 316 F.3d 1331, 1340-41 (Fed. Cir. 2003) (determination of claim definiteness “requires a construction of the claims according to the familiar canons of claim construction”).  </w:t>
      </w:r>
    </w:p>
    <w:p w:rsidR="009F6013" w:rsidRDefault="009F6013" w:rsidP="009F6013">
      <w:pPr>
        <w:ind w:firstLine="720"/>
        <w:jc w:val="both"/>
        <w:rPr>
          <w:color w:val="000000"/>
        </w:rPr>
      </w:pPr>
    </w:p>
    <w:p w:rsidR="009F6013" w:rsidRDefault="009F6013" w:rsidP="009F6013">
      <w:pPr>
        <w:ind w:firstLine="720"/>
        <w:jc w:val="both"/>
      </w:pPr>
      <w:r w:rsidRPr="009F6013">
        <w:t xml:space="preserve">“[T]he primary purpose of the requirement is ‘to guard against unreasonable advantages to the patentee and disadvantages to others arising from uncertainty as to their [respective] rights.’”  </w:t>
      </w:r>
      <w:r w:rsidRPr="00B42EF0">
        <w:rPr>
          <w:i/>
        </w:rPr>
        <w:t>Id</w:t>
      </w:r>
      <w:r w:rsidRPr="009F6013">
        <w:t>.</w:t>
      </w:r>
      <w:r w:rsidRPr="009F6013">
        <w:fldChar w:fldCharType="begin"/>
      </w:r>
      <w:r w:rsidRPr="009F6013">
        <w:instrText xml:space="preserve"> TA \s "Athletic Alternatives, Inc. v. Prince Mfg., Inc., 73 F.3d 1573, 1581 (Fed. Cir. 1996)" </w:instrText>
      </w:r>
      <w:r w:rsidRPr="009F6013">
        <w:fldChar w:fldCharType="end"/>
      </w:r>
      <w:r w:rsidRPr="009F6013">
        <w:t xml:space="preserve">  Thus, the “common thread” in cases where claims are found indefinite is that a person of ordinary skill in the art could not determine the bounds of the claims.  </w:t>
      </w:r>
      <w:r w:rsidRPr="00392CE0">
        <w:rPr>
          <w:i/>
        </w:rPr>
        <w:t>Id</w:t>
      </w:r>
      <w:r w:rsidRPr="009F6013">
        <w:t>.</w:t>
      </w:r>
      <w:r w:rsidRPr="009F6013">
        <w:fldChar w:fldCharType="begin"/>
      </w:r>
      <w:r w:rsidRPr="009F6013">
        <w:instrText xml:space="preserve"> TA \s "Athletic Alternatives, Inc. v. Prince Mfg., Inc., 73 F.3d 1573, 1581 (Fed. Cir. 1996)" </w:instrText>
      </w:r>
      <w:r w:rsidRPr="009F6013">
        <w:fldChar w:fldCharType="end"/>
      </w:r>
      <w:r w:rsidRPr="009F6013">
        <w:t xml:space="preserve">; see also </w:t>
      </w:r>
      <w:r w:rsidRPr="00392CE0">
        <w:rPr>
          <w:rStyle w:val="emphi"/>
          <w:i/>
        </w:rPr>
        <w:t>SmithKline Beecham Corp. v. Apotex Corp</w:t>
      </w:r>
      <w:r w:rsidRPr="009F6013">
        <w:rPr>
          <w:rStyle w:val="emphi"/>
        </w:rPr>
        <w:t>.</w:t>
      </w:r>
      <w:r w:rsidRPr="009F6013">
        <w:t>, 403 F.3d 1331, 1404 (Fed. Cir. 2005)</w:t>
      </w:r>
      <w:r w:rsidRPr="009F6013">
        <w:fldChar w:fldCharType="begin"/>
      </w:r>
      <w:r w:rsidRPr="009F6013">
        <w:instrText xml:space="preserve"> TA \l "</w:instrText>
      </w:r>
      <w:r w:rsidRPr="009F6013">
        <w:rPr>
          <w:rStyle w:val="emphi"/>
          <w:u w:val="single"/>
        </w:rPr>
        <w:instrText>SmithKline Beecham Corp. v. Apotex Corp</w:instrText>
      </w:r>
      <w:r w:rsidRPr="009F6013">
        <w:rPr>
          <w:rStyle w:val="emphi"/>
        </w:rPr>
        <w:instrText>.</w:instrText>
      </w:r>
      <w:r w:rsidRPr="009F6013">
        <w:instrText xml:space="preserve">, 403 F.3d 1331, 1404 (Fed. Cir. 2005)" \s "SmithKline Beecham Corp. v. Apotex Corp., 403 F.3d 1331, 1404 (Fed. Cir. 2005)" \c 1 </w:instrText>
      </w:r>
      <w:r w:rsidRPr="009F6013">
        <w:fldChar w:fldCharType="end"/>
      </w:r>
      <w:r w:rsidRPr="009F6013">
        <w:t>.  However, claims are not indefinite merely because they present a difficult task of claim construction</w:t>
      </w:r>
      <w:r w:rsidRPr="009F6013">
        <w:sym w:font="Symbol" w:char="F0BE"/>
      </w:r>
      <w:r w:rsidRPr="009F6013">
        <w:t xml:space="preserve">nor even if “the conclusion is one over which reasonable persons will disagree.”  </w:t>
      </w:r>
      <w:r w:rsidRPr="00392CE0">
        <w:rPr>
          <w:i/>
        </w:rPr>
        <w:t>Id</w:t>
      </w:r>
      <w:r w:rsidRPr="009F6013">
        <w:t>.</w:t>
      </w:r>
      <w:r w:rsidRPr="009F6013">
        <w:fldChar w:fldCharType="begin"/>
      </w:r>
      <w:r w:rsidRPr="009F6013">
        <w:instrText xml:space="preserve"> TA \s "SmithKline Beecham Corp. v. Apotex Corp., 403 F.3d 1331, 1404 (Fed. Cir. 2005)" </w:instrText>
      </w:r>
      <w:r w:rsidRPr="009F6013">
        <w:fldChar w:fldCharType="end"/>
      </w:r>
      <w:r w:rsidRPr="009F6013">
        <w:t xml:space="preserve"> (citing </w:t>
      </w:r>
      <w:r w:rsidRPr="00392CE0">
        <w:rPr>
          <w:rStyle w:val="emphi"/>
          <w:i/>
        </w:rPr>
        <w:t>Exxon Research &amp; Eng'g Co. v. United States</w:t>
      </w:r>
      <w:r w:rsidRPr="009F6013">
        <w:t>, 265 F.3d 1371, 1375 (Fed. Cir. 2001)</w:t>
      </w:r>
      <w:r w:rsidRPr="009F6013">
        <w:fldChar w:fldCharType="begin"/>
      </w:r>
      <w:r w:rsidRPr="009F6013">
        <w:instrText xml:space="preserve"> TA \l "</w:instrText>
      </w:r>
      <w:r w:rsidRPr="009F6013">
        <w:rPr>
          <w:rStyle w:val="emphi"/>
          <w:u w:val="single"/>
        </w:rPr>
        <w:instrText>Exxon Research &amp; Eng'g Co. v. United States</w:instrText>
      </w:r>
      <w:r w:rsidRPr="009F6013">
        <w:instrText xml:space="preserve">, 265 F.3d 1371, 1375 (Fed. Cir. 2001)" \s "Exxon Research &amp; Eng'g Co. v. United States, 265 F.3d 1371, 1375 (Fed. Cir. 2001)" \c 1 </w:instrText>
      </w:r>
      <w:r w:rsidRPr="009F6013">
        <w:fldChar w:fldCharType="end"/>
      </w:r>
      <w:r w:rsidRPr="009F6013">
        <w:t xml:space="preserve">).  Conversely, a claim is not necessarily definite just because one can articulate a definition that is supported by the specification.  </w:t>
      </w:r>
      <w:r w:rsidRPr="00392CE0">
        <w:rPr>
          <w:i/>
        </w:rPr>
        <w:t>Id</w:t>
      </w:r>
      <w:r w:rsidRPr="009F6013">
        <w:t>.</w:t>
      </w:r>
    </w:p>
    <w:p w:rsidR="009F6013" w:rsidRPr="009F6013" w:rsidRDefault="009F6013" w:rsidP="009F6013">
      <w:pPr>
        <w:ind w:firstLine="720"/>
        <w:jc w:val="both"/>
        <w:rPr>
          <w:color w:val="000000"/>
        </w:rPr>
      </w:pPr>
    </w:p>
    <w:p w:rsidR="009F6013" w:rsidRPr="009F6013" w:rsidRDefault="009F6013" w:rsidP="009F6013">
      <w:pPr>
        <w:pStyle w:val="para"/>
        <w:spacing w:before="0" w:beforeAutospacing="0" w:after="0" w:afterAutospacing="0"/>
        <w:ind w:firstLine="720"/>
        <w:jc w:val="both"/>
      </w:pPr>
      <w:r w:rsidRPr="009F6013">
        <w:t xml:space="preserve">Claims have been held indefinite for a variety of reasons.  They are indefinite for including a numeric limitation without specifying which of several different methods of measuring were to be used.  </w:t>
      </w:r>
      <w:r w:rsidRPr="009F6013">
        <w:rPr>
          <w:i/>
          <w:iCs/>
        </w:rPr>
        <w:t>Honeywell Int'l, Inc. v. Int'l Trade Comm'n</w:t>
      </w:r>
      <w:r w:rsidRPr="009F6013">
        <w:t xml:space="preserve">, 341 F.3d 1332, 1340 68 U.S.P.Q.2d 1023 (Fed. Cir. 2003)   And claims are indefinite when their meaning is dependent on context, so that the same product can infringe in some situations and not in others.  </w:t>
      </w:r>
      <w:r w:rsidRPr="00655780">
        <w:t>See</w:t>
      </w:r>
      <w:r w:rsidRPr="009F6013">
        <w:t xml:space="preserve"> </w:t>
      </w:r>
      <w:r w:rsidRPr="009F6013">
        <w:rPr>
          <w:i/>
          <w:iCs/>
        </w:rPr>
        <w:t>Ex parte</w:t>
      </w:r>
      <w:r w:rsidRPr="009F6013">
        <w:t xml:space="preserve"> </w:t>
      </w:r>
      <w:r w:rsidRPr="009F6013">
        <w:rPr>
          <w:i/>
          <w:iCs/>
        </w:rPr>
        <w:t>Brummer</w:t>
      </w:r>
      <w:r w:rsidRPr="009F6013">
        <w:t xml:space="preserve">, 12 USPQ2d 1653 (TTAB 1989)(device parameters claimed in terms of the height of a user is indefinite since the user's height may vary).  </w:t>
      </w:r>
    </w:p>
    <w:p w:rsidR="009F6013" w:rsidRPr="009F6013" w:rsidRDefault="009F6013" w:rsidP="009F6013">
      <w:pPr>
        <w:pStyle w:val="para"/>
        <w:spacing w:before="0" w:beforeAutospacing="0" w:after="0" w:afterAutospacing="0"/>
        <w:ind w:firstLine="720"/>
        <w:jc w:val="both"/>
      </w:pPr>
    </w:p>
    <w:p w:rsidR="009F6013" w:rsidRPr="009F6013" w:rsidRDefault="009F6013" w:rsidP="009F6013">
      <w:pPr>
        <w:pStyle w:val="para"/>
        <w:spacing w:before="0" w:beforeAutospacing="0" w:after="0" w:afterAutospacing="0"/>
        <w:ind w:firstLine="720"/>
        <w:jc w:val="both"/>
      </w:pPr>
      <w:r w:rsidRPr="009F6013">
        <w:t xml:space="preserve">In deciding whether a claim is indefinite, it is proper to consider whether the claim “clearly differentiates itself from specific prior art.” </w:t>
      </w:r>
      <w:r w:rsidRPr="009F6013">
        <w:rPr>
          <w:i/>
        </w:rPr>
        <w:t>Halliburton Energy Services v. M-I LLC</w:t>
      </w:r>
      <w:r w:rsidRPr="009F6013">
        <w:t xml:space="preserve">, 514 F.3d 1244, 1252 (Fed. Cir. 2008).  “Such differentiation is an important consideration in the definiteness inquiry because in attempting to define a claim term, a person of ordinary skill is likely to conclude that the definition does not encompass that which is expressly distinguished as prior art.”  </w:t>
      </w:r>
      <w:smartTag w:uri="urn:schemas-microsoft-com:office:smarttags" w:element="place">
        <w:smartTag w:uri="urn:schemas-microsoft-com:office:smarttags" w:element="State">
          <w:r w:rsidRPr="009F6013">
            <w:rPr>
              <w:i/>
            </w:rPr>
            <w:t>Id</w:t>
          </w:r>
          <w:r w:rsidRPr="009F6013">
            <w:t>.</w:t>
          </w:r>
        </w:smartTag>
      </w:smartTag>
      <w:r w:rsidRPr="009F6013">
        <w:t xml:space="preserve">  For example, a claim to a “fragile gel” was held indefinite because the intrinsic record argued that the graph of its viscosity (as a function of time and force applied within it) distinguished it from the prior art, but the court found that the graph did not distinguish the prior art.  The specification stated that a “fragile gel, as used herein” was one that “liquefies or becomes less gel-like under stress, such as caused by moving the fluid, but which quickly returns to a gel when the movement is stopped.”  </w:t>
      </w:r>
      <w:smartTag w:uri="urn:schemas-microsoft-com:office:smarttags" w:element="place">
        <w:smartTag w:uri="urn:schemas-microsoft-com:office:smarttags" w:element="State">
          <w:r w:rsidRPr="009F6013">
            <w:rPr>
              <w:i/>
            </w:rPr>
            <w:t>Id</w:t>
          </w:r>
          <w:r w:rsidRPr="009F6013">
            <w:t>.</w:t>
          </w:r>
        </w:smartTag>
      </w:smartTag>
      <w:r w:rsidRPr="009F6013">
        <w:t xml:space="preserve">  The patent-holder argued that the term was defined by the “L-shaped” viscosity curve (shown in Figure 3 of the patent), which fell “directly back onto itself when force is applied.”  </w:t>
      </w:r>
      <w:smartTag w:uri="urn:schemas-microsoft-com:office:smarttags" w:element="place">
        <w:smartTag w:uri="urn:schemas-microsoft-com:office:smarttags" w:element="State">
          <w:r w:rsidRPr="009F6013">
            <w:rPr>
              <w:i/>
            </w:rPr>
            <w:t>Id</w:t>
          </w:r>
          <w:r w:rsidRPr="009F6013">
            <w:t>.</w:t>
          </w:r>
        </w:smartTag>
      </w:smartTag>
      <w:r w:rsidRPr="009F6013">
        <w:t xml:space="preserve">  Noting that one class of prior art fluid (12.1 SF fluid) had this feature, the Federal Circuit held the claim indefinite.  </w:t>
      </w:r>
    </w:p>
    <w:p w:rsidR="009F6013" w:rsidRPr="009F6013" w:rsidRDefault="009F6013" w:rsidP="009F6013">
      <w:pPr>
        <w:pStyle w:val="para"/>
        <w:spacing w:before="0" w:beforeAutospacing="0" w:after="0" w:afterAutospacing="0"/>
        <w:ind w:firstLine="720"/>
        <w:jc w:val="both"/>
      </w:pPr>
    </w:p>
    <w:p w:rsidR="009F6013" w:rsidRPr="009F6013" w:rsidRDefault="009F6013" w:rsidP="009F6013">
      <w:pPr>
        <w:pStyle w:val="para"/>
        <w:spacing w:before="0" w:beforeAutospacing="0" w:after="0" w:afterAutospacing="0"/>
        <w:ind w:firstLine="720"/>
        <w:jc w:val="both"/>
      </w:pPr>
      <w:r w:rsidRPr="009F6013">
        <w:t>A claim term is particularly likely to be found indefinite when it is functional, rather than structural</w:t>
      </w:r>
      <w:r w:rsidRPr="009F6013">
        <w:sym w:font="Symbol" w:char="F0BE"/>
      </w:r>
      <w:r w:rsidRPr="009F6013">
        <w:t xml:space="preserve">that is, when the term says “what it does rather than what it is.” </w:t>
      </w:r>
      <w:smartTag w:uri="urn:schemas-microsoft-com:office:smarttags" w:element="place">
        <w:smartTag w:uri="urn:schemas-microsoft-com:office:smarttags" w:element="State">
          <w:r w:rsidRPr="009F6013">
            <w:rPr>
              <w:i/>
            </w:rPr>
            <w:t>Id</w:t>
          </w:r>
          <w:r w:rsidRPr="009F6013">
            <w:t>.</w:t>
          </w:r>
        </w:smartTag>
      </w:smartTag>
      <w:r w:rsidRPr="009F6013">
        <w:t xml:space="preserve"> (quoting </w:t>
      </w:r>
      <w:r w:rsidRPr="009F6013">
        <w:rPr>
          <w:i/>
        </w:rPr>
        <w:t>In re Swinehart</w:t>
      </w:r>
      <w:r w:rsidRPr="009F6013">
        <w:t>, 439 F.2d 210, 212 (C.C.P.A. 1971).</w:t>
      </w:r>
      <w:r w:rsidRPr="009F6013">
        <w:rPr>
          <w:rStyle w:val="FootnoteReference"/>
        </w:rPr>
        <w:footnoteReference w:id="1"/>
      </w:r>
      <w:r w:rsidRPr="009F6013">
        <w:t xml:space="preserve">  The Supreme Court held that using functional language at the point of novelty is particularly egregious, and renders a claim invalid for indefiniteness.  </w:t>
      </w:r>
      <w:r w:rsidRPr="009F6013">
        <w:rPr>
          <w:i/>
        </w:rPr>
        <w:t>General Electric v. Wabash Appliance Corp</w:t>
      </w:r>
      <w:r w:rsidRPr="009F6013">
        <w:t xml:space="preserve">., 304 </w:t>
      </w:r>
      <w:smartTag w:uri="urn:schemas-microsoft-com:office:smarttags" w:element="place">
        <w:smartTag w:uri="urn:schemas-microsoft-com:office:smarttags" w:element="country-region">
          <w:r w:rsidRPr="009F6013">
            <w:t>U.S.</w:t>
          </w:r>
        </w:smartTag>
      </w:smartTag>
      <w:r w:rsidRPr="009F6013">
        <w:t xml:space="preserve"> 364; </w:t>
      </w:r>
      <w:r w:rsidRPr="009F6013">
        <w:rPr>
          <w:i/>
        </w:rPr>
        <w:t>Halliburton Energy Services v. M-I LLC</w:t>
      </w:r>
      <w:r w:rsidRPr="009F6013">
        <w:t xml:space="preserve">, 514 F.3d 1244, 1255 (Fed. Cir. 2008).  In </w:t>
      </w:r>
      <w:r w:rsidRPr="009F6013">
        <w:rPr>
          <w:i/>
        </w:rPr>
        <w:t>General Electric</w:t>
      </w:r>
      <w:r w:rsidRPr="009F6013">
        <w:t xml:space="preserve">, the Supreme Court held that the claim for a filament “made up mainly of a number of comparatively large grains of such size and contour as to prevent substantial sagging and offsetting” was functional language at the point of novelty that rendered the claim invalid.  </w:t>
      </w:r>
      <w:r w:rsidRPr="009F6013">
        <w:rPr>
          <w:i/>
        </w:rPr>
        <w:t>General Electric v. Wabash Appliance Corp</w:t>
      </w:r>
      <w:r w:rsidRPr="009F6013">
        <w:t xml:space="preserve">., 304 U.S. 364 (1938).  The Court held that the use of the functional language was insufficient, and “if allowed would extend the monopoly beyond the invention.”  </w:t>
      </w:r>
      <w:r w:rsidRPr="009F6013">
        <w:rPr>
          <w:i/>
        </w:rPr>
        <w:t>Id</w:t>
      </w:r>
      <w:r w:rsidRPr="009F6013">
        <w:t>. at 371.  “[T]he vice of a functional claim exists not only when the claim is wholly functional, if that is ever true, but also when the inventor is painstaking when he recites what has already been seen, and then uses conveniently functional language at the exact point of novelty.  A limited use of terms of effect or result, which accurately define the essential qualities of a product to one skilled in the art, may in some instances be permissible and even desirable, but a characteristic essential to novelty may not be distinguished from the old art solely by its tendency to remedy the problems in the art met by the patent</w:t>
      </w:r>
      <w:r w:rsidRPr="009F6013">
        <w:rPr>
          <w:color w:val="FF0000"/>
        </w:rPr>
        <w:t>.</w:t>
      </w:r>
      <w:r w:rsidRPr="009F6013">
        <w:t xml:space="preserve">”  </w:t>
      </w:r>
      <w:r w:rsidRPr="009F6013">
        <w:rPr>
          <w:i/>
        </w:rPr>
        <w:t>Id</w:t>
      </w:r>
      <w:r w:rsidRPr="009F6013">
        <w:t xml:space="preserve">. at 371-72.  </w:t>
      </w:r>
    </w:p>
    <w:p w:rsidR="009F6013" w:rsidRPr="009F6013" w:rsidRDefault="009F6013" w:rsidP="009F6013"/>
    <w:bookmarkEnd w:id="36"/>
    <w:p w:rsidR="00F96657" w:rsidRPr="004120DD" w:rsidRDefault="00F96657" w:rsidP="00F96657">
      <w:pPr>
        <w:tabs>
          <w:tab w:val="left" w:pos="720"/>
          <w:tab w:val="left" w:pos="1440"/>
        </w:tabs>
      </w:pPr>
      <w:r w:rsidRPr="009F6013">
        <w:t>“The review of indefiniteness under 35 U.S.C. § 112</w:t>
      </w:r>
      <w:r w:rsidRPr="009F6013">
        <w:fldChar w:fldCharType="begin"/>
      </w:r>
      <w:r w:rsidRPr="009F6013">
        <w:instrText xml:space="preserve"> TA \s "35 U.S.C. § 112" </w:instrText>
      </w:r>
      <w:r w:rsidRPr="009F6013">
        <w:fldChar w:fldCharType="end"/>
      </w:r>
      <w:r w:rsidRPr="009F6013">
        <w:t xml:space="preserve">, paragraph 2, proceeds as a question of law without deference.” </w:t>
      </w:r>
      <w:r w:rsidRPr="00392CE0">
        <w:rPr>
          <w:i/>
        </w:rPr>
        <w:t>AllVoice Computing PLC v. Nuance Commc’ns Inc</w:t>
      </w:r>
      <w:r w:rsidRPr="009F6013">
        <w:t>., 84 U.S.P.Q.2d 1886, 1890 (Fed. Cir. 2007)</w:t>
      </w:r>
      <w:r w:rsidRPr="009F6013">
        <w:fldChar w:fldCharType="begin"/>
      </w:r>
      <w:r w:rsidRPr="009F6013">
        <w:instrText xml:space="preserve"> TA \l "</w:instrText>
      </w:r>
      <w:r w:rsidRPr="009F6013">
        <w:rPr>
          <w:u w:val="single"/>
        </w:rPr>
        <w:instrText>AllVoice Computing PLC v. Nuance Commc’ns Inc</w:instrText>
      </w:r>
      <w:r w:rsidRPr="009F6013">
        <w:instrText xml:space="preserve">., 84 U.S.P.Q.2d 1886, 1890 (Fed. Cir. 2007)" \s "AllVoice Computing PLC v. Nuance Commc’ns Inc., 84 U.S.P.Q.2d 1886, 1890 (Fed. Cir. 2007)" \c 1 </w:instrText>
      </w:r>
      <w:r w:rsidRPr="009F6013">
        <w:fldChar w:fldCharType="end"/>
      </w:r>
      <w:r w:rsidRPr="009F6013">
        <w:t xml:space="preserve"> (</w:t>
      </w:r>
      <w:r w:rsidRPr="00655780">
        <w:t>quoting</w:t>
      </w:r>
      <w:r w:rsidRPr="00655780">
        <w:rPr>
          <w:i/>
        </w:rPr>
        <w:t xml:space="preserve"> </w:t>
      </w:r>
      <w:r w:rsidRPr="00655780">
        <w:rPr>
          <w:rStyle w:val="emphi"/>
          <w:i/>
        </w:rPr>
        <w:t>SmithKline Beecham Corp. v. Apotex Corp</w:t>
      </w:r>
      <w:r w:rsidRPr="004120DD">
        <w:rPr>
          <w:rStyle w:val="emphi"/>
        </w:rPr>
        <w:t>.</w:t>
      </w:r>
      <w:r w:rsidRPr="004120DD">
        <w:t>, 403 F.3d 1331, 1338 (Fed. Cir. 2005)</w:t>
      </w:r>
      <w:r>
        <w:fldChar w:fldCharType="begin"/>
      </w:r>
      <w:r>
        <w:instrText xml:space="preserve"> TA \l "</w:instrText>
      </w:r>
      <w:r w:rsidRPr="00F54CA2">
        <w:rPr>
          <w:rStyle w:val="emphi"/>
          <w:u w:val="single"/>
        </w:rPr>
        <w:instrText>SmithKline Beecham Corp. v. Apotex Corp</w:instrText>
      </w:r>
      <w:r w:rsidRPr="00F54CA2">
        <w:rPr>
          <w:rStyle w:val="emphi"/>
        </w:rPr>
        <w:instrText>.</w:instrText>
      </w:r>
      <w:r w:rsidRPr="00F54CA2">
        <w:instrText>, 403 F.3d 1331, 1338 (Fed. Cir. 2005)</w:instrText>
      </w:r>
      <w:r>
        <w:instrText xml:space="preserve">" \s "SmithKline Beecham Corp. v. Apotex Corp., 403 F.3d 1331, 1338 (Fed. Cir. 2005)" \c 1 </w:instrText>
      </w:r>
      <w:r>
        <w:fldChar w:fldCharType="end"/>
      </w:r>
      <w:r w:rsidRPr="004120DD">
        <w:t>).</w:t>
      </w:r>
    </w:p>
    <w:p w:rsidR="00F96657" w:rsidRPr="004120DD" w:rsidRDefault="00F96657" w:rsidP="00F96657">
      <w:pPr>
        <w:tabs>
          <w:tab w:val="left" w:pos="720"/>
          <w:tab w:val="left" w:pos="1440"/>
        </w:tabs>
        <w:rPr>
          <w:b/>
        </w:rPr>
      </w:pPr>
    </w:p>
    <w:p w:rsidR="00F96657" w:rsidRPr="004120DD" w:rsidRDefault="00F96657" w:rsidP="00F96657">
      <w:pPr>
        <w:pStyle w:val="Heading2"/>
        <w:rPr>
          <w:rFonts w:ascii="Times New Roman" w:hAnsi="Times New Roman"/>
        </w:rPr>
      </w:pPr>
      <w:bookmarkStart w:id="37" w:name="_Toc289408120"/>
      <w:bookmarkStart w:id="38" w:name="_Toc289409406"/>
      <w:bookmarkStart w:id="39" w:name="_Toc289409516"/>
      <w:bookmarkStart w:id="40" w:name="_Toc289409659"/>
      <w:bookmarkStart w:id="41" w:name="_Toc290548381"/>
      <w:bookmarkStart w:id="42" w:name="B2"/>
      <w:r w:rsidRPr="004120DD">
        <w:rPr>
          <w:rFonts w:ascii="Times New Roman" w:hAnsi="Times New Roman"/>
        </w:rPr>
        <w:t>2.</w:t>
      </w:r>
      <w:r w:rsidRPr="004120DD">
        <w:rPr>
          <w:rFonts w:ascii="Times New Roman" w:hAnsi="Times New Roman"/>
        </w:rPr>
        <w:tab/>
        <w:t>Written Description</w:t>
      </w:r>
      <w:bookmarkEnd w:id="37"/>
      <w:bookmarkEnd w:id="38"/>
      <w:bookmarkEnd w:id="39"/>
      <w:bookmarkEnd w:id="40"/>
      <w:bookmarkEnd w:id="41"/>
    </w:p>
    <w:bookmarkEnd w:id="42"/>
    <w:p w:rsidR="00F96657" w:rsidRPr="004120DD" w:rsidRDefault="00F96657" w:rsidP="00F96657">
      <w:pPr>
        <w:tabs>
          <w:tab w:val="left" w:pos="720"/>
          <w:tab w:val="left" w:pos="1440"/>
        </w:tabs>
      </w:pPr>
    </w:p>
    <w:p w:rsidR="002430A6" w:rsidRDefault="00F96657" w:rsidP="00F96657">
      <w:pPr>
        <w:tabs>
          <w:tab w:val="left" w:pos="720"/>
          <w:tab w:val="left" w:pos="1440"/>
        </w:tabs>
      </w:pPr>
      <w:r w:rsidRPr="004120DD">
        <w:t>A patent specification must contain a “written description” of the claimed invention.  This requirement is set forth in 35 U.S.C. § 112</w:t>
      </w:r>
      <w:r>
        <w:fldChar w:fldCharType="begin"/>
      </w:r>
      <w:r>
        <w:instrText xml:space="preserve"> TA \s "35 U.S.C. § 112" </w:instrText>
      </w:r>
      <w:r>
        <w:fldChar w:fldCharType="end"/>
      </w:r>
      <w:r w:rsidRPr="004120DD">
        <w:t xml:space="preserve">, ¶1, which begins by stating that the specification “shall contain a written description of the invention . . . .” </w:t>
      </w:r>
      <w:r w:rsidR="002430A6">
        <w:t xml:space="preserve"> The Federal Circuit stated that “the description must ‘clearly allow persons of ordinary skill in the art to recognize that [the inventor] invented what is claimed.’” </w:t>
      </w:r>
      <w:r w:rsidR="00C555EF" w:rsidRPr="00392CE0">
        <w:rPr>
          <w:i/>
        </w:rPr>
        <w:t>Ariad Pharms. v. Eli Lilly &amp; Co</w:t>
      </w:r>
      <w:r w:rsidR="00C555EF" w:rsidRPr="00392CE0">
        <w:t>., 598 F.3d 1336, 1351, 94 U.S.P.Q.2d 1161 (Fed. Cir. 2010)</w:t>
      </w:r>
      <w:r w:rsidR="00C555EF" w:rsidRPr="00B42EF0">
        <w:t>.</w:t>
      </w:r>
    </w:p>
    <w:p w:rsidR="002430A6" w:rsidRDefault="002430A6" w:rsidP="00F96657">
      <w:pPr>
        <w:tabs>
          <w:tab w:val="left" w:pos="720"/>
          <w:tab w:val="left" w:pos="1440"/>
        </w:tabs>
      </w:pPr>
    </w:p>
    <w:p w:rsidR="00C555EF" w:rsidRPr="00C555EF" w:rsidRDefault="00F96657" w:rsidP="002D0E2B">
      <w:pPr>
        <w:tabs>
          <w:tab w:val="left" w:pos="720"/>
          <w:tab w:val="left" w:pos="1440"/>
        </w:tabs>
      </w:pPr>
      <w:r w:rsidRPr="004120DD">
        <w:t>Like the enablement requirement (see Part B.3, below)</w:t>
      </w:r>
      <w:r w:rsidRPr="004120DD">
        <w:sym w:font="Symbol" w:char="F0BE"/>
      </w:r>
      <w:r w:rsidRPr="004120DD">
        <w:t>but for different reasons</w:t>
      </w:r>
      <w:r w:rsidRPr="004120DD">
        <w:sym w:font="Symbol" w:char="F0BE"/>
      </w:r>
      <w:r w:rsidRPr="004120DD">
        <w:t xml:space="preserve">the written description requirement imposes limits to the scope of a patent’s claims.  </w:t>
      </w:r>
      <w:r w:rsidR="009A5786">
        <w:t>“</w:t>
      </w:r>
      <w:r w:rsidR="00C555EF">
        <w:t>[T]he test for sufficiency is whether the disclosure of the application relied upon reasonably conv</w:t>
      </w:r>
      <w:r w:rsidR="002D0E2B">
        <w:t>e</w:t>
      </w:r>
      <w:r w:rsidR="00C555EF">
        <w:t xml:space="preserve">ys to those skilled in the art that the inventor had possession of the claimed subject matter as of the filing date.”  </w:t>
      </w:r>
      <w:r w:rsidR="00C555EF" w:rsidRPr="00392CE0">
        <w:rPr>
          <w:i/>
        </w:rPr>
        <w:t>Id.</w:t>
      </w:r>
      <w:r w:rsidR="00392CE0">
        <w:t xml:space="preserve"> </w:t>
      </w:r>
      <w:r w:rsidR="00C555EF">
        <w:t xml:space="preserve">at 1351 (citing </w:t>
      </w:r>
      <w:r w:rsidR="00C555EF" w:rsidRPr="00392CE0">
        <w:rPr>
          <w:i/>
        </w:rPr>
        <w:t>Vas-Cath Inc. v. Mahurkar</w:t>
      </w:r>
      <w:r w:rsidR="00C555EF">
        <w:t xml:space="preserve">, 935 F.2d 1555, 1562-63 (Fed. Cir. 1991), </w:t>
      </w:r>
      <w:r w:rsidR="00C555EF" w:rsidRPr="00655780">
        <w:t>citing</w:t>
      </w:r>
      <w:r w:rsidR="00C555EF">
        <w:t xml:space="preserve"> </w:t>
      </w:r>
      <w:r w:rsidR="00C555EF" w:rsidRPr="00392CE0">
        <w:rPr>
          <w:i/>
        </w:rPr>
        <w:t>In re Gosteli</w:t>
      </w:r>
      <w:r w:rsidR="00C555EF">
        <w:t>, 872 F.2d 1008, 1012 (Fed. Cir. 1989)).</w:t>
      </w:r>
    </w:p>
    <w:p w:rsidR="00F96657" w:rsidRPr="004120DD" w:rsidRDefault="00F96657" w:rsidP="00F96657">
      <w:pPr>
        <w:tabs>
          <w:tab w:val="left" w:pos="720"/>
          <w:tab w:val="left" w:pos="1440"/>
        </w:tabs>
        <w:ind w:left="720" w:right="720"/>
      </w:pPr>
    </w:p>
    <w:p w:rsidR="00F96657" w:rsidRPr="004120DD" w:rsidRDefault="00F96657" w:rsidP="002D0E2B">
      <w:pPr>
        <w:tabs>
          <w:tab w:val="left" w:pos="720"/>
          <w:tab w:val="left" w:pos="1440"/>
        </w:tabs>
      </w:pPr>
      <w:r w:rsidRPr="004120DD">
        <w:t xml:space="preserve">Written description is a question of fact, based on the perspective of one of ordinary skill in the art as of the relevant filing date.  </w:t>
      </w:r>
      <w:r w:rsidRPr="00655780">
        <w:t>See</w:t>
      </w:r>
      <w:r w:rsidRPr="00392CE0">
        <w:rPr>
          <w:i/>
        </w:rPr>
        <w:t xml:space="preserve"> Vas-Cath, Inc. v. Mahurkar</w:t>
      </w:r>
      <w:r w:rsidRPr="004120DD">
        <w:t xml:space="preserve">, 935 F.2d 1555, 1563-64 [19 </w:t>
      </w:r>
      <w:r>
        <w:t>U.S.P.Q.</w:t>
      </w:r>
      <w:r w:rsidRPr="004120DD">
        <w:t>2d 1111] (Fed. Cir. 1991)</w:t>
      </w:r>
      <w:r>
        <w:fldChar w:fldCharType="begin"/>
      </w:r>
      <w:r>
        <w:instrText xml:space="preserve"> TA \l "</w:instrText>
      </w:r>
      <w:r w:rsidRPr="00F54CA2">
        <w:rPr>
          <w:u w:val="single"/>
        </w:rPr>
        <w:instrText>Vas-Cath, Inc. v. Mahurkar</w:instrText>
      </w:r>
      <w:r w:rsidRPr="00F54CA2">
        <w:instrText xml:space="preserve">, 935 F.2d 1555, 1563-64 [19 </w:instrText>
      </w:r>
      <w:r>
        <w:instrText>U.S.P.Q.</w:instrText>
      </w:r>
      <w:r w:rsidRPr="00F54CA2">
        <w:instrText>2d 1111] (Fed. Cir. 1991)</w:instrText>
      </w:r>
      <w:r>
        <w:instrText xml:space="preserve">" \s "Vas-Cath, Inc. v. Mahurkar, 935 F.2d 1555, 1563-64 [19 U.S.P.Q.2d 1111] (Fed. Cir. 1991)" \c 1 </w:instrText>
      </w:r>
      <w:r>
        <w:fldChar w:fldCharType="end"/>
      </w:r>
      <w:r w:rsidRPr="004120DD">
        <w:t xml:space="preserve">; </w:t>
      </w:r>
      <w:r w:rsidRPr="00392CE0">
        <w:rPr>
          <w:i/>
        </w:rPr>
        <w:t>Falkner v. Inglis</w:t>
      </w:r>
      <w:r w:rsidRPr="004120DD">
        <w:t xml:space="preserve">, 448 F.3d 1357, 79 </w:t>
      </w:r>
      <w:r>
        <w:t>U.S.P.Q.</w:t>
      </w:r>
      <w:r w:rsidRPr="004120DD">
        <w:t>2d 1001, at 1005 (Fed. Cir. 2006)</w:t>
      </w:r>
      <w:r>
        <w:fldChar w:fldCharType="begin"/>
      </w:r>
      <w:r>
        <w:instrText xml:space="preserve"> TA \l "</w:instrText>
      </w:r>
      <w:r w:rsidRPr="00411A6D">
        <w:rPr>
          <w:u w:val="single"/>
        </w:rPr>
        <w:instrText>Falkner v. Inglis</w:instrText>
      </w:r>
      <w:r w:rsidRPr="00411A6D">
        <w:instrText xml:space="preserve">, 448 F.3d 1357, 79 </w:instrText>
      </w:r>
      <w:r>
        <w:instrText>U.S.P.Q.</w:instrText>
      </w:r>
      <w:r w:rsidRPr="00411A6D">
        <w:instrText>2d 1001, at 1005 (Fed. Cir. 2006)</w:instrText>
      </w:r>
      <w:r>
        <w:instrText xml:space="preserve">" \s "Falkner v. Inglis, 448 F.3d 1357, 79 U.S.P.Q.2d 1001, at 1005 (Fed. Cir. 2006)" \c 1 </w:instrText>
      </w:r>
      <w:r>
        <w:fldChar w:fldCharType="end"/>
      </w:r>
      <w:r w:rsidRPr="004120DD">
        <w:t>.</w:t>
      </w:r>
      <w:r w:rsidR="00C555EF">
        <w:t xml:space="preserve">  </w:t>
      </w:r>
      <w:r w:rsidRPr="004120DD">
        <w:t xml:space="preserve">“The invention is, for purposes of the ‘written description’ inquiry, </w:t>
      </w:r>
      <w:r w:rsidRPr="004120DD">
        <w:rPr>
          <w:u w:val="single"/>
        </w:rPr>
        <w:t>whatever is now claimed</w:t>
      </w:r>
      <w:r w:rsidRPr="004120DD">
        <w:t xml:space="preserve">.”  </w:t>
      </w:r>
      <w:r w:rsidRPr="00392CE0">
        <w:rPr>
          <w:i/>
        </w:rPr>
        <w:t>Vas-Cath, Inc</w:t>
      </w:r>
      <w:r w:rsidRPr="00B42EF0">
        <w:t xml:space="preserve">. </w:t>
      </w:r>
      <w:r w:rsidRPr="004120DD">
        <w:t>at 1563-64 (emphasis in original).</w:t>
      </w:r>
      <w:r w:rsidR="00C555EF">
        <w:t xml:space="preserve">  And “the written description requirement applies to all claims”, both original and amended.  </w:t>
      </w:r>
      <w:r w:rsidR="00C555EF" w:rsidRPr="00392CE0">
        <w:rPr>
          <w:i/>
        </w:rPr>
        <w:t>Ariad Pharms. v. Eli Lilly &amp; Co.</w:t>
      </w:r>
      <w:r w:rsidR="00C555EF" w:rsidRPr="00392CE0">
        <w:t>, 598 F.3d 1336, 1349 (Fed. Cir. 2010).</w:t>
      </w:r>
    </w:p>
    <w:p w:rsidR="00F96657" w:rsidRPr="004120DD" w:rsidRDefault="00F96657" w:rsidP="00F96657">
      <w:pPr>
        <w:tabs>
          <w:tab w:val="left" w:pos="720"/>
          <w:tab w:val="left" w:pos="1440"/>
        </w:tabs>
      </w:pPr>
    </w:p>
    <w:p w:rsidR="00F96657" w:rsidRPr="003015BC" w:rsidRDefault="00F96657" w:rsidP="00F96657">
      <w:pPr>
        <w:tabs>
          <w:tab w:val="left" w:pos="720"/>
          <w:tab w:val="left" w:pos="1440"/>
        </w:tabs>
      </w:pPr>
      <w:r w:rsidRPr="004120DD">
        <w:t xml:space="preserve">A claim is supported with a sufficient written description only if it is evident that the claim scope was in fact contemplated by the inventor at the time of filing.  Not having this requirement: “would lead to sweeping, overbroad claims because it would entitle an inventor to a claim scope far greater than what a person of skill in the art would understand the inventor to possess . . . .”  </w:t>
      </w:r>
      <w:r w:rsidR="003015BC" w:rsidRPr="00392CE0">
        <w:rPr>
          <w:i/>
        </w:rPr>
        <w:t>LizardTech, Inc. v. Earth Res. Mapping, Inc.</w:t>
      </w:r>
      <w:r w:rsidR="003015BC" w:rsidRPr="003015BC">
        <w:t>, 424 F.3d 1336, 1346, 2005 U.S. App. LEXIS 21434, *29, 76 U.S.P.Q.2D (BNA) 1724, 1732 (Fed. Cir. 2005)</w:t>
      </w:r>
      <w:r w:rsidRPr="003015BC">
        <w:t>.</w:t>
      </w:r>
    </w:p>
    <w:p w:rsidR="00F96657" w:rsidRPr="00C671FD" w:rsidRDefault="00F96657" w:rsidP="00F96657">
      <w:pPr>
        <w:tabs>
          <w:tab w:val="left" w:pos="720"/>
          <w:tab w:val="left" w:pos="1440"/>
        </w:tabs>
      </w:pPr>
    </w:p>
    <w:p w:rsidR="00007B9E" w:rsidRPr="00C671FD" w:rsidRDefault="00007B9E" w:rsidP="00007B9E">
      <w:pPr>
        <w:tabs>
          <w:tab w:val="left" w:pos="720"/>
          <w:tab w:val="left" w:pos="1440"/>
        </w:tabs>
        <w:jc w:val="both"/>
        <w:rPr>
          <w:i/>
        </w:rPr>
      </w:pPr>
      <w:r w:rsidRPr="00C671FD">
        <w:tab/>
        <w:t xml:space="preserve">Obvious variants of an invention are not necessarily supported by the specification.  A description which renders obvious the claimed invention is not sufficient to satisfy the written description requirement of that invention.  </w:t>
      </w:r>
      <w:r w:rsidRPr="00C671FD">
        <w:rPr>
          <w:i/>
        </w:rPr>
        <w:t>Lockwood v. American Airlines, Inc.</w:t>
      </w:r>
      <w:r w:rsidRPr="00C671FD">
        <w:t xml:space="preserve">, 107 F.3d 1565, 1572, 41 USPQ2d 1961, 1966 (Fed. Cir. 1997).  In other words, an applicant complies with the written description requirement “by describing the invention, with all its claimed limitations, not that which makes it obvious,” and by using “such descriptive means as words, structures, figures, diagrams, formulas, etc., that set forth the claimed invention.”  </w:t>
      </w:r>
      <w:smartTag w:uri="urn:schemas-microsoft-com:office:smarttags" w:element="place">
        <w:smartTag w:uri="urn:schemas-microsoft-com:office:smarttags" w:element="State">
          <w:r w:rsidRPr="00C671FD">
            <w:rPr>
              <w:i/>
            </w:rPr>
            <w:t>Id.</w:t>
          </w:r>
        </w:smartTag>
      </w:smartTag>
    </w:p>
    <w:p w:rsidR="00007B9E" w:rsidRPr="00C671FD" w:rsidRDefault="00007B9E" w:rsidP="00007B9E">
      <w:pPr>
        <w:tabs>
          <w:tab w:val="left" w:pos="720"/>
          <w:tab w:val="left" w:pos="1440"/>
        </w:tabs>
        <w:jc w:val="both"/>
        <w:rPr>
          <w:i/>
        </w:rPr>
      </w:pPr>
    </w:p>
    <w:p w:rsidR="00007B9E" w:rsidRPr="00C671FD" w:rsidRDefault="00007B9E" w:rsidP="00007B9E">
      <w:pPr>
        <w:tabs>
          <w:tab w:val="left" w:pos="720"/>
          <w:tab w:val="left" w:pos="1440"/>
        </w:tabs>
        <w:jc w:val="both"/>
      </w:pPr>
      <w:r w:rsidRPr="00C671FD">
        <w:rPr>
          <w:i/>
        </w:rPr>
        <w:tab/>
      </w:r>
      <w:r w:rsidRPr="00C671FD">
        <w:t xml:space="preserve">Claim amendments are of particular interest, as is the case here.  Any introduction of new matter by way of amending the claims is strictly prohibited.  35 U.S.C. § 132.  Additionally, limitations added by the applicant during prosecution can give insight into what subject matter the applicant has given up.  </w:t>
      </w:r>
      <w:r w:rsidRPr="00C671FD">
        <w:rPr>
          <w:i/>
        </w:rPr>
        <w:t>Elkay Mfg. Co. v. Ebco Mfg. Co.</w:t>
      </w:r>
      <w:r w:rsidRPr="00C671FD">
        <w:t xml:space="preserve">, 192 F.3d 973, 978 (Fed. Cir. 1999) citing </w:t>
      </w:r>
      <w:r w:rsidRPr="00C671FD">
        <w:rPr>
          <w:i/>
        </w:rPr>
        <w:t>Lemelson v. General Mills, Inc.</w:t>
      </w:r>
      <w:r w:rsidRPr="00C671FD">
        <w:t xml:space="preserve">, 968 F.2d 1202, 1206, 23 USPQ2d 1284, 1288 (Fed. Cir. 1992) (“The prosecution history gives insight into what the applicant originally claimed as the invention, and often what the applicant gave up in order to meet the Examiner’s objections.”); </w:t>
      </w:r>
      <w:r w:rsidRPr="00655780">
        <w:t>see also</w:t>
      </w:r>
      <w:r w:rsidRPr="00C671FD">
        <w:rPr>
          <w:i/>
        </w:rPr>
        <w:t xml:space="preserve"> Standard Oil Co. v. American Cynamid Co.</w:t>
      </w:r>
      <w:r w:rsidRPr="00C671FD">
        <w:t>, 774 F.2d 448, 452, 227 USPQ 293, 296 (Fed. Cir. 1985) (“[T]he prosecution history (or file wrapper) limits the interpretation of claims so as to exclude any interpretation that may have been disclaimed or disavowed during prosecution in order to obtain claim allowance.”).  Prosecution history also can limit or preclude the availability of the doctrine of equivalents.</w:t>
      </w:r>
      <w:r w:rsidRPr="00C671FD">
        <w:rPr>
          <w:i/>
          <w:szCs w:val="24"/>
          <w:shd w:val="clear" w:color="auto" w:fill="FFFFFF"/>
        </w:rPr>
        <w:t xml:space="preserve"> Festo Corp. v. Shoketsu Kinzoku Kogyo Kabushiki CO.</w:t>
      </w:r>
      <w:r w:rsidRPr="00C671FD">
        <w:rPr>
          <w:szCs w:val="24"/>
          <w:shd w:val="clear" w:color="auto" w:fill="FFFFFF"/>
        </w:rPr>
        <w:t xml:space="preserve">, 535 </w:t>
      </w:r>
      <w:smartTag w:uri="urn:schemas-microsoft-com:office:smarttags" w:element="place">
        <w:smartTag w:uri="urn:schemas-microsoft-com:office:smarttags" w:element="country-region">
          <w:r w:rsidRPr="00C671FD">
            <w:rPr>
              <w:szCs w:val="24"/>
              <w:shd w:val="clear" w:color="auto" w:fill="FFFFFF"/>
            </w:rPr>
            <w:t>US</w:t>
          </w:r>
        </w:smartTag>
      </w:smartTag>
      <w:r w:rsidRPr="00C671FD">
        <w:rPr>
          <w:szCs w:val="24"/>
          <w:shd w:val="clear" w:color="auto" w:fill="FFFFFF"/>
        </w:rPr>
        <w:t xml:space="preserve"> 722, 733-34 (2002) (“Prosecution history estoppel requires that the claims of a patent be interpreted in light of the proceedings in the PTO during the application process. . . . While the patentee has the right to appeal, his decision to forgo an appeal and submit an amended claim is taken as a concession that the invention as patented does not reach as far as the original claim.</w:t>
      </w:r>
      <w:r w:rsidRPr="00C671FD">
        <w:rPr>
          <w:rStyle w:val="apple-converted-space"/>
          <w:szCs w:val="24"/>
          <w:shd w:val="clear" w:color="auto" w:fill="FFFFFF"/>
        </w:rPr>
        <w:t> </w:t>
      </w:r>
      <w:r w:rsidRPr="00C671FD">
        <w:rPr>
          <w:szCs w:val="24"/>
          <w:shd w:val="clear" w:color="auto" w:fill="FFFFFF"/>
        </w:rPr>
        <w:t>”</w:t>
      </w:r>
      <w:r w:rsidRPr="00C671FD">
        <w:rPr>
          <w:rStyle w:val="apple-converted-space"/>
          <w:szCs w:val="24"/>
          <w:shd w:val="clear" w:color="auto" w:fill="FFFFFF"/>
        </w:rPr>
        <w:t xml:space="preserve"> Therefore, limitations added to the claims during the prosecution of a patent are of significant importance in determining claim scope.</w:t>
      </w:r>
    </w:p>
    <w:p w:rsidR="00007B9E" w:rsidRPr="00C671FD" w:rsidRDefault="00007B9E" w:rsidP="00007B9E">
      <w:pPr>
        <w:tabs>
          <w:tab w:val="left" w:pos="720"/>
          <w:tab w:val="left" w:pos="1440"/>
        </w:tabs>
        <w:jc w:val="both"/>
      </w:pPr>
    </w:p>
    <w:p w:rsidR="00007B9E" w:rsidRPr="00C671FD" w:rsidRDefault="00007B9E" w:rsidP="00F96657">
      <w:pPr>
        <w:tabs>
          <w:tab w:val="left" w:pos="720"/>
          <w:tab w:val="left" w:pos="1440"/>
        </w:tabs>
      </w:pPr>
    </w:p>
    <w:p w:rsidR="00F96657" w:rsidRPr="004120DD" w:rsidRDefault="00F96657" w:rsidP="00F96657">
      <w:pPr>
        <w:pStyle w:val="Heading2"/>
        <w:rPr>
          <w:rFonts w:ascii="Times New Roman" w:hAnsi="Times New Roman"/>
        </w:rPr>
      </w:pPr>
      <w:bookmarkStart w:id="43" w:name="_Toc289408121"/>
      <w:bookmarkStart w:id="44" w:name="_Toc289409407"/>
      <w:bookmarkStart w:id="45" w:name="_Toc289409517"/>
      <w:bookmarkStart w:id="46" w:name="_Toc289409660"/>
      <w:bookmarkStart w:id="47" w:name="_Toc290548382"/>
      <w:bookmarkStart w:id="48" w:name="B3"/>
      <w:r w:rsidRPr="004120DD">
        <w:rPr>
          <w:rFonts w:ascii="Times New Roman" w:hAnsi="Times New Roman"/>
        </w:rPr>
        <w:t>3.</w:t>
      </w:r>
      <w:r w:rsidRPr="004120DD">
        <w:rPr>
          <w:rFonts w:ascii="Times New Roman" w:hAnsi="Times New Roman"/>
        </w:rPr>
        <w:tab/>
        <w:t>Enablement</w:t>
      </w:r>
      <w:bookmarkEnd w:id="43"/>
      <w:bookmarkEnd w:id="44"/>
      <w:bookmarkEnd w:id="45"/>
      <w:bookmarkEnd w:id="46"/>
      <w:bookmarkEnd w:id="47"/>
    </w:p>
    <w:bookmarkEnd w:id="48"/>
    <w:p w:rsidR="00F96657" w:rsidRPr="004120DD" w:rsidRDefault="00F96657" w:rsidP="00F96657">
      <w:pPr>
        <w:pStyle w:val="para"/>
        <w:tabs>
          <w:tab w:val="left" w:pos="720"/>
          <w:tab w:val="left" w:pos="1440"/>
        </w:tabs>
        <w:spacing w:before="0" w:beforeAutospacing="0" w:after="0" w:afterAutospacing="0"/>
      </w:pPr>
    </w:p>
    <w:p w:rsidR="002430A6" w:rsidRPr="00392CE0" w:rsidRDefault="00F96657" w:rsidP="00F96657">
      <w:pPr>
        <w:pStyle w:val="para"/>
        <w:tabs>
          <w:tab w:val="left" w:pos="720"/>
          <w:tab w:val="left" w:pos="1440"/>
        </w:tabs>
        <w:spacing w:before="0" w:beforeAutospacing="0" w:after="0" w:afterAutospacing="0"/>
      </w:pPr>
      <w:r w:rsidRPr="004120DD">
        <w:t>The enablement requirement of 35 U.S.C</w:t>
      </w:r>
      <w:r>
        <w:t>.</w:t>
      </w:r>
      <w:r w:rsidRPr="004120DD">
        <w:t xml:space="preserve"> §</w:t>
      </w:r>
      <w:r>
        <w:t xml:space="preserve"> </w:t>
      </w:r>
      <w:r w:rsidRPr="004120DD">
        <w:t>112</w:t>
      </w:r>
      <w:r>
        <w:fldChar w:fldCharType="begin"/>
      </w:r>
      <w:r>
        <w:instrText xml:space="preserve"> TA \l "</w:instrText>
      </w:r>
      <w:r w:rsidRPr="00F54CA2">
        <w:instrText>35 U.S.C</w:instrText>
      </w:r>
      <w:r>
        <w:instrText>.</w:instrText>
      </w:r>
      <w:r w:rsidRPr="00F54CA2">
        <w:instrText xml:space="preserve"> § 112</w:instrText>
      </w:r>
      <w:r>
        <w:instrText xml:space="preserve">" \s "35 U.S.C. § 112" \c 2 </w:instrText>
      </w:r>
      <w:r>
        <w:fldChar w:fldCharType="end"/>
      </w:r>
      <w:r w:rsidRPr="004120DD">
        <w:t xml:space="preserve">, first paragraph, requires that the specification describe “the manner and process of making and using [the invention], in such full, clear, concise, and exact terms as to enable any person skilled in the art to which it pertains, or with which it is most nearly connected, to make and use the [invention].”  </w:t>
      </w:r>
      <w:r w:rsidR="002430A6">
        <w:t xml:space="preserve">The Federal Circuit clarified in </w:t>
      </w:r>
      <w:r w:rsidR="002430A6" w:rsidRPr="00392CE0">
        <w:rPr>
          <w:i/>
        </w:rPr>
        <w:t>Ariad Pharms. v. Eli Lilly &amp; Co.</w:t>
      </w:r>
      <w:r w:rsidR="002430A6">
        <w:t xml:space="preserve"> that § 112 ¶ 1 contains an enablement requirement separate from the written description requirement</w:t>
      </w:r>
      <w:r w:rsidR="002430A6" w:rsidRPr="00B42EF0">
        <w:t>. 5</w:t>
      </w:r>
      <w:r w:rsidR="002430A6" w:rsidRPr="00392CE0">
        <w:t xml:space="preserve">98 F.3d 1336, 1351, 94 U.S.P.Q.2d 1161 (Fed. Cir. 2010).  </w:t>
      </w:r>
    </w:p>
    <w:p w:rsidR="002430A6" w:rsidRPr="00C671FD" w:rsidRDefault="002430A6" w:rsidP="00F96657">
      <w:pPr>
        <w:pStyle w:val="para"/>
        <w:tabs>
          <w:tab w:val="left" w:pos="720"/>
          <w:tab w:val="left" w:pos="1440"/>
        </w:tabs>
        <w:spacing w:before="0" w:beforeAutospacing="0" w:after="0" w:afterAutospacing="0"/>
      </w:pPr>
    </w:p>
    <w:p w:rsidR="002430A6" w:rsidRPr="00B42EF0" w:rsidRDefault="002430A6" w:rsidP="002D0E2B">
      <w:pPr>
        <w:pStyle w:val="para"/>
        <w:tabs>
          <w:tab w:val="left" w:pos="720"/>
          <w:tab w:val="left" w:pos="1440"/>
        </w:tabs>
        <w:spacing w:before="0" w:beforeAutospacing="0" w:after="0" w:afterAutospacing="0"/>
        <w:ind w:left="1496" w:right="1506"/>
        <w:jc w:val="both"/>
      </w:pPr>
      <w:r w:rsidRPr="00C671FD">
        <w:t xml:space="preserve">[This] requirement to describe one’s invention is basic to patent law.  Every patent must describe an invention.  It is part of the </w:t>
      </w:r>
      <w:r w:rsidRPr="00C671FD">
        <w:rPr>
          <w:i/>
        </w:rPr>
        <w:t>quid pro quo</w:t>
      </w:r>
      <w:r w:rsidRPr="00C671FD">
        <w:t xml:space="preserve"> of a patent; one describes an invention, and, if</w:t>
      </w:r>
      <w:r w:rsidR="009A5786" w:rsidRPr="00C671FD">
        <w:t xml:space="preserve"> </w:t>
      </w:r>
      <w:r w:rsidRPr="00C671FD">
        <w:t>the law’s other requirem</w:t>
      </w:r>
      <w:r w:rsidR="00F526BE" w:rsidRPr="00C671FD">
        <w:t>e</w:t>
      </w:r>
      <w:r w:rsidRPr="00C671FD">
        <w:t xml:space="preserve">nts are met, one obtains a patent. The specification must then, of course, describe how to make and use </w:t>
      </w:r>
      <w:r w:rsidRPr="00B42EF0">
        <w:t>the invention (</w:t>
      </w:r>
      <w:r w:rsidRPr="00B42EF0">
        <w:rPr>
          <w:i/>
        </w:rPr>
        <w:t>i.e.</w:t>
      </w:r>
      <w:r w:rsidR="007A6085" w:rsidRPr="00B42EF0">
        <w:t>, enable it)</w:t>
      </w:r>
      <w:r w:rsidRPr="00B42EF0">
        <w:t>. . . .</w:t>
      </w:r>
    </w:p>
    <w:p w:rsidR="002430A6" w:rsidRPr="00B42EF0" w:rsidRDefault="002430A6" w:rsidP="002D0E2B">
      <w:pPr>
        <w:pStyle w:val="para"/>
        <w:tabs>
          <w:tab w:val="left" w:pos="720"/>
          <w:tab w:val="left" w:pos="1440"/>
        </w:tabs>
        <w:spacing w:before="0" w:beforeAutospacing="0" w:after="0" w:afterAutospacing="0"/>
        <w:ind w:right="1506"/>
        <w:jc w:val="both"/>
      </w:pPr>
    </w:p>
    <w:p w:rsidR="002430A6" w:rsidRPr="00B42EF0" w:rsidRDefault="002430A6" w:rsidP="002D0E2B">
      <w:pPr>
        <w:pStyle w:val="para"/>
        <w:tabs>
          <w:tab w:val="left" w:pos="720"/>
          <w:tab w:val="left" w:pos="1440"/>
        </w:tabs>
        <w:spacing w:before="0" w:beforeAutospacing="0" w:after="0" w:afterAutospacing="0"/>
        <w:ind w:right="1506"/>
        <w:jc w:val="both"/>
      </w:pPr>
      <w:r w:rsidRPr="00B42EF0">
        <w:rPr>
          <w:i/>
        </w:rPr>
        <w:t>Id.</w:t>
      </w:r>
      <w:r w:rsidR="00B311BD" w:rsidRPr="00B42EF0">
        <w:t xml:space="preserve"> </w:t>
      </w:r>
      <w:r w:rsidRPr="00B42EF0">
        <w:t>at 1345.</w:t>
      </w:r>
    </w:p>
    <w:p w:rsidR="002430A6" w:rsidRPr="00B42EF0" w:rsidRDefault="002430A6" w:rsidP="00F96657">
      <w:pPr>
        <w:pStyle w:val="para"/>
        <w:tabs>
          <w:tab w:val="left" w:pos="720"/>
          <w:tab w:val="left" w:pos="1440"/>
        </w:tabs>
        <w:spacing w:before="0" w:beforeAutospacing="0" w:after="0" w:afterAutospacing="0"/>
      </w:pPr>
    </w:p>
    <w:p w:rsidR="00F96657" w:rsidRPr="004120DD" w:rsidRDefault="002430A6" w:rsidP="00F96657">
      <w:pPr>
        <w:pStyle w:val="para"/>
        <w:tabs>
          <w:tab w:val="left" w:pos="720"/>
          <w:tab w:val="left" w:pos="1440"/>
        </w:tabs>
        <w:spacing w:before="0" w:beforeAutospacing="0" w:after="0" w:afterAutospacing="0"/>
        <w:rPr>
          <w:rFonts w:cs="Arial"/>
        </w:rPr>
      </w:pPr>
      <w:r w:rsidRPr="00B42EF0" w:rsidDel="002430A6">
        <w:t xml:space="preserve"> </w:t>
      </w:r>
      <w:r w:rsidR="00F96657" w:rsidRPr="00B42EF0">
        <w:rPr>
          <w:rFonts w:cs="Arial"/>
        </w:rPr>
        <w:t>“[T]he enablement requirement</w:t>
      </w:r>
      <w:r w:rsidR="00F96657" w:rsidRPr="004120DD">
        <w:rPr>
          <w:rFonts w:cs="Arial"/>
        </w:rPr>
        <w:t xml:space="preserve"> is satisfied when one skilled in the art, after reading the specification, could practice the claimed invention without undue experimentation.’” </w:t>
      </w:r>
      <w:r w:rsidR="00F96657">
        <w:rPr>
          <w:rFonts w:cs="Arial"/>
        </w:rPr>
        <w:t xml:space="preserve"> </w:t>
      </w:r>
      <w:r w:rsidR="00F96657" w:rsidRPr="00392CE0">
        <w:rPr>
          <w:rFonts w:cs="Arial"/>
          <w:i/>
        </w:rPr>
        <w:t>AK Steel Corp. v. Sollac</w:t>
      </w:r>
      <w:r w:rsidR="00F96657">
        <w:rPr>
          <w:rFonts w:cs="Arial"/>
        </w:rPr>
        <w:t xml:space="preserve">, 344 F.3d 1234, 1244 </w:t>
      </w:r>
      <w:r w:rsidR="00F96657">
        <w:t>(Fed. Cir. 2003)</w:t>
      </w:r>
      <w:r w:rsidR="00F96657">
        <w:fldChar w:fldCharType="begin"/>
      </w:r>
      <w:r w:rsidR="00F96657">
        <w:instrText xml:space="preserve"> TA \l "</w:instrText>
      </w:r>
      <w:r w:rsidR="00F96657" w:rsidRPr="00496563">
        <w:rPr>
          <w:rFonts w:cs="Arial"/>
          <w:u w:val="single"/>
        </w:rPr>
        <w:instrText>AK Steel Corp. v. Sollac</w:instrText>
      </w:r>
      <w:r w:rsidR="00F96657" w:rsidRPr="00496563">
        <w:rPr>
          <w:rFonts w:cs="Arial"/>
        </w:rPr>
        <w:instrText xml:space="preserve">, 344 F.3d 1234, 1244 </w:instrText>
      </w:r>
      <w:r w:rsidR="00F96657" w:rsidRPr="00496563">
        <w:instrText>(Fed. Cir. 2003)</w:instrText>
      </w:r>
      <w:r w:rsidR="00F96657">
        <w:instrText xml:space="preserve">" \s "AK Steel Corp. v. Sollac, 344 F.3d 1234, 1244 (Fed. Cir. 2003)" \c 1 </w:instrText>
      </w:r>
      <w:r w:rsidR="00F96657">
        <w:fldChar w:fldCharType="end"/>
      </w:r>
      <w:r w:rsidR="00F96657" w:rsidRPr="004120DD">
        <w:rPr>
          <w:rFonts w:cs="Arial"/>
        </w:rPr>
        <w:t xml:space="preserve">; </w:t>
      </w:r>
      <w:r w:rsidR="00F96657" w:rsidRPr="004120DD">
        <w:rPr>
          <w:rFonts w:cs="Arial"/>
          <w:i/>
        </w:rPr>
        <w:t>accord</w:t>
      </w:r>
      <w:r w:rsidR="00F96657" w:rsidRPr="004120DD">
        <w:rPr>
          <w:rFonts w:cs="Arial"/>
        </w:rPr>
        <w:t xml:space="preserve"> </w:t>
      </w:r>
      <w:r w:rsidR="00F96657" w:rsidRPr="00392CE0">
        <w:rPr>
          <w:rFonts w:cs="Arial"/>
          <w:i/>
        </w:rPr>
        <w:t>Minerals Separation</w:t>
      </w:r>
      <w:r w:rsidR="00F96657" w:rsidRPr="00392CE0">
        <w:rPr>
          <w:rFonts w:cs="Arial"/>
          <w:i/>
          <w:iCs/>
        </w:rPr>
        <w:t xml:space="preserve"> v. Hyde</w:t>
      </w:r>
      <w:r w:rsidR="00F96657" w:rsidRPr="004120DD">
        <w:rPr>
          <w:rFonts w:cs="Arial"/>
          <w:i/>
          <w:iCs/>
        </w:rPr>
        <w:t>,</w:t>
      </w:r>
      <w:r w:rsidR="00F96657" w:rsidRPr="004120DD">
        <w:rPr>
          <w:rFonts w:cs="Arial"/>
        </w:rPr>
        <w:t xml:space="preserve"> 242 </w:t>
      </w:r>
      <w:smartTag w:uri="urn:schemas-microsoft-com:office:smarttags" w:element="country-region">
        <w:smartTag w:uri="urn:schemas-microsoft-com:office:smarttags" w:element="place">
          <w:r w:rsidR="00F96657" w:rsidRPr="004120DD">
            <w:rPr>
              <w:rFonts w:cs="Arial"/>
            </w:rPr>
            <w:t>U.S.</w:t>
          </w:r>
        </w:smartTag>
      </w:smartTag>
      <w:r w:rsidR="00F96657" w:rsidRPr="004120DD">
        <w:rPr>
          <w:rFonts w:cs="Arial"/>
        </w:rPr>
        <w:t xml:space="preserve"> 261, 270 (1916)</w:t>
      </w:r>
      <w:r w:rsidR="00F96657">
        <w:rPr>
          <w:rFonts w:cs="Arial"/>
        </w:rPr>
        <w:fldChar w:fldCharType="begin"/>
      </w:r>
      <w:r w:rsidR="00F96657">
        <w:instrText xml:space="preserve"> TA \l "</w:instrText>
      </w:r>
      <w:r w:rsidR="00F96657">
        <w:rPr>
          <w:rFonts w:cs="Arial"/>
          <w:u w:val="single"/>
        </w:rPr>
        <w:instrText>Minerals Separation</w:instrText>
      </w:r>
      <w:r w:rsidR="00F96657" w:rsidRPr="00F54CA2">
        <w:rPr>
          <w:rFonts w:cs="Arial"/>
          <w:iCs/>
          <w:u w:val="single"/>
        </w:rPr>
        <w:instrText xml:space="preserve"> v. Hyde</w:instrText>
      </w:r>
      <w:r w:rsidR="00F96657" w:rsidRPr="00F54CA2">
        <w:rPr>
          <w:rFonts w:cs="Arial"/>
          <w:i/>
          <w:iCs/>
        </w:rPr>
        <w:instrText>,</w:instrText>
      </w:r>
      <w:r w:rsidR="00F96657" w:rsidRPr="00F54CA2">
        <w:rPr>
          <w:rFonts w:cs="Arial"/>
        </w:rPr>
        <w:instrText xml:space="preserve"> 242 U.S. 261, 270 (1916)</w:instrText>
      </w:r>
      <w:r w:rsidR="00F96657">
        <w:instrText xml:space="preserve">" \s "Minerals Separation v. Hyde, 242 U.S. 261, 270 (1916)" \c 1 </w:instrText>
      </w:r>
      <w:r w:rsidR="00F96657">
        <w:rPr>
          <w:rFonts w:cs="Arial"/>
        </w:rPr>
        <w:fldChar w:fldCharType="end"/>
      </w:r>
      <w:r w:rsidR="00F96657" w:rsidRPr="004120DD">
        <w:rPr>
          <w:rFonts w:cs="Arial"/>
        </w:rPr>
        <w:t xml:space="preserve">; </w:t>
      </w:r>
      <w:r w:rsidR="00F96657" w:rsidRPr="00655780">
        <w:rPr>
          <w:rFonts w:cs="Arial"/>
        </w:rPr>
        <w:t>see also</w:t>
      </w:r>
      <w:r w:rsidR="00F96657" w:rsidRPr="00392CE0">
        <w:rPr>
          <w:rFonts w:cs="Arial"/>
          <w:i/>
        </w:rPr>
        <w:t xml:space="preserve"> In re Wands</w:t>
      </w:r>
      <w:r w:rsidR="00F96657" w:rsidRPr="004120DD">
        <w:rPr>
          <w:rFonts w:cs="Arial"/>
        </w:rPr>
        <w:t xml:space="preserve">, 858 F.2d 731, 736-37, 8 </w:t>
      </w:r>
      <w:r w:rsidR="00F96657">
        <w:rPr>
          <w:rFonts w:cs="Arial"/>
        </w:rPr>
        <w:t>U.S.P.Q.</w:t>
      </w:r>
      <w:r w:rsidR="00F96657" w:rsidRPr="004120DD">
        <w:rPr>
          <w:rFonts w:cs="Arial"/>
        </w:rPr>
        <w:t>2d 1400, 1404 (Fed. Cir. 1988)</w:t>
      </w:r>
      <w:r w:rsidR="00F96657">
        <w:rPr>
          <w:rFonts w:cs="Arial"/>
        </w:rPr>
        <w:fldChar w:fldCharType="begin"/>
      </w:r>
      <w:r w:rsidR="00F96657">
        <w:instrText xml:space="preserve"> TA \l "</w:instrText>
      </w:r>
      <w:r w:rsidR="00F96657" w:rsidRPr="00B36159">
        <w:rPr>
          <w:rFonts w:cs="Arial"/>
          <w:u w:val="single"/>
        </w:rPr>
        <w:instrText>In re Wands</w:instrText>
      </w:r>
      <w:r w:rsidR="00F96657" w:rsidRPr="00B36159">
        <w:rPr>
          <w:rFonts w:cs="Arial"/>
        </w:rPr>
        <w:instrText xml:space="preserve">, 858 F.2d 731, 736-37, 8 </w:instrText>
      </w:r>
      <w:r w:rsidR="00F96657">
        <w:rPr>
          <w:rFonts w:cs="Arial"/>
        </w:rPr>
        <w:instrText>U.S.P.Q.</w:instrText>
      </w:r>
      <w:r w:rsidR="00F96657" w:rsidRPr="00B36159">
        <w:rPr>
          <w:rFonts w:cs="Arial"/>
        </w:rPr>
        <w:instrText>2d 1400, 1404 (Fed. Cir. 1988)</w:instrText>
      </w:r>
      <w:r w:rsidR="00F96657">
        <w:instrText xml:space="preserve">" \s "In re Wands, 858 F.2d 731, 736-37, 8 U.S.P.Q.2d 1400, 1404 (Fed. Cir. 1988)" \c 1 </w:instrText>
      </w:r>
      <w:r w:rsidR="00F96657">
        <w:rPr>
          <w:rFonts w:cs="Arial"/>
        </w:rPr>
        <w:fldChar w:fldCharType="end"/>
      </w:r>
      <w:r w:rsidR="00F96657" w:rsidRPr="004120DD">
        <w:rPr>
          <w:rFonts w:cs="Arial"/>
        </w:rPr>
        <w:t xml:space="preserve">.  Thus, the test of enablement is not whether </w:t>
      </w:r>
      <w:r w:rsidR="00F96657" w:rsidRPr="004120DD">
        <w:rPr>
          <w:rFonts w:cs="Arial"/>
          <w:i/>
        </w:rPr>
        <w:t>any</w:t>
      </w:r>
      <w:r w:rsidR="00F96657" w:rsidRPr="004120DD">
        <w:rPr>
          <w:rFonts w:cs="Arial"/>
        </w:rPr>
        <w:t xml:space="preserve"> experimentation is necessary, but whether, if experimentation is necessary, it is </w:t>
      </w:r>
      <w:r w:rsidR="00F96657" w:rsidRPr="004120DD">
        <w:rPr>
          <w:rFonts w:cs="Arial"/>
          <w:i/>
        </w:rPr>
        <w:t>undue</w:t>
      </w:r>
      <w:r w:rsidR="00F96657" w:rsidRPr="004120DD">
        <w:rPr>
          <w:rFonts w:cs="Arial"/>
        </w:rPr>
        <w:t xml:space="preserve">.  </w:t>
      </w:r>
      <w:r w:rsidR="00F96657" w:rsidRPr="00392CE0">
        <w:rPr>
          <w:rFonts w:cs="Arial"/>
          <w:i/>
          <w:iCs/>
        </w:rPr>
        <w:t>In re</w:t>
      </w:r>
      <w:r w:rsidR="00F96657" w:rsidRPr="00392CE0">
        <w:rPr>
          <w:rFonts w:cs="Arial"/>
          <w:i/>
        </w:rPr>
        <w:t xml:space="preserve"> </w:t>
      </w:r>
      <w:r w:rsidR="00F96657" w:rsidRPr="00392CE0">
        <w:rPr>
          <w:rFonts w:cs="Arial"/>
          <w:i/>
          <w:iCs/>
        </w:rPr>
        <w:t>Angstadt</w:t>
      </w:r>
      <w:r w:rsidR="00F96657" w:rsidRPr="004120DD">
        <w:rPr>
          <w:rFonts w:cs="Arial"/>
        </w:rPr>
        <w:t xml:space="preserve">, 537 F.2d 498, 504, 190 </w:t>
      </w:r>
      <w:r w:rsidR="00F96657">
        <w:rPr>
          <w:rFonts w:cs="Arial"/>
        </w:rPr>
        <w:t>U.S.P.Q.</w:t>
      </w:r>
      <w:r w:rsidR="00F96657" w:rsidRPr="004120DD">
        <w:rPr>
          <w:rFonts w:cs="Arial"/>
        </w:rPr>
        <w:t xml:space="preserve"> 214, 219 (CCPA 1976)</w:t>
      </w:r>
      <w:r w:rsidR="00F96657">
        <w:rPr>
          <w:rFonts w:cs="Arial"/>
        </w:rPr>
        <w:fldChar w:fldCharType="begin"/>
      </w:r>
      <w:r w:rsidR="00F96657">
        <w:instrText xml:space="preserve"> TA \l "</w:instrText>
      </w:r>
      <w:r w:rsidR="00F96657" w:rsidRPr="00F54CA2">
        <w:rPr>
          <w:rFonts w:cs="Arial"/>
          <w:iCs/>
          <w:u w:val="single"/>
        </w:rPr>
        <w:instrText>In re</w:instrText>
      </w:r>
      <w:r w:rsidR="00F96657" w:rsidRPr="00F54CA2">
        <w:rPr>
          <w:rFonts w:cs="Arial"/>
          <w:u w:val="single"/>
        </w:rPr>
        <w:instrText xml:space="preserve"> </w:instrText>
      </w:r>
      <w:r w:rsidR="00F96657" w:rsidRPr="00F54CA2">
        <w:rPr>
          <w:rFonts w:cs="Arial"/>
          <w:iCs/>
          <w:u w:val="single"/>
        </w:rPr>
        <w:instrText>Angstadt</w:instrText>
      </w:r>
      <w:r w:rsidR="00F96657" w:rsidRPr="00F54CA2">
        <w:rPr>
          <w:rFonts w:cs="Arial"/>
        </w:rPr>
        <w:instrText xml:space="preserve">, 537 F.2d 498, 504, 190 </w:instrText>
      </w:r>
      <w:r w:rsidR="00F96657">
        <w:rPr>
          <w:rFonts w:cs="Arial"/>
        </w:rPr>
        <w:instrText>U.S.P.Q.</w:instrText>
      </w:r>
      <w:r w:rsidR="00F96657" w:rsidRPr="00F54CA2">
        <w:rPr>
          <w:rFonts w:cs="Arial"/>
        </w:rPr>
        <w:instrText xml:space="preserve"> 214, 219 (CCPA 1976)</w:instrText>
      </w:r>
      <w:r w:rsidR="00F96657">
        <w:instrText xml:space="preserve">" \s "In re Angstadt, 537 F.2d 498, 504, 190 U.S.P.Q. 214, 219 (CCPA 1976)" \c 1 </w:instrText>
      </w:r>
      <w:r w:rsidR="00F96657">
        <w:rPr>
          <w:rFonts w:cs="Arial"/>
        </w:rPr>
        <w:fldChar w:fldCharType="end"/>
      </w:r>
    </w:p>
    <w:p w:rsidR="00F96657" w:rsidRPr="004120DD" w:rsidRDefault="00F96657" w:rsidP="00F96657">
      <w:pPr>
        <w:pStyle w:val="para"/>
        <w:tabs>
          <w:tab w:val="left" w:pos="720"/>
          <w:tab w:val="left" w:pos="1440"/>
        </w:tabs>
        <w:spacing w:before="0" w:beforeAutospacing="0" w:after="0" w:afterAutospacing="0"/>
        <w:rPr>
          <w:rFonts w:cs="Arial"/>
        </w:rPr>
      </w:pPr>
    </w:p>
    <w:p w:rsidR="00F96657" w:rsidRPr="004120DD" w:rsidRDefault="00F96657" w:rsidP="00F96657">
      <w:pPr>
        <w:pStyle w:val="para"/>
        <w:tabs>
          <w:tab w:val="left" w:pos="720"/>
          <w:tab w:val="left" w:pos="1440"/>
        </w:tabs>
        <w:spacing w:before="0" w:beforeAutospacing="0" w:after="0" w:afterAutospacing="0"/>
        <w:rPr>
          <w:rFonts w:cs="Arial"/>
        </w:rPr>
      </w:pPr>
      <w:r w:rsidRPr="004120DD">
        <w:rPr>
          <w:rFonts w:cs="Arial"/>
        </w:rPr>
        <w:t xml:space="preserve">To be valid, the full scope of the claim must be enabled.  </w:t>
      </w:r>
      <w:r w:rsidRPr="00655780">
        <w:rPr>
          <w:rFonts w:cs="Arial"/>
        </w:rPr>
        <w:t>See</w:t>
      </w:r>
      <w:r w:rsidRPr="00392CE0">
        <w:rPr>
          <w:rFonts w:cs="Arial"/>
          <w:i/>
        </w:rPr>
        <w:t xml:space="preserve"> Sitrick v. Dreamworks LLC</w:t>
      </w:r>
      <w:r w:rsidRPr="004120DD">
        <w:rPr>
          <w:rFonts w:cs="Arial"/>
        </w:rPr>
        <w:t xml:space="preserve">, 85 </w:t>
      </w:r>
      <w:r>
        <w:rPr>
          <w:rFonts w:cs="Arial"/>
        </w:rPr>
        <w:t>U.S.P.Q.</w:t>
      </w:r>
      <w:r w:rsidRPr="004120DD">
        <w:rPr>
          <w:rFonts w:cs="Arial"/>
        </w:rPr>
        <w:t>2d 1826, 1830 (Fed. Cir. 2008)</w:t>
      </w:r>
      <w:r>
        <w:rPr>
          <w:rFonts w:cs="Arial"/>
        </w:rPr>
        <w:fldChar w:fldCharType="begin"/>
      </w:r>
      <w:r>
        <w:instrText xml:space="preserve"> TA \s "Sitrick v. Dreamworks LLC, 85 U.S.P.Q.2d 1826, 1830 (Fed. Cir. 2008)" </w:instrText>
      </w:r>
      <w:r>
        <w:rPr>
          <w:rFonts w:cs="Arial"/>
        </w:rPr>
        <w:fldChar w:fldCharType="end"/>
      </w:r>
      <w:r w:rsidRPr="004120DD">
        <w:rPr>
          <w:rFonts w:cs="Arial"/>
        </w:rPr>
        <w:t xml:space="preserve"> (</w:t>
      </w:r>
      <w:r w:rsidRPr="00655780">
        <w:rPr>
          <w:rFonts w:cs="Arial"/>
        </w:rPr>
        <w:t>citing</w:t>
      </w:r>
      <w:r w:rsidRPr="00392CE0">
        <w:rPr>
          <w:rFonts w:cs="Arial"/>
          <w:i/>
        </w:rPr>
        <w:t xml:space="preserve"> Auto. Techs. Int’l, Inc. v. BMW of N. Am., Inc.</w:t>
      </w:r>
      <w:r w:rsidRPr="00F9028E">
        <w:rPr>
          <w:rFonts w:cs="Arial"/>
        </w:rPr>
        <w:t>, 501 F.3d 1274, 1825 (Fed. Cir. 2007)</w:t>
      </w:r>
      <w:r>
        <w:rPr>
          <w:rFonts w:cs="Arial"/>
        </w:rPr>
        <w:fldChar w:fldCharType="begin"/>
      </w:r>
      <w:r>
        <w:instrText xml:space="preserve"> TA \l "</w:instrText>
      </w:r>
      <w:r w:rsidRPr="002526C7">
        <w:rPr>
          <w:rFonts w:cs="Arial"/>
          <w:u w:val="single"/>
        </w:rPr>
        <w:instrText>Auto. Techs. Int’l, Inc. v. BMW of N. Am., Inc.</w:instrText>
      </w:r>
      <w:r w:rsidRPr="002526C7">
        <w:rPr>
          <w:rFonts w:cs="Arial"/>
        </w:rPr>
        <w:instrText>, 501 F.3d 1274, 1825 (Fed. Cir. 2007)</w:instrText>
      </w:r>
      <w:r>
        <w:instrText xml:space="preserve">" \s "Auto. Techs. Int’l, Inc. v. BMW of N. Am., Inc., 501 F.3d 1274, 1825 (Fed. Cir. 2007)" \c 1 </w:instrText>
      </w:r>
      <w:r>
        <w:rPr>
          <w:rFonts w:cs="Arial"/>
        </w:rPr>
        <w:fldChar w:fldCharType="end"/>
      </w:r>
      <w:r w:rsidRPr="00F9028E">
        <w:rPr>
          <w:rFonts w:cs="Arial"/>
        </w:rPr>
        <w:t>.  Enablement is a questi</w:t>
      </w:r>
      <w:r w:rsidRPr="004120DD">
        <w:rPr>
          <w:rFonts w:cs="Arial"/>
        </w:rPr>
        <w:t>on of law based on underlying factual findings.</w:t>
      </w:r>
      <w:r>
        <w:rPr>
          <w:rFonts w:cs="Arial"/>
        </w:rPr>
        <w:t xml:space="preserve">  </w:t>
      </w:r>
      <w:r w:rsidRPr="00392CE0">
        <w:rPr>
          <w:rFonts w:cs="Arial"/>
          <w:i/>
        </w:rPr>
        <w:t>In re Vaeck</w:t>
      </w:r>
      <w:r w:rsidRPr="00B401C1">
        <w:rPr>
          <w:rFonts w:cs="Arial"/>
        </w:rPr>
        <w:t xml:space="preserve">, 947 F.2d 488, 495, 20 </w:t>
      </w:r>
      <w:r>
        <w:rPr>
          <w:rFonts w:cs="Arial"/>
        </w:rPr>
        <w:t>U.S.P.Q.</w:t>
      </w:r>
      <w:r w:rsidRPr="00B401C1">
        <w:rPr>
          <w:rFonts w:cs="Arial"/>
        </w:rPr>
        <w:t>2d 1438, 1444 (Fed. Cir. 1991)</w:t>
      </w:r>
      <w:r>
        <w:rPr>
          <w:rFonts w:cs="Arial"/>
        </w:rPr>
        <w:fldChar w:fldCharType="begin"/>
      </w:r>
      <w:r>
        <w:instrText xml:space="preserve"> TA \l "</w:instrText>
      </w:r>
      <w:r w:rsidRPr="00F54CA2">
        <w:rPr>
          <w:rFonts w:cs="Arial"/>
          <w:u w:val="single"/>
        </w:rPr>
        <w:instrText>In re Vaeck</w:instrText>
      </w:r>
      <w:r w:rsidRPr="00F54CA2">
        <w:rPr>
          <w:rFonts w:cs="Arial"/>
        </w:rPr>
        <w:instrText xml:space="preserve">, 947 F.2d 488, 495, 20 </w:instrText>
      </w:r>
      <w:r>
        <w:rPr>
          <w:rFonts w:cs="Arial"/>
        </w:rPr>
        <w:instrText>U.S.P.Q.</w:instrText>
      </w:r>
      <w:r w:rsidRPr="00F54CA2">
        <w:rPr>
          <w:rFonts w:cs="Arial"/>
        </w:rPr>
        <w:instrText>2d 1438, 1444 (Fed. Cir. 1991)</w:instrText>
      </w:r>
      <w:r>
        <w:instrText xml:space="preserve">" \s "In re Vaeck, 947 F.2d 488, 495, 20 U.S.P.Q.2d 1438, 1444 (Fed. Cir. 1991)" \c 1 </w:instrText>
      </w:r>
      <w:r>
        <w:rPr>
          <w:rFonts w:cs="Arial"/>
        </w:rPr>
        <w:fldChar w:fldCharType="end"/>
      </w:r>
      <w:r w:rsidRPr="004120DD">
        <w:rPr>
          <w:rFonts w:cs="Arial"/>
        </w:rPr>
        <w:t xml:space="preserve">; </w:t>
      </w:r>
      <w:r w:rsidRPr="00392CE0">
        <w:rPr>
          <w:rFonts w:cs="Arial"/>
          <w:i/>
          <w:iCs/>
        </w:rPr>
        <w:t>Atlas Powder Co.</w:t>
      </w:r>
      <w:r w:rsidRPr="00392CE0">
        <w:rPr>
          <w:rFonts w:cs="Arial"/>
          <w:i/>
        </w:rPr>
        <w:t xml:space="preserve"> </w:t>
      </w:r>
      <w:r w:rsidRPr="00392CE0">
        <w:rPr>
          <w:rFonts w:cs="Arial"/>
          <w:i/>
          <w:iCs/>
        </w:rPr>
        <w:t>v.</w:t>
      </w:r>
      <w:r w:rsidRPr="00392CE0">
        <w:rPr>
          <w:rFonts w:cs="Arial"/>
          <w:i/>
        </w:rPr>
        <w:t xml:space="preserve"> </w:t>
      </w:r>
      <w:r w:rsidRPr="00392CE0">
        <w:rPr>
          <w:rFonts w:cs="Arial"/>
          <w:i/>
          <w:iCs/>
        </w:rPr>
        <w:t>E.I. du Pont de Nemours &amp; Co.</w:t>
      </w:r>
      <w:r w:rsidRPr="004120DD">
        <w:rPr>
          <w:rFonts w:cs="Arial"/>
        </w:rPr>
        <w:t>, 750 F.2d 1569, 1576, 224 </w:t>
      </w:r>
      <w:r>
        <w:rPr>
          <w:rFonts w:cs="Arial"/>
        </w:rPr>
        <w:t>U.S.P.Q.</w:t>
      </w:r>
      <w:r w:rsidRPr="004120DD">
        <w:rPr>
          <w:rFonts w:cs="Arial"/>
        </w:rPr>
        <w:t xml:space="preserve"> 409, 413 (Fed. Cir. 1984)</w:t>
      </w:r>
      <w:r>
        <w:rPr>
          <w:rFonts w:cs="Arial"/>
        </w:rPr>
        <w:fldChar w:fldCharType="begin"/>
      </w:r>
      <w:r>
        <w:instrText xml:space="preserve"> TA \l "</w:instrText>
      </w:r>
      <w:r w:rsidRPr="00F54CA2">
        <w:rPr>
          <w:rFonts w:cs="Arial"/>
          <w:iCs/>
          <w:u w:val="single"/>
        </w:rPr>
        <w:instrText>Atlas Powder Co.</w:instrText>
      </w:r>
      <w:r w:rsidRPr="00F54CA2">
        <w:rPr>
          <w:rFonts w:cs="Arial"/>
          <w:u w:val="single"/>
        </w:rPr>
        <w:instrText xml:space="preserve"> </w:instrText>
      </w:r>
      <w:r w:rsidRPr="00F54CA2">
        <w:rPr>
          <w:rFonts w:cs="Arial"/>
          <w:iCs/>
          <w:u w:val="single"/>
        </w:rPr>
        <w:instrText>v.</w:instrText>
      </w:r>
      <w:r w:rsidRPr="00F54CA2">
        <w:rPr>
          <w:rFonts w:cs="Arial"/>
          <w:u w:val="single"/>
        </w:rPr>
        <w:instrText xml:space="preserve"> </w:instrText>
      </w:r>
      <w:r w:rsidRPr="00F54CA2">
        <w:rPr>
          <w:rFonts w:cs="Arial"/>
          <w:iCs/>
          <w:u w:val="single"/>
        </w:rPr>
        <w:instrText>E.I. du Pont de Nemours &amp; Co.</w:instrText>
      </w:r>
      <w:r w:rsidRPr="00F54CA2">
        <w:rPr>
          <w:rFonts w:cs="Arial"/>
        </w:rPr>
        <w:instrText>, 750 F.2d 1569, 1576, 224 </w:instrText>
      </w:r>
      <w:r>
        <w:rPr>
          <w:rFonts w:cs="Arial"/>
        </w:rPr>
        <w:instrText>U.S.P.Q.</w:instrText>
      </w:r>
      <w:r w:rsidRPr="00F54CA2">
        <w:rPr>
          <w:rFonts w:cs="Arial"/>
        </w:rPr>
        <w:instrText xml:space="preserve"> 409, 413 (Fed. Cir. 1984)</w:instrText>
      </w:r>
      <w:r>
        <w:instrText xml:space="preserve">" \s "Atlas Powder Co. v. E.I. du Pont de Nemours &amp; Co., 750 F.2d 1569, 1576, 224 U.S.P.Q. 409, 413 (Fed. Cir. 1984)" \c 1 </w:instrText>
      </w:r>
      <w:r>
        <w:rPr>
          <w:rFonts w:cs="Arial"/>
        </w:rPr>
        <w:fldChar w:fldCharType="end"/>
      </w:r>
      <w:r w:rsidRPr="004120DD">
        <w:rPr>
          <w:rFonts w:cs="Arial"/>
        </w:rPr>
        <w:t xml:space="preserve">.  </w:t>
      </w:r>
    </w:p>
    <w:p w:rsidR="00F96657" w:rsidRPr="004120DD" w:rsidRDefault="00F96657" w:rsidP="00F96657">
      <w:pPr>
        <w:pStyle w:val="para"/>
        <w:tabs>
          <w:tab w:val="left" w:pos="720"/>
          <w:tab w:val="left" w:pos="1440"/>
        </w:tabs>
        <w:spacing w:before="0" w:beforeAutospacing="0" w:after="0" w:afterAutospacing="0"/>
        <w:rPr>
          <w:rFonts w:cs="Arial"/>
        </w:rPr>
      </w:pPr>
    </w:p>
    <w:p w:rsidR="00F96657" w:rsidRPr="004120DD" w:rsidRDefault="00F96657" w:rsidP="00F96657">
      <w:pPr>
        <w:pStyle w:val="Heading2"/>
        <w:rPr>
          <w:rFonts w:ascii="Times New Roman" w:hAnsi="Times New Roman"/>
        </w:rPr>
      </w:pPr>
      <w:bookmarkStart w:id="49" w:name="_Toc289408122"/>
      <w:bookmarkStart w:id="50" w:name="_Toc289409408"/>
      <w:bookmarkStart w:id="51" w:name="_Toc289409518"/>
      <w:bookmarkStart w:id="52" w:name="_Toc289409661"/>
      <w:bookmarkStart w:id="53" w:name="_Toc290548383"/>
      <w:bookmarkStart w:id="54" w:name="B4"/>
      <w:r w:rsidRPr="004120DD">
        <w:rPr>
          <w:rFonts w:ascii="Times New Roman" w:hAnsi="Times New Roman"/>
        </w:rPr>
        <w:t>4.</w:t>
      </w:r>
      <w:r w:rsidRPr="004120DD">
        <w:rPr>
          <w:rFonts w:ascii="Times New Roman" w:hAnsi="Times New Roman"/>
        </w:rPr>
        <w:tab/>
        <w:t>Best Mode</w:t>
      </w:r>
      <w:bookmarkEnd w:id="49"/>
      <w:bookmarkEnd w:id="50"/>
      <w:bookmarkEnd w:id="51"/>
      <w:bookmarkEnd w:id="52"/>
      <w:bookmarkEnd w:id="53"/>
    </w:p>
    <w:bookmarkEnd w:id="54"/>
    <w:p w:rsidR="00F96657" w:rsidRPr="004120DD" w:rsidRDefault="00F96657" w:rsidP="00F96657">
      <w:pPr>
        <w:tabs>
          <w:tab w:val="left" w:pos="720"/>
          <w:tab w:val="left" w:pos="1440"/>
        </w:tabs>
        <w:rPr>
          <w:rFonts w:cs="Arial"/>
        </w:rPr>
      </w:pPr>
    </w:p>
    <w:p w:rsidR="00C671FD" w:rsidRDefault="00C671FD" w:rsidP="00F96657">
      <w:pPr>
        <w:tabs>
          <w:tab w:val="left" w:pos="720"/>
          <w:tab w:val="left" w:pos="1440"/>
        </w:tabs>
        <w:rPr>
          <w:rFonts w:cs="Arial"/>
        </w:rPr>
      </w:pPr>
      <w:r>
        <w:rPr>
          <w:rFonts w:cs="Arial"/>
        </w:rPr>
        <w:t xml:space="preserve">As part of the enactment of the Leahy Smith America Invents Act (“AIA”), failure to disclose the “best mode” in a patent application can no longer be used in a civil litigation as a ground to invalidate a patent. This defense was eliminated upon the enactment of the AIA and applies to all proceedings commenced on or after September 16, 2011. The AIA, however, did not remove the requirement of disclosing the best mode from 35 U.S.C. </w:t>
      </w:r>
      <w:r>
        <w:t>§</w:t>
      </w:r>
      <w:r>
        <w:rPr>
          <w:rFonts w:cs="Arial"/>
        </w:rPr>
        <w:t xml:space="preserve"> 112.  </w:t>
      </w:r>
      <w:r w:rsidR="00640558">
        <w:rPr>
          <w:rFonts w:cs="Arial"/>
        </w:rPr>
        <w:t>Nor did the</w:t>
      </w:r>
      <w:r>
        <w:rPr>
          <w:rFonts w:cs="Arial"/>
        </w:rPr>
        <w:t xml:space="preserve"> AIA </w:t>
      </w:r>
      <w:r w:rsidR="00640558">
        <w:rPr>
          <w:rFonts w:cs="Arial"/>
        </w:rPr>
        <w:t>explicitly exclude an inequitable conduct defense based on an intentional concealment of the best mode. Therefore, the best mode may still be relevant in infringement defense.</w:t>
      </w:r>
      <w:r>
        <w:rPr>
          <w:rFonts w:cs="Arial"/>
        </w:rPr>
        <w:t xml:space="preserve"> </w:t>
      </w:r>
    </w:p>
    <w:p w:rsidR="00C671FD" w:rsidRDefault="00C671FD" w:rsidP="00F96657">
      <w:pPr>
        <w:tabs>
          <w:tab w:val="left" w:pos="720"/>
          <w:tab w:val="left" w:pos="1440"/>
        </w:tabs>
        <w:rPr>
          <w:rFonts w:cs="Arial"/>
        </w:rPr>
      </w:pPr>
    </w:p>
    <w:p w:rsidR="00F96657" w:rsidRPr="004120DD" w:rsidRDefault="00F96657" w:rsidP="00F96657">
      <w:pPr>
        <w:tabs>
          <w:tab w:val="left" w:pos="720"/>
          <w:tab w:val="left" w:pos="1440"/>
        </w:tabs>
        <w:rPr>
          <w:rFonts w:cs="Arial"/>
          <w:i/>
        </w:rPr>
      </w:pPr>
    </w:p>
    <w:p w:rsidR="00F96657" w:rsidRPr="004120DD" w:rsidRDefault="00F96657" w:rsidP="00F96657">
      <w:pPr>
        <w:pStyle w:val="Heading2"/>
        <w:rPr>
          <w:rFonts w:ascii="Times New Roman" w:hAnsi="Times New Roman"/>
        </w:rPr>
      </w:pPr>
      <w:bookmarkStart w:id="55" w:name="_Toc289408123"/>
      <w:bookmarkStart w:id="56" w:name="_Toc289409409"/>
      <w:bookmarkStart w:id="57" w:name="_Toc289409519"/>
      <w:bookmarkStart w:id="58" w:name="_Toc289409662"/>
      <w:bookmarkStart w:id="59" w:name="_Toc290548384"/>
      <w:bookmarkStart w:id="60" w:name="B5"/>
      <w:r w:rsidRPr="004120DD">
        <w:rPr>
          <w:rFonts w:ascii="Times New Roman" w:hAnsi="Times New Roman"/>
        </w:rPr>
        <w:t>5.</w:t>
      </w:r>
      <w:r w:rsidRPr="004120DD">
        <w:rPr>
          <w:rFonts w:ascii="Times New Roman" w:hAnsi="Times New Roman"/>
        </w:rPr>
        <w:tab/>
        <w:t>Prior Art</w:t>
      </w:r>
      <w:bookmarkEnd w:id="55"/>
      <w:bookmarkEnd w:id="56"/>
      <w:bookmarkEnd w:id="57"/>
      <w:bookmarkEnd w:id="58"/>
      <w:bookmarkEnd w:id="59"/>
    </w:p>
    <w:bookmarkEnd w:id="60"/>
    <w:p w:rsidR="00F96657" w:rsidRPr="004120DD" w:rsidRDefault="00F96657" w:rsidP="00F96657">
      <w:pPr>
        <w:tabs>
          <w:tab w:val="left" w:pos="720"/>
          <w:tab w:val="left" w:pos="1440"/>
        </w:tabs>
        <w:rPr>
          <w:rFonts w:cs="Arial"/>
          <w:b/>
        </w:rPr>
      </w:pPr>
    </w:p>
    <w:p w:rsidR="00F96657" w:rsidRPr="004120DD" w:rsidRDefault="00F96657" w:rsidP="00F96657">
      <w:pPr>
        <w:tabs>
          <w:tab w:val="left" w:pos="720"/>
          <w:tab w:val="left" w:pos="1440"/>
        </w:tabs>
        <w:rPr>
          <w:rFonts w:cs="Arial"/>
        </w:rPr>
      </w:pPr>
      <w:r w:rsidRPr="004120DD">
        <w:rPr>
          <w:rFonts w:cs="Arial"/>
        </w:rPr>
        <w:t>Claims are invalid if they are either anticipated or obvious in view of the prior art.  35 U.S.C. §§ 102</w:t>
      </w:r>
      <w:r>
        <w:rPr>
          <w:rFonts w:cs="Arial"/>
        </w:rPr>
        <w:fldChar w:fldCharType="begin"/>
      </w:r>
      <w:r>
        <w:instrText xml:space="preserve"> TA \l "</w:instrText>
      </w:r>
      <w:r w:rsidRPr="00F54CA2">
        <w:rPr>
          <w:rFonts w:cs="Arial"/>
        </w:rPr>
        <w:instrText>35 U.S.C. § 102</w:instrText>
      </w:r>
      <w:r>
        <w:instrText xml:space="preserve">" \s "35 U.S.C. § 102" \c 2 </w:instrText>
      </w:r>
      <w:r>
        <w:rPr>
          <w:rFonts w:cs="Arial"/>
        </w:rPr>
        <w:fldChar w:fldCharType="end"/>
      </w:r>
      <w:r w:rsidRPr="004120DD">
        <w:rPr>
          <w:rFonts w:cs="Arial"/>
        </w:rPr>
        <w:t>, 103</w:t>
      </w:r>
      <w:r>
        <w:rPr>
          <w:rFonts w:cs="Arial"/>
        </w:rPr>
        <w:fldChar w:fldCharType="begin"/>
      </w:r>
      <w:r>
        <w:instrText xml:space="preserve"> TA \l "35 U.S.C. </w:instrText>
      </w:r>
      <w:r w:rsidRPr="00F54CA2">
        <w:rPr>
          <w:rFonts w:cs="Arial"/>
        </w:rPr>
        <w:instrText>§103</w:instrText>
      </w:r>
      <w:r>
        <w:instrText xml:space="preserve">" \s "35 U.S.C. § 103" \c 2 </w:instrText>
      </w:r>
      <w:r>
        <w:rPr>
          <w:rFonts w:cs="Arial"/>
        </w:rPr>
        <w:fldChar w:fldCharType="end"/>
      </w:r>
      <w:r w:rsidRPr="004120DD">
        <w:rPr>
          <w:rFonts w:cs="Arial"/>
        </w:rPr>
        <w:t xml:space="preserve">.  If all of the elements of a claim are found in a single reference, then the claim is invalid as being “anticipated” by the prior art reference.  </w:t>
      </w:r>
      <w:r w:rsidRPr="00392CE0">
        <w:rPr>
          <w:rFonts w:cs="Arial"/>
          <w:i/>
        </w:rPr>
        <w:t>In re Paulsen</w:t>
      </w:r>
      <w:r w:rsidRPr="004120DD">
        <w:rPr>
          <w:rFonts w:cs="Arial"/>
        </w:rPr>
        <w:t xml:space="preserve">, 30 F.3d 1475, 1479, 31 </w:t>
      </w:r>
      <w:r>
        <w:rPr>
          <w:rFonts w:cs="Arial"/>
        </w:rPr>
        <w:t>U.S.P.Q.</w:t>
      </w:r>
      <w:r w:rsidRPr="004120DD">
        <w:rPr>
          <w:rFonts w:cs="Arial"/>
        </w:rPr>
        <w:t>2d 1671, 1673 (Fed. Cir. 1994)</w:t>
      </w:r>
      <w:r>
        <w:rPr>
          <w:rFonts w:cs="Arial"/>
        </w:rPr>
        <w:fldChar w:fldCharType="begin"/>
      </w:r>
      <w:r>
        <w:instrText xml:space="preserve"> TA \l "</w:instrText>
      </w:r>
      <w:r w:rsidRPr="00F54CA2">
        <w:rPr>
          <w:rFonts w:cs="Arial"/>
          <w:u w:val="single"/>
        </w:rPr>
        <w:instrText>In re Paulsen</w:instrText>
      </w:r>
      <w:r w:rsidRPr="00F54CA2">
        <w:rPr>
          <w:rFonts w:cs="Arial"/>
        </w:rPr>
        <w:instrText xml:space="preserve">, 30 F.3d 1475, 1479, 31 </w:instrText>
      </w:r>
      <w:r>
        <w:rPr>
          <w:rFonts w:cs="Arial"/>
        </w:rPr>
        <w:instrText>U.S.P.Q.</w:instrText>
      </w:r>
      <w:r w:rsidRPr="00F54CA2">
        <w:rPr>
          <w:rFonts w:cs="Arial"/>
        </w:rPr>
        <w:instrText>2d 1671, 1673 (Fed. Cir. 1994)</w:instrText>
      </w:r>
      <w:r>
        <w:instrText xml:space="preserve">" \s "In re Paulsen, 30 F.3d 1475, 1479, 31 U.S.P.Q.2d 1671, 1673 (Fed. Cir. 1994)" \c 1 </w:instrText>
      </w:r>
      <w:r>
        <w:rPr>
          <w:rFonts w:cs="Arial"/>
        </w:rPr>
        <w:fldChar w:fldCharType="end"/>
      </w:r>
      <w:r w:rsidRPr="004120DD">
        <w:rPr>
          <w:rFonts w:cs="Arial"/>
        </w:rPr>
        <w:t>.  If a claim is an obvious variation of a prior reference, or an obvious combination of elements found in prior references, it is invalid under § 103</w:t>
      </w:r>
      <w:r>
        <w:rPr>
          <w:rFonts w:cs="Arial"/>
        </w:rPr>
        <w:fldChar w:fldCharType="begin"/>
      </w:r>
      <w:r>
        <w:instrText xml:space="preserve"> TA \s "35 U.S.C. § 103" </w:instrText>
      </w:r>
      <w:r>
        <w:rPr>
          <w:rFonts w:cs="Arial"/>
        </w:rPr>
        <w:fldChar w:fldCharType="end"/>
      </w:r>
      <w:r w:rsidRPr="004120DD">
        <w:rPr>
          <w:rFonts w:cs="Arial"/>
        </w:rPr>
        <w:t xml:space="preserve">.  </w:t>
      </w:r>
      <w:r w:rsidRPr="00392CE0">
        <w:rPr>
          <w:rFonts w:cs="Arial"/>
          <w:i/>
        </w:rPr>
        <w:t>KSR Int’l Co. v. Teleflex Inc</w:t>
      </w:r>
      <w:r w:rsidRPr="004120DD">
        <w:rPr>
          <w:rFonts w:cs="Arial"/>
        </w:rPr>
        <w:t xml:space="preserve">., 127 S.Ct. 1727, 82 </w:t>
      </w:r>
      <w:r>
        <w:rPr>
          <w:rFonts w:cs="Arial"/>
        </w:rPr>
        <w:t>U.S.P.Q.</w:t>
      </w:r>
      <w:r w:rsidRPr="004120DD">
        <w:rPr>
          <w:rFonts w:cs="Arial"/>
        </w:rPr>
        <w:t>2d 1385 (2007)</w:t>
      </w:r>
      <w:r>
        <w:rPr>
          <w:rFonts w:cs="Arial"/>
        </w:rPr>
        <w:fldChar w:fldCharType="begin"/>
      </w:r>
      <w:r>
        <w:instrText xml:space="preserve"> TA \l "</w:instrText>
      </w:r>
      <w:r w:rsidRPr="00F54CA2">
        <w:rPr>
          <w:rFonts w:cs="Arial"/>
          <w:u w:val="single"/>
        </w:rPr>
        <w:instrText xml:space="preserve">KSR </w:instrText>
      </w:r>
      <w:r>
        <w:rPr>
          <w:rFonts w:cs="Arial"/>
          <w:u w:val="single"/>
        </w:rPr>
        <w:instrText>Int’l</w:instrText>
      </w:r>
      <w:r w:rsidRPr="00F54CA2">
        <w:rPr>
          <w:rFonts w:cs="Arial"/>
          <w:u w:val="single"/>
        </w:rPr>
        <w:instrText xml:space="preserve"> Co. v. Teleflex Inc</w:instrText>
      </w:r>
      <w:r w:rsidRPr="00F54CA2">
        <w:rPr>
          <w:rFonts w:cs="Arial"/>
        </w:rPr>
        <w:instrText xml:space="preserve">., 127 S.Ct. 1727, 82 </w:instrText>
      </w:r>
      <w:r>
        <w:rPr>
          <w:rFonts w:cs="Arial"/>
        </w:rPr>
        <w:instrText>U.S.P.Q.</w:instrText>
      </w:r>
      <w:r w:rsidRPr="00F54CA2">
        <w:rPr>
          <w:rFonts w:cs="Arial"/>
        </w:rPr>
        <w:instrText>2d 1385 (2007)</w:instrText>
      </w:r>
      <w:r>
        <w:instrText xml:space="preserve">" \s "KSR Int’l Co. v. Teleflex Inc., 127 S.Ct. 1727, 82 U.S.P.Q.2d 1385 (2007)" \c 1 </w:instrText>
      </w:r>
      <w:r>
        <w:rPr>
          <w:rFonts w:cs="Arial"/>
        </w:rPr>
        <w:fldChar w:fldCharType="end"/>
      </w:r>
      <w:r w:rsidRPr="004120DD">
        <w:rPr>
          <w:rFonts w:cs="Arial"/>
        </w:rPr>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A reference is considered to disclose the subject matter that is either expressly or inherently disclosed in that document.  </w:t>
      </w:r>
      <w:r w:rsidRPr="00392CE0">
        <w:rPr>
          <w:i/>
        </w:rPr>
        <w:t>Atlas Powder Co. v. Ireco Inc.</w:t>
      </w:r>
      <w:r w:rsidRPr="004120DD">
        <w:t xml:space="preserve">, 190 F.3d 1342, 1347, 51 </w:t>
      </w:r>
      <w:r>
        <w:t>U.S.P.Q.</w:t>
      </w:r>
      <w:r w:rsidRPr="004120DD">
        <w:t>2d 1943, 1947 (Fed. Cir. 1999</w:t>
      </w:r>
      <w:r>
        <w:t>)</w:t>
      </w:r>
      <w:r>
        <w:fldChar w:fldCharType="begin"/>
      </w:r>
      <w:r>
        <w:instrText xml:space="preserve"> TA \l "</w:instrText>
      </w:r>
      <w:r w:rsidRPr="00F54CA2">
        <w:rPr>
          <w:u w:val="single"/>
        </w:rPr>
        <w:instrText>Atlas Powder Co. v. Ireco Inc.</w:instrText>
      </w:r>
      <w:r w:rsidRPr="00F54CA2">
        <w:instrText xml:space="preserve">, 190 F.3d 1342, 1347, 51 </w:instrText>
      </w:r>
      <w:r>
        <w:instrText>U.S.P.Q.</w:instrText>
      </w:r>
      <w:r w:rsidRPr="00F54CA2">
        <w:instrText>2d 1943, 1947 (Fed. Cir. 1999)</w:instrText>
      </w:r>
      <w:r>
        <w:instrText xml:space="preserve">" \s "Atlas Powder Co. v. Ireco Inc., 190 F.3d 1342, 1347, 51 U.S.P.Q.2d 1943, 1947 (Fed. Cir. 1999)" \c 1 </w:instrText>
      </w:r>
      <w:r>
        <w:fldChar w:fldCharType="end"/>
      </w:r>
      <w:r w:rsidRPr="004120DD">
        <w:t xml:space="preserve">.  Further, “[m]aterial not explicitly contained in the single, prior art document may still be considered for purposes of anticipation if that material is incorporated by reference into the document.”  </w:t>
      </w:r>
      <w:r w:rsidRPr="00392CE0">
        <w:rPr>
          <w:i/>
        </w:rPr>
        <w:t>Ultradent Prods., Inc. v. Life-Like Cosmetics, Inc.</w:t>
      </w:r>
      <w:r w:rsidRPr="004120DD">
        <w:t xml:space="preserve">, 127 F.3d 1065, 1069, 44 </w:t>
      </w:r>
      <w:r>
        <w:t>U.S.P.Q.</w:t>
      </w:r>
      <w:r w:rsidRPr="004120DD">
        <w:t>2d 1336, 1339-1340 (Fed. Cir. 1997)</w:t>
      </w:r>
      <w:r>
        <w:fldChar w:fldCharType="begin"/>
      </w:r>
      <w:r>
        <w:instrText xml:space="preserve"> TA \l "</w:instrText>
      </w:r>
      <w:r w:rsidRPr="00F54CA2">
        <w:rPr>
          <w:u w:val="single"/>
        </w:rPr>
        <w:instrText>Ultradent Prods., Inc. v. Life-Like Cosmetics, Inc.</w:instrText>
      </w:r>
      <w:r w:rsidRPr="00F54CA2">
        <w:instrText xml:space="preserve">, 127 F.3d 1065, 1069, 44 </w:instrText>
      </w:r>
      <w:r>
        <w:instrText>U.S.P.Q.</w:instrText>
      </w:r>
      <w:r w:rsidRPr="00F54CA2">
        <w:instrText>2d 1336, 1339-1340 (Fed. Cir. 1997)</w:instrText>
      </w:r>
      <w:r>
        <w:instrText xml:space="preserve">" \s "Ultradent Prods., Inc. v. Life-Like Cosmetics, Inc., 127 F.3d 1065, 1069, 44 U.S.P.Q.2d 1336, 1339-1340 (Fed. Cir. 1997)" \c 1 </w:instrText>
      </w:r>
      <w:r>
        <w:fldChar w:fldCharType="end"/>
      </w:r>
      <w:r w:rsidRPr="004120DD">
        <w:t xml:space="preserve">.  It is sufficient if the host document identifies what specific material it incorporates and clearly indicates where that material is found in the incorporated document.  </w:t>
      </w:r>
      <w:r w:rsidRPr="00392CE0">
        <w:rPr>
          <w:i/>
        </w:rPr>
        <w:t>Advanced Display Sys., Inc. v. Kent State Univ.</w:t>
      </w:r>
      <w:r w:rsidRPr="004120DD">
        <w:t xml:space="preserve">, 54 </w:t>
      </w:r>
      <w:r>
        <w:t>U.S.P.Q.</w:t>
      </w:r>
      <w:r w:rsidRPr="004120DD">
        <w:t>2d 1673, 1679 (Fed. Cir. 2000)</w:t>
      </w:r>
      <w:r>
        <w:fldChar w:fldCharType="begin"/>
      </w:r>
      <w:r>
        <w:instrText xml:space="preserve"> TA \l "</w:instrText>
      </w:r>
      <w:r w:rsidRPr="00F54CA2">
        <w:rPr>
          <w:u w:val="single"/>
        </w:rPr>
        <w:instrText xml:space="preserve">Advanced Display </w:instrText>
      </w:r>
      <w:r>
        <w:rPr>
          <w:u w:val="single"/>
        </w:rPr>
        <w:instrText>Sys.</w:instrText>
      </w:r>
      <w:r w:rsidRPr="00F54CA2">
        <w:rPr>
          <w:u w:val="single"/>
        </w:rPr>
        <w:instrText xml:space="preserve">, Inc. v. Kent State </w:instrText>
      </w:r>
      <w:r>
        <w:rPr>
          <w:u w:val="single"/>
        </w:rPr>
        <w:instrText>Univ.</w:instrText>
      </w:r>
      <w:r w:rsidRPr="00F54CA2">
        <w:instrText xml:space="preserve">, 54 </w:instrText>
      </w:r>
      <w:r>
        <w:instrText>U.S.P.Q.</w:instrText>
      </w:r>
      <w:r w:rsidRPr="00F54CA2">
        <w:instrText>2d 1673, 1679 (Fed. Cir. 2000)</w:instrText>
      </w:r>
      <w:r>
        <w:instrText xml:space="preserve">" \s "Advanced Display Sys., Inc. v. Kent State Univ., 54 U.S.P.Q.2d 1673, 1679 (Fed. Cir. 2000)" \c 1 </w:instrText>
      </w:r>
      <w:r>
        <w:fldChar w:fldCharType="end"/>
      </w:r>
      <w:r w:rsidRPr="004120DD">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Establishing invalidity may be more difficult if reliance is placed solely upon prior art that was known to the Patent Office prior to issuing the patent.  </w:t>
      </w:r>
      <w:r w:rsidRPr="00392CE0">
        <w:rPr>
          <w:i/>
        </w:rPr>
        <w:t>Ultra-Tex Surfaces Inc. v. Hill Bros. Chem. Co</w:t>
      </w:r>
      <w:r w:rsidRPr="004120DD">
        <w:t xml:space="preserve">., 204 F.3d 1360, 53 </w:t>
      </w:r>
      <w:r>
        <w:t>U.S.P.Q.</w:t>
      </w:r>
      <w:r w:rsidRPr="004120DD">
        <w:t>2d 1892, 1898 (Fed. Cir. 2000)</w:t>
      </w:r>
      <w:r>
        <w:fldChar w:fldCharType="begin"/>
      </w:r>
      <w:r>
        <w:instrText xml:space="preserve"> TA \l "</w:instrText>
      </w:r>
      <w:r w:rsidRPr="00F54CA2">
        <w:rPr>
          <w:u w:val="single"/>
        </w:rPr>
        <w:instrText xml:space="preserve">Ultra-Tex Surfaces Inc. v. Hill </w:instrText>
      </w:r>
      <w:r>
        <w:rPr>
          <w:u w:val="single"/>
        </w:rPr>
        <w:instrText>Bros.</w:instrText>
      </w:r>
      <w:r w:rsidRPr="00F54CA2">
        <w:rPr>
          <w:u w:val="single"/>
        </w:rPr>
        <w:instrText xml:space="preserve"> </w:instrText>
      </w:r>
      <w:r>
        <w:rPr>
          <w:u w:val="single"/>
        </w:rPr>
        <w:instrText>Chem.</w:instrText>
      </w:r>
      <w:r w:rsidRPr="00F54CA2">
        <w:rPr>
          <w:u w:val="single"/>
        </w:rPr>
        <w:instrText xml:space="preserve"> Co</w:instrText>
      </w:r>
      <w:r w:rsidRPr="00F54CA2">
        <w:instrText xml:space="preserve">., 204 F.3d 1360, 53 </w:instrText>
      </w:r>
      <w:r>
        <w:instrText>U.S.P.Q.</w:instrText>
      </w:r>
      <w:r w:rsidRPr="00F54CA2">
        <w:instrText>2d 1892, 1898 (Fed. Cir. 2000)</w:instrText>
      </w:r>
      <w:r>
        <w:instrText xml:space="preserve">" \s "Ultra-Tex Surfaces Inc. v. Hill Bros. Chem. Co., 204 F.3d 1360, 53 U.S.P.Q.2d 1892, 1898 (Fed. Cir. 2000)" \c 1 </w:instrText>
      </w:r>
      <w:r>
        <w:fldChar w:fldCharType="end"/>
      </w:r>
      <w:r w:rsidRPr="004120DD">
        <w:t xml:space="preserve">; see also </w:t>
      </w:r>
      <w:r w:rsidRPr="00392CE0">
        <w:rPr>
          <w:i/>
        </w:rPr>
        <w:t>Aktiebolaget Karlstads Mekaniska Werkstad v. United States Int’l Trade Comm’n</w:t>
      </w:r>
      <w:r w:rsidRPr="004120DD">
        <w:t>, 217 U.S.P.Q. 865, 873-74 (Fed. Cir. 1983)</w:t>
      </w:r>
      <w:r>
        <w:fldChar w:fldCharType="begin"/>
      </w:r>
      <w:r>
        <w:instrText xml:space="preserve"> TA \l "</w:instrText>
      </w:r>
      <w:r w:rsidRPr="003F6151">
        <w:rPr>
          <w:u w:val="single"/>
        </w:rPr>
        <w:instrText>Aktiebolaget Karlstads Mekaniska Werkstad v. United States Int’l Trade Comm’n</w:instrText>
      </w:r>
      <w:r w:rsidRPr="003F6151">
        <w:instrText>, 217 U.S.P.Q. 865, 873-74 (Fed. Cir. 1983)</w:instrText>
      </w:r>
      <w:r>
        <w:instrText xml:space="preserve">" \s "Aktiebolaget Karlstads Mekaniska Werkstad v. United States Int’l Trade Comm’n, 217 U.S.P.Q. 865, 873-74 (Fed. Cir. 1983)" \c 1 </w:instrText>
      </w:r>
      <w:r>
        <w:fldChar w:fldCharType="end"/>
      </w:r>
      <w:r w:rsidRPr="004120DD">
        <w:t xml:space="preserve">.  However, a patent can nevertheless be shown to be invalid over cited art if it is apparent that such art defeats novelty or shows the claimed invention to be obvious.  </w:t>
      </w:r>
      <w:r w:rsidRPr="00655780">
        <w:rPr>
          <w:i/>
          <w:szCs w:val="24"/>
        </w:rPr>
        <w:t>PharmaStem Therapeutics, Inc. v. ViaCell Inc.</w:t>
      </w:r>
      <w:r w:rsidRPr="004120DD">
        <w:rPr>
          <w:szCs w:val="24"/>
        </w:rPr>
        <w:t xml:space="preserve">, 491 F.3d 1342, 83 </w:t>
      </w:r>
      <w:r>
        <w:rPr>
          <w:szCs w:val="24"/>
        </w:rPr>
        <w:t>U.S.P.Q.</w:t>
      </w:r>
      <w:r w:rsidRPr="004120DD">
        <w:rPr>
          <w:szCs w:val="24"/>
        </w:rPr>
        <w:t>2d 1289 (Fed. Cir. 2007).</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The deference that might otherwise be given to the examination by the Patent Office can be offset by circumstances indicating less than a full and accurate review of the patent.  This may result, for example, where an examiner failed to fully understand or appreciate the content or relevance of the prior art of record.  This may occur under various circumstances, such as if the patent applicant misrepresented the prior art or failed to meaningfully disclose the content or relevance of such art.</w:t>
      </w:r>
    </w:p>
    <w:p w:rsidR="00F96657" w:rsidRPr="004120DD" w:rsidRDefault="00F96657" w:rsidP="00F96657">
      <w:pPr>
        <w:tabs>
          <w:tab w:val="left" w:pos="720"/>
          <w:tab w:val="left" w:pos="1440"/>
        </w:tabs>
      </w:pPr>
    </w:p>
    <w:p w:rsidR="00F96657" w:rsidRPr="004120DD" w:rsidRDefault="00F96657" w:rsidP="00F96657">
      <w:pPr>
        <w:pStyle w:val="Heading3"/>
        <w:rPr>
          <w:rFonts w:ascii="Times New Roman" w:hAnsi="Times New Roman"/>
        </w:rPr>
      </w:pPr>
      <w:bookmarkStart w:id="61" w:name="_Toc289408124"/>
      <w:bookmarkStart w:id="62" w:name="_Toc289409410"/>
      <w:bookmarkStart w:id="63" w:name="_Toc289409520"/>
      <w:bookmarkStart w:id="64" w:name="_Toc289409663"/>
      <w:bookmarkStart w:id="65" w:name="_Toc290548385"/>
      <w:bookmarkStart w:id="66" w:name="B5a"/>
      <w:r w:rsidRPr="004120DD">
        <w:rPr>
          <w:rFonts w:ascii="Times New Roman" w:hAnsi="Times New Roman"/>
        </w:rPr>
        <w:t>a.</w:t>
      </w:r>
      <w:r w:rsidRPr="004120DD">
        <w:rPr>
          <w:rFonts w:ascii="Times New Roman" w:hAnsi="Times New Roman"/>
        </w:rPr>
        <w:tab/>
        <w:t>Anticipation</w:t>
      </w:r>
      <w:bookmarkEnd w:id="61"/>
      <w:bookmarkEnd w:id="62"/>
      <w:bookmarkEnd w:id="63"/>
      <w:bookmarkEnd w:id="64"/>
      <w:bookmarkEnd w:id="65"/>
    </w:p>
    <w:bookmarkEnd w:id="66"/>
    <w:p w:rsidR="00F96657" w:rsidRPr="004120DD" w:rsidRDefault="00F96657" w:rsidP="00F96657">
      <w:pPr>
        <w:pStyle w:val="BodyText"/>
        <w:keepNext/>
        <w:tabs>
          <w:tab w:val="left" w:pos="720"/>
          <w:tab w:val="left" w:pos="1440"/>
        </w:tabs>
        <w:spacing w:after="0"/>
      </w:pPr>
    </w:p>
    <w:p w:rsidR="00F96657" w:rsidRDefault="00F96657" w:rsidP="00F96657">
      <w:pPr>
        <w:pStyle w:val="BodyText"/>
        <w:keepNext/>
        <w:tabs>
          <w:tab w:val="left" w:pos="720"/>
          <w:tab w:val="left" w:pos="1440"/>
        </w:tabs>
        <w:spacing w:after="0"/>
      </w:pPr>
      <w:r w:rsidRPr="004120DD">
        <w:t xml:space="preserve">A claim is invalid under </w:t>
      </w:r>
      <w:r>
        <w:t>35 U.S.C. § 1</w:t>
      </w:r>
      <w:r w:rsidRPr="004120DD">
        <w:t>02</w:t>
      </w:r>
      <w:r>
        <w:fldChar w:fldCharType="begin"/>
      </w:r>
      <w:r>
        <w:instrText xml:space="preserve"> TA \s "35 U.S.C. § 102" </w:instrText>
      </w:r>
      <w:r>
        <w:fldChar w:fldCharType="end"/>
      </w:r>
      <w:r w:rsidRPr="004120DD">
        <w:t xml:space="preserve"> if it can be established by clear and convincing evidence that the claim lacks novelty or is anticipated.  The standard for anticipation is one of strict identity.  To anticipate a claim for a patent, a single prior art source must contain all its essential elements.  </w:t>
      </w:r>
      <w:r w:rsidRPr="00655780">
        <w:rPr>
          <w:i/>
        </w:rPr>
        <w:t>Rockwell Int’l Corp. v. United States</w:t>
      </w:r>
      <w:r w:rsidRPr="004120DD">
        <w:t>, 147 F.3d 1358, 1363, 47 U.S.P.Q. 2d 1027, 1031 (Fed. Cir. 1998)</w:t>
      </w:r>
      <w:r>
        <w:fldChar w:fldCharType="begin"/>
      </w:r>
      <w:r>
        <w:instrText xml:space="preserve"> TA \l "</w:instrText>
      </w:r>
      <w:r w:rsidRPr="005D5302">
        <w:rPr>
          <w:u w:val="single"/>
        </w:rPr>
        <w:instrText>Rockwell Int’l Corp. v. United States</w:instrText>
      </w:r>
      <w:r w:rsidRPr="005D5302">
        <w:instrText>, 147 F.3d 1358, 1363, 47 U.S.P.Q. 2d 1027, 1031 (Fed. Cir. 1998)</w:instrText>
      </w:r>
      <w:r>
        <w:instrText xml:space="preserve">" \s "Rockwell Int’l Corp. v. United States, 147 F.3d 1358, 1363, 47 U.S.P.Q. 2d 1027, 1031 (Fed. Cir. 1998)" \c 1 </w:instrText>
      </w:r>
      <w:r>
        <w:fldChar w:fldCharType="end"/>
      </w:r>
      <w:r w:rsidRPr="004120DD">
        <w:t xml:space="preserve">  “Anticipation under 35 U.S.C. Section 102 requires the disclosure in a single piece of prior art of each and every limitation of a claimed invention.  In other words, to sustain an assertion of invalidity due to anticipation requires that a single prior art reference disclose all elements of the claimed invention.  </w:t>
      </w:r>
      <w:r w:rsidRPr="00655780">
        <w:rPr>
          <w:i/>
        </w:rPr>
        <w:t>Standard Havens Prod. Inc. v. Gencor Indus., Inc.</w:t>
      </w:r>
      <w:r w:rsidRPr="004120DD">
        <w:t>, 21 U.S.P.Q.2d 1321, 1328 (Fed. Cir. 1991)</w:t>
      </w:r>
      <w:r>
        <w:fldChar w:fldCharType="begin"/>
      </w:r>
      <w:r>
        <w:instrText xml:space="preserve"> TA \l "</w:instrText>
      </w:r>
      <w:r w:rsidRPr="00F54CA2">
        <w:rPr>
          <w:u w:val="single"/>
        </w:rPr>
        <w:instrText>Standard Havens Prod. Inc. v. Gencor Indus., Inc.</w:instrText>
      </w:r>
      <w:r w:rsidRPr="00F54CA2">
        <w:instrText>, 21 U.S.P.Q.2d 1321, 1328 (Fed. Cir. 1991)</w:instrText>
      </w:r>
      <w:r>
        <w:instrText xml:space="preserve">" \s "Standard Havens Prod. Inc. v. Gencor Indus., Inc., 21 U.S.P.Q.2d 1321, 1328 (Fed. Cir. 1991)" \c 1 </w:instrText>
      </w:r>
      <w:r>
        <w:fldChar w:fldCharType="end"/>
      </w:r>
      <w:r>
        <w:t>.</w:t>
      </w:r>
    </w:p>
    <w:p w:rsidR="00F96657" w:rsidRPr="004120DD" w:rsidRDefault="00F96657" w:rsidP="00F96657">
      <w:pPr>
        <w:pStyle w:val="BodyText"/>
        <w:keepNext/>
        <w:tabs>
          <w:tab w:val="left" w:pos="720"/>
          <w:tab w:val="left" w:pos="1440"/>
        </w:tabs>
        <w:spacing w:after="0"/>
      </w:pPr>
    </w:p>
    <w:p w:rsidR="00F96657" w:rsidRDefault="00F96657" w:rsidP="00F96657">
      <w:pPr>
        <w:pStyle w:val="BodyText"/>
        <w:keepNext/>
        <w:tabs>
          <w:tab w:val="left" w:pos="720"/>
          <w:tab w:val="left" w:pos="1440"/>
        </w:tabs>
        <w:spacing w:after="0"/>
      </w:pPr>
      <w:r w:rsidRPr="004120DD">
        <w:t xml:space="preserve">Whether such art is </w:t>
      </w:r>
      <w:r w:rsidR="007A6085" w:rsidRPr="004120DD">
        <w:t>anticipat</w:t>
      </w:r>
      <w:r w:rsidR="007A6085">
        <w:t>ory</w:t>
      </w:r>
      <w:r w:rsidR="007A6085" w:rsidRPr="004120DD">
        <w:t xml:space="preserve"> </w:t>
      </w:r>
      <w:r w:rsidRPr="004120DD">
        <w:t xml:space="preserve">is a question of fact.  </w:t>
      </w:r>
      <w:r w:rsidRPr="00655780">
        <w:rPr>
          <w:i/>
        </w:rPr>
        <w:t>Electro Med. Sys. S.A. v. Cooper Life Sciences</w:t>
      </w:r>
      <w:r w:rsidRPr="004120DD">
        <w:t>, 34 F.3d 1048, 1052, 32 U.S.P.Q. 2d 1017, 1019 (Fed. Cir. 1994)</w:t>
      </w:r>
      <w:r>
        <w:fldChar w:fldCharType="begin"/>
      </w:r>
      <w:r>
        <w:instrText xml:space="preserve"> TA \l "</w:instrText>
      </w:r>
      <w:r w:rsidRPr="00F54CA2">
        <w:rPr>
          <w:u w:val="single"/>
        </w:rPr>
        <w:instrText>Electro Med. Sys. S.A. v. Cooper Life Sciences</w:instrText>
      </w:r>
      <w:r w:rsidRPr="00F54CA2">
        <w:instrText>, 34 F.3d 1048, 1052, 32 U.S.P.Q. 2d 1017, 1019 (Fed. Cir. 1994)</w:instrText>
      </w:r>
      <w:r>
        <w:instrText xml:space="preserve">" \s "Electro Med. Sys. S.A. v. Cooper Life Sciences, 34 F.3d 1048, 1052, 32 U.S.P.Q. 2d 1017, 1019 (Fed. Cir. 1994)" \c 1 </w:instrText>
      </w:r>
      <w:r>
        <w:fldChar w:fldCharType="end"/>
      </w:r>
      <w:r>
        <w:t>.</w:t>
      </w:r>
    </w:p>
    <w:p w:rsidR="00F96657" w:rsidRPr="004120DD" w:rsidRDefault="00F96657" w:rsidP="00F96657">
      <w:pPr>
        <w:tabs>
          <w:tab w:val="left" w:pos="720"/>
          <w:tab w:val="left" w:pos="1440"/>
        </w:tabs>
      </w:pPr>
    </w:p>
    <w:p w:rsidR="00F96657" w:rsidRPr="004120DD" w:rsidRDefault="00F96657" w:rsidP="00F96657">
      <w:pPr>
        <w:pStyle w:val="Heading3"/>
        <w:rPr>
          <w:rFonts w:ascii="Times New Roman" w:hAnsi="Times New Roman"/>
        </w:rPr>
      </w:pPr>
      <w:bookmarkStart w:id="67" w:name="_Toc289408125"/>
      <w:bookmarkStart w:id="68" w:name="_Toc289409411"/>
      <w:bookmarkStart w:id="69" w:name="_Toc289409521"/>
      <w:bookmarkStart w:id="70" w:name="_Toc289409664"/>
      <w:bookmarkStart w:id="71" w:name="_Toc290548386"/>
      <w:bookmarkStart w:id="72" w:name="B5b"/>
      <w:r w:rsidRPr="004120DD">
        <w:rPr>
          <w:rFonts w:ascii="Times New Roman" w:hAnsi="Times New Roman"/>
        </w:rPr>
        <w:t>b.</w:t>
      </w:r>
      <w:r w:rsidRPr="004120DD">
        <w:rPr>
          <w:rFonts w:ascii="Times New Roman" w:hAnsi="Times New Roman"/>
        </w:rPr>
        <w:tab/>
        <w:t>Obviousness</w:t>
      </w:r>
      <w:bookmarkEnd w:id="67"/>
      <w:bookmarkEnd w:id="68"/>
      <w:bookmarkEnd w:id="69"/>
      <w:bookmarkEnd w:id="70"/>
      <w:bookmarkEnd w:id="71"/>
    </w:p>
    <w:bookmarkEnd w:id="72"/>
    <w:p w:rsidR="00F96657" w:rsidRPr="004120DD" w:rsidRDefault="00F96657" w:rsidP="00F96657">
      <w:pPr>
        <w:tabs>
          <w:tab w:val="left" w:pos="720"/>
          <w:tab w:val="left" w:pos="1440"/>
        </w:tabs>
      </w:pPr>
    </w:p>
    <w:p w:rsidR="00F96657" w:rsidRDefault="00F96657" w:rsidP="00F96657">
      <w:pPr>
        <w:tabs>
          <w:tab w:val="left" w:pos="720"/>
          <w:tab w:val="left" w:pos="1440"/>
        </w:tabs>
      </w:pPr>
      <w:r w:rsidRPr="004120DD">
        <w:t xml:space="preserve">A claim may be invalid under 35 U.S.C. </w:t>
      </w:r>
      <w:r w:rsidR="007A6085">
        <w:t xml:space="preserve">§ </w:t>
      </w:r>
      <w:r w:rsidRPr="004120DD">
        <w:t>103(a) as obvious in view of one or more prior references.  As with other attacks on validity, “</w:t>
      </w:r>
      <w:r w:rsidR="007A6085">
        <w:t>[i]</w:t>
      </w:r>
      <w:r w:rsidR="007A6085" w:rsidRPr="004120DD">
        <w:t xml:space="preserve">nvalidity </w:t>
      </w:r>
      <w:r w:rsidRPr="004120DD">
        <w:t xml:space="preserve">based on obviousness of a duly issued patent must be established by clear and convincing evidence.”  </w:t>
      </w:r>
      <w:r w:rsidRPr="00655780">
        <w:rPr>
          <w:i/>
        </w:rPr>
        <w:t>Glaverbel Societe Anonyme v. Northlake Mktg.</w:t>
      </w:r>
      <w:r w:rsidRPr="004120DD">
        <w:t>, 45 F.3d 1550, 1555 (Fed. Cir. 1995)</w:t>
      </w:r>
      <w:r>
        <w:fldChar w:fldCharType="begin"/>
      </w:r>
      <w:r>
        <w:instrText xml:space="preserve"> TA \l "</w:instrText>
      </w:r>
      <w:r w:rsidRPr="00F54CA2">
        <w:rPr>
          <w:u w:val="single"/>
        </w:rPr>
        <w:instrText xml:space="preserve">Glaverbel Societe Anonyme v. Northlake </w:instrText>
      </w:r>
      <w:r>
        <w:rPr>
          <w:u w:val="single"/>
        </w:rPr>
        <w:instrText>Mktg.</w:instrText>
      </w:r>
      <w:r w:rsidRPr="00F54CA2">
        <w:instrText>, 45 F.3d 1550, 1555 (Fed. Cir. 1995)</w:instrText>
      </w:r>
      <w:r>
        <w:instrText xml:space="preserve">" \s "Glaverbel Societe Anonyme v. Northlake Mktg., 45 F.3d 1550, 1555 (Fed. Cir. 1995)" \c 1 </w:instrText>
      </w:r>
      <w:r>
        <w:fldChar w:fldCharType="end"/>
      </w:r>
      <w:r w:rsidRPr="004120DD">
        <w:t xml:space="preserve"> (citing </w:t>
      </w:r>
      <w:r w:rsidRPr="00655780">
        <w:rPr>
          <w:i/>
        </w:rPr>
        <w:t>Polaroid Corp. v. Eastman Kodak Co.</w:t>
      </w:r>
      <w:r w:rsidRPr="004120DD">
        <w:t xml:space="preserve">, 789 F.2d 1556, 1558, 229 U.S.P.Q. 561, 562-63 (Fed. Cir. 1986), </w:t>
      </w:r>
      <w:r w:rsidRPr="004120DD">
        <w:rPr>
          <w:i/>
        </w:rPr>
        <w:t>cert</w:t>
      </w:r>
      <w:r w:rsidRPr="004120DD">
        <w:t xml:space="preserve">. </w:t>
      </w:r>
      <w:r w:rsidRPr="004120DD">
        <w:rPr>
          <w:i/>
        </w:rPr>
        <w:t>denied</w:t>
      </w:r>
      <w:r w:rsidRPr="004120DD">
        <w:t xml:space="preserve">, 479 </w:t>
      </w:r>
      <w:smartTag w:uri="urn:schemas-microsoft-com:office:smarttags" w:element="country-region">
        <w:smartTag w:uri="urn:schemas-microsoft-com:office:smarttags" w:element="place">
          <w:r w:rsidRPr="004120DD">
            <w:t>U.S.</w:t>
          </w:r>
        </w:smartTag>
      </w:smartTag>
      <w:r w:rsidRPr="004120DD">
        <w:t xml:space="preserve"> 850, 107 S.Ct. 178, 93 L.Ed. 2d 114 (1986)</w:t>
      </w:r>
      <w:r>
        <w:fldChar w:fldCharType="begin"/>
      </w:r>
      <w:r>
        <w:instrText xml:space="preserve"> TA \l "</w:instrText>
      </w:r>
      <w:r w:rsidRPr="00F54CA2">
        <w:rPr>
          <w:u w:val="single"/>
        </w:rPr>
        <w:instrText>Polaroid Corp. v. Eastman Kodak Co.</w:instrText>
      </w:r>
      <w:r w:rsidRPr="00F54CA2">
        <w:instrText xml:space="preserve">, 789 F.2d 1556, 1558, 229 U.S.P.Q. 561, 562-63 (Fed. Cir. 1986), </w:instrText>
      </w:r>
      <w:r w:rsidRPr="00F54CA2">
        <w:rPr>
          <w:i/>
        </w:rPr>
        <w:instrText>cert</w:instrText>
      </w:r>
      <w:r w:rsidRPr="00F54CA2">
        <w:instrText xml:space="preserve">. </w:instrText>
      </w:r>
      <w:r w:rsidRPr="00F54CA2">
        <w:rPr>
          <w:i/>
        </w:rPr>
        <w:instrText>denied</w:instrText>
      </w:r>
      <w:r w:rsidRPr="00F54CA2">
        <w:instrText>, 479 U.S. 850, 107 S.Ct. 178, 93 L.Ed. 2d 114 (1986)</w:instrText>
      </w:r>
      <w:r>
        <w:instrText xml:space="preserve">" \s "Polaroid Corp. v. Eastman Kodak Co., 789 F.2d 1556, 1558, 229 U.S.P.Q. 561, 562-63 (Fed. Cir. 1986), cert. denied, 479 U.S. 850, 107 S.Ct. 178, 93 L.Ed. 2d 114 (1986)" \c 1 </w:instrText>
      </w:r>
      <w:r>
        <w:fldChar w:fldCharType="end"/>
      </w:r>
      <w:r w:rsidRPr="004120DD">
        <w:t>)</w:t>
      </w:r>
      <w:r>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The starting point in any obviousness analysis is the Supreme Court’s holding in </w:t>
      </w:r>
      <w:r w:rsidRPr="00655780">
        <w:rPr>
          <w:i/>
        </w:rPr>
        <w:t>Graham et al. v. John Deere Co.</w:t>
      </w:r>
      <w:r w:rsidRPr="004120DD">
        <w:t>, 148 U.S.P.Q. 459, 467 (U.S. 1966)</w:t>
      </w:r>
      <w:r>
        <w:fldChar w:fldCharType="begin"/>
      </w:r>
      <w:r>
        <w:instrText xml:space="preserve"> TA \l "</w:instrText>
      </w:r>
      <w:r w:rsidRPr="00F54CA2">
        <w:rPr>
          <w:u w:val="single"/>
        </w:rPr>
        <w:instrText xml:space="preserve">Graham et al. v. John Deere </w:instrText>
      </w:r>
      <w:r>
        <w:rPr>
          <w:u w:val="single"/>
        </w:rPr>
        <w:instrText>Co.</w:instrText>
      </w:r>
      <w:r w:rsidRPr="00F54CA2">
        <w:instrText>, 148 U.S.P.Q. 459, 467 (U.S. 1966)</w:instrText>
      </w:r>
      <w:r>
        <w:instrText xml:space="preserve">" \s "Graham et al. v. John Deere Co., 148 U.S.P.Q. 459, 467 (U.S. 1966)" \c 1 </w:instrText>
      </w:r>
      <w:r>
        <w:fldChar w:fldCharType="end"/>
      </w:r>
      <w:r w:rsidRPr="004120DD">
        <w:t>, stating:</w:t>
      </w:r>
    </w:p>
    <w:p w:rsidR="00F96657" w:rsidRPr="004120DD" w:rsidRDefault="00F96657" w:rsidP="00F96657">
      <w:pPr>
        <w:tabs>
          <w:tab w:val="left" w:pos="720"/>
          <w:tab w:val="left" w:pos="1440"/>
        </w:tabs>
      </w:pPr>
    </w:p>
    <w:p w:rsidR="00F96657" w:rsidRDefault="00F96657" w:rsidP="00F96657">
      <w:pPr>
        <w:pStyle w:val="BlockText"/>
        <w:tabs>
          <w:tab w:val="left" w:pos="720"/>
          <w:tab w:val="left" w:pos="1440"/>
        </w:tabs>
        <w:ind w:left="1440" w:right="1440" w:firstLine="0"/>
      </w:pPr>
      <w:r w:rsidRPr="004120DD">
        <w:t xml:space="preserve">Under </w:t>
      </w:r>
      <w:r>
        <w:t>§ 1</w:t>
      </w:r>
      <w:r w:rsidRPr="004120DD">
        <w:t>03</w:t>
      </w:r>
      <w:r>
        <w:fldChar w:fldCharType="begin"/>
      </w:r>
      <w:r>
        <w:instrText xml:space="preserve"> TA \s "35 U.S.C. § 103" </w:instrText>
      </w:r>
      <w:r>
        <w:fldChar w:fldCharType="end"/>
      </w:r>
      <w:r w:rsidRPr="004120DD">
        <w:t>, the scope and content of the prior art are to be determined; differences between the prior art and the claims at issue are to be ascertained; and the level of ordinary skill in the pertinent art resolved.  Against this background, the obviousness or nonobviousness of the subject matter is determined</w:t>
      </w:r>
      <w:r>
        <w:t>.</w:t>
      </w:r>
    </w:p>
    <w:p w:rsidR="00F96657" w:rsidRPr="004120DD" w:rsidRDefault="00F96657" w:rsidP="00F96657">
      <w:pPr>
        <w:pStyle w:val="BlockText"/>
        <w:tabs>
          <w:tab w:val="left" w:pos="720"/>
          <w:tab w:val="left" w:pos="1440"/>
        </w:tabs>
        <w:ind w:left="0" w:right="1440" w:firstLine="0"/>
      </w:pPr>
    </w:p>
    <w:p w:rsidR="00F96657" w:rsidRPr="004120DD" w:rsidRDefault="00F96657" w:rsidP="00F96657">
      <w:pPr>
        <w:pStyle w:val="BlockText"/>
        <w:tabs>
          <w:tab w:val="left" w:pos="720"/>
          <w:tab w:val="left" w:pos="1440"/>
        </w:tabs>
        <w:ind w:left="0" w:right="0" w:firstLine="0"/>
        <w:jc w:val="left"/>
      </w:pPr>
      <w:r w:rsidRPr="004120DD">
        <w:t xml:space="preserve">Obviousness is determined in the context of a person of ordinary skill in the art, at the time the invention was made.  </w:t>
      </w:r>
      <w:r w:rsidRPr="00655780">
        <w:t>KSR</w:t>
      </w:r>
      <w:r w:rsidRPr="004120DD">
        <w:t xml:space="preserve">, at 1388.  “Factors that may be considered in determining level of ordinary skill in the art include: (1) the educational level of the inventor; (2) type of problems encountered in the art; (3) prior art solutions to those problems; (4) rapidity with which innovations are made; (5) sophistication of the technology; and (6) educational level of active workers in the field.  Not all such factors may be present in every case, and one or more of these or other factors may predominate in a particular case.”  </w:t>
      </w:r>
      <w:r w:rsidRPr="00655780">
        <w:rPr>
          <w:i/>
        </w:rPr>
        <w:t>Environmental Designs Ltd. et al. v. Union Oil Co. of Cal. et al.</w:t>
      </w:r>
      <w:r w:rsidRPr="004120DD">
        <w:t>, 218 U.S.P.Q. 865, 868 (Fed. Cir. 1983)</w:t>
      </w:r>
      <w:r>
        <w:fldChar w:fldCharType="begin"/>
      </w:r>
      <w:r>
        <w:instrText xml:space="preserve"> TA \l "</w:instrText>
      </w:r>
      <w:r w:rsidRPr="00F54CA2">
        <w:rPr>
          <w:u w:val="single"/>
        </w:rPr>
        <w:instrText xml:space="preserve">Environmental Designs Ltd. et al. v. Union Oil </w:instrText>
      </w:r>
      <w:r>
        <w:rPr>
          <w:u w:val="single"/>
        </w:rPr>
        <w:instrText>Co.</w:instrText>
      </w:r>
      <w:r w:rsidRPr="00F54CA2">
        <w:rPr>
          <w:u w:val="single"/>
        </w:rPr>
        <w:instrText xml:space="preserve"> of </w:instrText>
      </w:r>
      <w:r>
        <w:rPr>
          <w:u w:val="single"/>
        </w:rPr>
        <w:instrText>Cal.</w:instrText>
      </w:r>
      <w:r w:rsidRPr="00F54CA2">
        <w:rPr>
          <w:u w:val="single"/>
        </w:rPr>
        <w:instrText xml:space="preserve"> et al.</w:instrText>
      </w:r>
      <w:r w:rsidRPr="00F54CA2">
        <w:instrText>, 218 U.S.P.Q. 865, 868 (Fed. Cir. 1983)</w:instrText>
      </w:r>
      <w:r>
        <w:instrText xml:space="preserve">" \s "Environmental Designs Ltd. et al. v. Union Oil Co. of Cal. et al., 218 U.S.P.Q. 865, 868 (Fed. Cir. 1983)" \c 1 </w:instrText>
      </w:r>
      <w:r>
        <w:fldChar w:fldCharType="end"/>
      </w:r>
      <w:r w:rsidRPr="004120DD">
        <w:t xml:space="preserve"> (internal citations omitted).</w:t>
      </w:r>
    </w:p>
    <w:p w:rsidR="00F96657" w:rsidRPr="004120DD" w:rsidRDefault="00F96657" w:rsidP="00F96657">
      <w:pPr>
        <w:pStyle w:val="BlockText"/>
        <w:tabs>
          <w:tab w:val="left" w:pos="720"/>
          <w:tab w:val="left" w:pos="1440"/>
        </w:tabs>
        <w:ind w:left="0" w:right="0" w:firstLine="0"/>
      </w:pPr>
    </w:p>
    <w:p w:rsidR="00F96657" w:rsidRPr="004120DD" w:rsidRDefault="00F96657" w:rsidP="00F96657">
      <w:pPr>
        <w:pStyle w:val="BlockText"/>
        <w:tabs>
          <w:tab w:val="left" w:pos="720"/>
          <w:tab w:val="left" w:pos="1440"/>
        </w:tabs>
        <w:ind w:left="0" w:right="0" w:firstLine="0"/>
        <w:jc w:val="left"/>
      </w:pPr>
      <w:r w:rsidRPr="004120DD">
        <w:t xml:space="preserve">The Federal Circuit has also stated that, “[i]n determining obviousness, the invention must be considered as a whole without the benefit of hindsight, and the claims must be considered in their entirety.”  </w:t>
      </w:r>
      <w:r w:rsidRPr="00655780">
        <w:rPr>
          <w:i/>
        </w:rPr>
        <w:t>Rockwell Int’l Corp. v. United States</w:t>
      </w:r>
      <w:r w:rsidRPr="004120DD">
        <w:t>, 147 F.3d 1358, 1364 (Fed. Cir. 1998)</w:t>
      </w:r>
      <w:r>
        <w:fldChar w:fldCharType="begin"/>
      </w:r>
      <w:r>
        <w:instrText xml:space="preserve"> TA \l "</w:instrText>
      </w:r>
      <w:r w:rsidRPr="00303370">
        <w:rPr>
          <w:u w:val="single"/>
        </w:rPr>
        <w:instrText>Rockwell Int’l Corp. v. United States</w:instrText>
      </w:r>
      <w:r w:rsidRPr="00303370">
        <w:instrText>, 147 F.3d 1358, 1364 (Fed. Cir. 1998)</w:instrText>
      </w:r>
      <w:r>
        <w:instrText xml:space="preserve">" \s "Rockwell Int’l Corp. v. United States, 147 F.3d 1358, 1364 (Fed. Cir. 1998)" \c 1 </w:instrText>
      </w:r>
      <w:r>
        <w:fldChar w:fldCharType="end"/>
      </w:r>
      <w:r w:rsidRPr="004120DD">
        <w:t xml:space="preserve"> citing to </w:t>
      </w:r>
      <w:r w:rsidRPr="00655780">
        <w:rPr>
          <w:i/>
        </w:rPr>
        <w:t>W.L. Gore &amp; Assocs., v. Garlock, Inc.</w:t>
      </w:r>
      <w:r w:rsidRPr="004120DD">
        <w:t>, 721 F.2d 1540, 1551-53 (Fed. Cir. 1983)</w:t>
      </w:r>
      <w:r>
        <w:fldChar w:fldCharType="begin"/>
      </w:r>
      <w:r>
        <w:instrText xml:space="preserve"> TA \l "</w:instrText>
      </w:r>
      <w:r w:rsidRPr="00F54CA2">
        <w:rPr>
          <w:u w:val="single"/>
        </w:rPr>
        <w:instrText>W.L. Gore &amp; Assocs., v. Garlock, Inc.</w:instrText>
      </w:r>
      <w:r w:rsidRPr="00F54CA2">
        <w:instrText>, 721 F.2d 1540, 1551-53 (Fed. Cir. 1983)</w:instrText>
      </w:r>
      <w:r>
        <w:instrText xml:space="preserve">" \s "W.L. Gore &amp; Assocs., v. Garlock, Inc., 721 F.2d 1540, 1551-53 (Fed. Cir. 1983)" \c 1 </w:instrText>
      </w:r>
      <w:r>
        <w:fldChar w:fldCharType="end"/>
      </w:r>
      <w:r w:rsidRPr="004120DD">
        <w:t>.</w:t>
      </w:r>
    </w:p>
    <w:p w:rsidR="00F96657" w:rsidRPr="004120DD" w:rsidRDefault="00F96657" w:rsidP="00F96657">
      <w:pPr>
        <w:pStyle w:val="BlockText"/>
        <w:tabs>
          <w:tab w:val="left" w:pos="720"/>
          <w:tab w:val="left" w:pos="1440"/>
        </w:tabs>
        <w:ind w:left="0" w:right="0" w:firstLine="0"/>
      </w:pPr>
    </w:p>
    <w:p w:rsidR="00F96657" w:rsidRDefault="00F96657" w:rsidP="00F96657">
      <w:pPr>
        <w:pStyle w:val="BlockText"/>
        <w:tabs>
          <w:tab w:val="left" w:pos="720"/>
          <w:tab w:val="left" w:pos="1440"/>
        </w:tabs>
        <w:ind w:left="0" w:right="0" w:firstLine="0"/>
        <w:jc w:val="left"/>
      </w:pPr>
      <w:r w:rsidRPr="004120DD">
        <w:t xml:space="preserve">Moreover, the Supreme Court has held that one must consider so-called “secondary considerations” to help inform an obviousness analysis.  </w:t>
      </w:r>
      <w:r w:rsidRPr="00655780">
        <w:rPr>
          <w:i/>
        </w:rPr>
        <w:t>KSR</w:t>
      </w:r>
      <w:r w:rsidRPr="004120DD">
        <w:t xml:space="preserve">; </w:t>
      </w:r>
      <w:r w:rsidR="00B42EF0">
        <w:rPr>
          <w:i/>
        </w:rPr>
        <w:t>Graham v. John Deere Co.</w:t>
      </w:r>
      <w:r w:rsidRPr="004120DD">
        <w:t xml:space="preserve">, 383 U.S. 1, 148 </w:t>
      </w:r>
      <w:r>
        <w:t>U.S.P.Q.</w:t>
      </w:r>
      <w:r w:rsidRPr="004120DD">
        <w:t xml:space="preserve"> 459 (1966)</w:t>
      </w:r>
      <w:r>
        <w:fldChar w:fldCharType="begin"/>
      </w:r>
      <w:r>
        <w:instrText xml:space="preserve"> TA \l "</w:instrText>
      </w:r>
      <w:r w:rsidRPr="00F54CA2">
        <w:rPr>
          <w:u w:val="single"/>
        </w:rPr>
        <w:instrText>Graham v. John Deere Co.</w:instrText>
      </w:r>
      <w:r w:rsidRPr="00F54CA2">
        <w:instrText xml:space="preserve">, 383 U.S. 1, 148 </w:instrText>
      </w:r>
      <w:r>
        <w:instrText>U.S.P.Q.</w:instrText>
      </w:r>
      <w:r w:rsidRPr="00F54CA2">
        <w:instrText xml:space="preserve"> 459 (1966)</w:instrText>
      </w:r>
      <w:r>
        <w:instrText xml:space="preserve">" \s "Graham v. John Deere Co., 383 U.S. 1, 148 U.S.P.Q. 459 (1966)" \c 1 </w:instrText>
      </w:r>
      <w:r>
        <w:fldChar w:fldCharType="end"/>
      </w:r>
      <w:r w:rsidRPr="004120DD">
        <w:t xml:space="preserve">.  Such secondary considerations include:  commercial success, long felt but unsolved needs, failure of others.  </w:t>
      </w:r>
      <w:r w:rsidRPr="00B42EF0">
        <w:rPr>
          <w:i/>
        </w:rPr>
        <w:t>Id.</w:t>
      </w:r>
      <w:r w:rsidRPr="00B42EF0">
        <w:rPr>
          <w:i/>
        </w:rPr>
        <w:fldChar w:fldCharType="begin"/>
      </w:r>
      <w:r w:rsidRPr="00B42EF0">
        <w:rPr>
          <w:i/>
        </w:rPr>
        <w:instrText xml:space="preserve"> TA \s "Graham et al. v. John Deere Co., 148 U.S.P.Q. 459, 467 (U.S. 1966)" </w:instrText>
      </w:r>
      <w:r w:rsidRPr="00B42EF0">
        <w:rPr>
          <w:i/>
        </w:rPr>
        <w:fldChar w:fldCharType="end"/>
      </w:r>
      <w:r w:rsidRPr="00B42EF0">
        <w:rPr>
          <w:i/>
        </w:rPr>
        <w:t xml:space="preserve">  </w:t>
      </w:r>
      <w:r w:rsidRPr="004120DD">
        <w:t xml:space="preserve">They also include “teaching away”, </w:t>
      </w:r>
      <w:r w:rsidRPr="00655780">
        <w:rPr>
          <w:i/>
        </w:rPr>
        <w:t>In re Sullivan</w:t>
      </w:r>
      <w:r w:rsidRPr="002D046A">
        <w:t>, 498 F.3d 1345</w:t>
      </w:r>
      <w:r>
        <w:fldChar w:fldCharType="begin"/>
      </w:r>
      <w:r>
        <w:instrText xml:space="preserve"> TA \l "</w:instrText>
      </w:r>
      <w:r w:rsidRPr="00F54CA2">
        <w:rPr>
          <w:u w:val="single"/>
        </w:rPr>
        <w:instrText>In re Sullivan</w:instrText>
      </w:r>
      <w:r w:rsidRPr="00F54CA2">
        <w:instrText>, 498 F.3d 1345</w:instrText>
      </w:r>
      <w:r>
        <w:instrText xml:space="preserve">" \s "In re Sullivan, 498 F.3d 1345" \c 1 </w:instrText>
      </w:r>
      <w:r>
        <w:fldChar w:fldCharType="end"/>
      </w:r>
      <w:r w:rsidRPr="004120DD">
        <w:t xml:space="preserve">, widespread adoption, or recognition of the patentee’s work, </w:t>
      </w:r>
      <w:r w:rsidRPr="00655780">
        <w:rPr>
          <w:i/>
        </w:rPr>
        <w:t>PharmaStem Therapeutics Inc. v. ViaCell Inc</w:t>
      </w:r>
      <w:r w:rsidRPr="004120DD">
        <w:t xml:space="preserve">., 491 F.3d 1342, 83 </w:t>
      </w:r>
      <w:r>
        <w:t>U.S.P.Q.</w:t>
      </w:r>
      <w:r w:rsidRPr="004120DD">
        <w:t>2d 1289</w:t>
      </w:r>
      <w:r>
        <w:fldChar w:fldCharType="begin"/>
      </w:r>
      <w:r>
        <w:instrText xml:space="preserve"> TA \l "</w:instrText>
      </w:r>
      <w:r w:rsidRPr="00F54CA2">
        <w:rPr>
          <w:u w:val="single"/>
        </w:rPr>
        <w:instrText>PharmaStem Therapeutics Inc. v. ViaCell Inc</w:instrText>
      </w:r>
      <w:r w:rsidRPr="00F54CA2">
        <w:instrText xml:space="preserve">., 491 F.3d 1342, 83 </w:instrText>
      </w:r>
      <w:r>
        <w:instrText>U.S.P.Q.</w:instrText>
      </w:r>
      <w:r w:rsidRPr="00F54CA2">
        <w:instrText>2d 1289</w:instrText>
      </w:r>
      <w:r>
        <w:instrText xml:space="preserve">" \s "PharmaStem Therapeutics Inc. v. ViaCell Inc., 491 F.3d 1342, 83 U.S.P.Q.2d 1289" \c 1 </w:instrText>
      </w:r>
      <w:r>
        <w:fldChar w:fldCharType="end"/>
      </w:r>
      <w:r w:rsidRPr="004120DD">
        <w:t xml:space="preserve">, and contemporaneous invention, </w:t>
      </w:r>
      <w:r w:rsidRPr="00B42EF0">
        <w:rPr>
          <w:i/>
        </w:rPr>
        <w:t>Monarch Knitting Mach. Corp. v. Sulzer Morat GmbH</w:t>
      </w:r>
      <w:r w:rsidRPr="004120DD">
        <w:t xml:space="preserve">, 139 F.3d 877, 45 </w:t>
      </w:r>
      <w:r>
        <w:t>U.S.P.Q.</w:t>
      </w:r>
      <w:r w:rsidRPr="004120DD">
        <w:t>2d 1977, 1983 (Fed. Cir. 1998)</w:t>
      </w:r>
      <w:r>
        <w:fldChar w:fldCharType="begin"/>
      </w:r>
      <w:r>
        <w:instrText xml:space="preserve"> TA \l "</w:instrText>
      </w:r>
      <w:r w:rsidRPr="00F54CA2">
        <w:rPr>
          <w:u w:val="single"/>
        </w:rPr>
        <w:instrText xml:space="preserve">Monarch Knitting </w:instrText>
      </w:r>
      <w:r>
        <w:rPr>
          <w:u w:val="single"/>
        </w:rPr>
        <w:instrText>Mach.</w:instrText>
      </w:r>
      <w:r w:rsidRPr="00F54CA2">
        <w:rPr>
          <w:u w:val="single"/>
        </w:rPr>
        <w:instrText xml:space="preserve"> Corp. v. Sulzer Morat GmbH</w:instrText>
      </w:r>
      <w:r w:rsidRPr="00F54CA2">
        <w:instrText xml:space="preserve">, 139 F.3d 877, 45 </w:instrText>
      </w:r>
      <w:r>
        <w:instrText>U.S.P.Q.</w:instrText>
      </w:r>
      <w:r w:rsidRPr="00F54CA2">
        <w:instrText>2d 1977, 1983 (Fed. Cir. 1998)</w:instrText>
      </w:r>
      <w:r>
        <w:instrText xml:space="preserve">" \s "Monarch Knitting Mach. Corp. v. Sulzer Morat GmbH, 139 F.3d 877, 45 U.S.P.Q.2d 1977, 1983 (Fed. Cir. 1998)" \c 1 </w:instrText>
      </w:r>
      <w:r>
        <w:fldChar w:fldCharType="end"/>
      </w:r>
      <w:r w:rsidRPr="004120DD">
        <w:t>.  The list of secondary considerations is not closed; any kind of circumstantial evidence (or “objective considerations”) that suggests whether an invention was obvious should be considered as part of an obviousness analysis</w:t>
      </w:r>
      <w:r>
        <w:t>.</w:t>
      </w:r>
    </w:p>
    <w:p w:rsidR="00F96657" w:rsidRPr="004120DD" w:rsidRDefault="00F96657" w:rsidP="00F96657">
      <w:pPr>
        <w:pStyle w:val="BlockText"/>
        <w:tabs>
          <w:tab w:val="left" w:pos="720"/>
          <w:tab w:val="left" w:pos="1440"/>
        </w:tabs>
        <w:ind w:left="0" w:right="0" w:firstLine="0"/>
        <w:jc w:val="left"/>
      </w:pPr>
    </w:p>
    <w:p w:rsidR="00F96657" w:rsidRPr="00640558" w:rsidRDefault="00F96657" w:rsidP="00F96657">
      <w:pPr>
        <w:pStyle w:val="BlockText"/>
        <w:tabs>
          <w:tab w:val="left" w:pos="720"/>
          <w:tab w:val="left" w:pos="1440"/>
        </w:tabs>
        <w:ind w:left="0" w:right="0" w:firstLine="0"/>
        <w:jc w:val="left"/>
      </w:pPr>
      <w:r w:rsidRPr="004120DD">
        <w:t xml:space="preserve">A factor that is often at issue is “commercial success.”  In order to establish non-obviousness through commercial success, it must be shown both that (1) the commercial product is a financial success, and (2) there is a causal nexus between the claimed invention and the commercial success i.e., the commercial success </w:t>
      </w:r>
      <w:r w:rsidRPr="00640558">
        <w:t xml:space="preserve">was due to the claimed features.  </w:t>
      </w:r>
      <w:r w:rsidRPr="00655780">
        <w:rPr>
          <w:i/>
        </w:rPr>
        <w:t>Ormco Corp. v. Align Tech. Inc</w:t>
      </w:r>
      <w:r w:rsidRPr="00640558">
        <w:t>., 463 F.3d 1299, 79 U.S.P.Q.2d 1931 (Fed. Cir. 2006)</w:t>
      </w:r>
      <w:r w:rsidRPr="00640558">
        <w:fldChar w:fldCharType="begin"/>
      </w:r>
      <w:r w:rsidRPr="00640558">
        <w:instrText xml:space="preserve"> TA \l "</w:instrText>
      </w:r>
      <w:r w:rsidRPr="00640558">
        <w:rPr>
          <w:u w:val="single"/>
        </w:rPr>
        <w:instrText>Ormco Corp. v. Align Tech. Inc</w:instrText>
      </w:r>
      <w:r w:rsidRPr="00640558">
        <w:instrText xml:space="preserve">., 463 F.3d 1299, 79 U.S.P.Q.2d 1931 (Fed. Cir. 2006)" \s "Ormco Corp. v. Align Tech. Inc., 463 F.3d 1299, 79 U.S.P.Q.2d 1931 (Fed. Cir. 2006)" \c 1 </w:instrText>
      </w:r>
      <w:r w:rsidRPr="00640558">
        <w:fldChar w:fldCharType="end"/>
      </w:r>
      <w:r w:rsidRPr="00640558">
        <w:t>.</w:t>
      </w:r>
    </w:p>
    <w:p w:rsidR="00F96657" w:rsidRPr="00640558" w:rsidRDefault="00F96657" w:rsidP="00F96657">
      <w:pPr>
        <w:pStyle w:val="BlockText"/>
        <w:tabs>
          <w:tab w:val="left" w:pos="720"/>
          <w:tab w:val="left" w:pos="1440"/>
        </w:tabs>
        <w:ind w:left="0" w:right="0" w:firstLine="0"/>
        <w:jc w:val="left"/>
      </w:pPr>
    </w:p>
    <w:p w:rsidR="00007B9E" w:rsidRPr="00640558" w:rsidRDefault="00922CC2" w:rsidP="00007B9E">
      <w:pPr>
        <w:jc w:val="both"/>
        <w:rPr>
          <w:szCs w:val="24"/>
        </w:rPr>
      </w:pPr>
      <w:r>
        <w:rPr>
          <w:szCs w:val="24"/>
        </w:rPr>
        <w:t>The Supreme Court has given legal principles from its decision in</w:t>
      </w:r>
      <w:r w:rsidR="00007B9E" w:rsidRPr="00640558">
        <w:rPr>
          <w:szCs w:val="24"/>
        </w:rPr>
        <w:t xml:space="preserve"> </w:t>
      </w:r>
      <w:r w:rsidR="00007B9E" w:rsidRPr="00640558">
        <w:rPr>
          <w:i/>
          <w:szCs w:val="24"/>
        </w:rPr>
        <w:t>KSR v. Teleflex</w:t>
      </w:r>
      <w:r w:rsidR="00007B9E" w:rsidRPr="00640558">
        <w:rPr>
          <w:szCs w:val="24"/>
        </w:rPr>
        <w:t xml:space="preserve"> </w:t>
      </w:r>
      <w:r>
        <w:rPr>
          <w:szCs w:val="24"/>
        </w:rPr>
        <w:t>to guide an obviousness determination</w:t>
      </w:r>
      <w:r w:rsidR="00007B9E" w:rsidRPr="00640558">
        <w:rPr>
          <w:szCs w:val="24"/>
        </w:rPr>
        <w:t>:</w:t>
      </w:r>
    </w:p>
    <w:p w:rsidR="00007B9E" w:rsidRPr="00640558" w:rsidRDefault="00007B9E" w:rsidP="00007B9E">
      <w:pPr>
        <w:jc w:val="both"/>
        <w:rPr>
          <w:szCs w:val="24"/>
        </w:rPr>
      </w:pPr>
    </w:p>
    <w:p w:rsidR="00007B9E" w:rsidRPr="00640558" w:rsidRDefault="00007B9E" w:rsidP="00007B9E">
      <w:pPr>
        <w:pStyle w:val="bodytext0"/>
        <w:numPr>
          <w:ilvl w:val="0"/>
          <w:numId w:val="2"/>
        </w:numPr>
      </w:pPr>
      <w:r w:rsidRPr="00640558">
        <w:t>Section 103 forbids issuance of a patent when “the differences between the subject matter sought to be patented and the prior art are such that the subject matter as a whole would have been obvious at the time the invention was made to a person having ordinary skill in the art to which said subject matter pertains.”</w:t>
      </w:r>
    </w:p>
    <w:p w:rsidR="00007B9E" w:rsidRPr="00640558" w:rsidRDefault="00007B9E" w:rsidP="00007B9E">
      <w:pPr>
        <w:ind w:left="720"/>
        <w:jc w:val="both"/>
        <w:rPr>
          <w:szCs w:val="24"/>
        </w:rPr>
      </w:pPr>
    </w:p>
    <w:p w:rsidR="00007B9E" w:rsidRPr="00640558" w:rsidRDefault="00007B9E" w:rsidP="00007B9E">
      <w:pPr>
        <w:numPr>
          <w:ilvl w:val="0"/>
          <w:numId w:val="2"/>
        </w:numPr>
        <w:jc w:val="both"/>
      </w:pPr>
      <w:r w:rsidRPr="00640558">
        <w:t xml:space="preserve">The combination of familiar elements according to known methods is likely to be obvious when it </w:t>
      </w:r>
      <w:r w:rsidRPr="00640558">
        <w:rPr>
          <w:u w:val="single"/>
        </w:rPr>
        <w:t>does no more than yield predictable results</w:t>
      </w:r>
      <w:r w:rsidRPr="00640558">
        <w:t>.</w:t>
      </w:r>
    </w:p>
    <w:p w:rsidR="00007B9E" w:rsidRPr="00640558" w:rsidRDefault="00007B9E" w:rsidP="00007B9E">
      <w:pPr>
        <w:ind w:left="720"/>
        <w:jc w:val="both"/>
      </w:pPr>
    </w:p>
    <w:p w:rsidR="00007B9E" w:rsidRPr="00640558" w:rsidRDefault="00007B9E" w:rsidP="00007B9E">
      <w:pPr>
        <w:numPr>
          <w:ilvl w:val="0"/>
          <w:numId w:val="2"/>
        </w:numPr>
        <w:jc w:val="both"/>
      </w:pPr>
      <w:r w:rsidRPr="00640558">
        <w:t xml:space="preserve">In </w:t>
      </w:r>
      <w:r w:rsidRPr="00640558">
        <w:rPr>
          <w:i/>
          <w:iCs/>
        </w:rPr>
        <w:t>Anderson’s-Black Rock, Inc.</w:t>
      </w:r>
      <w:r w:rsidRPr="00640558">
        <w:t xml:space="preserve"> v. </w:t>
      </w:r>
      <w:r w:rsidRPr="00640558">
        <w:rPr>
          <w:i/>
          <w:iCs/>
        </w:rPr>
        <w:t>Pavement Salvage Co.</w:t>
      </w:r>
      <w:r w:rsidRPr="00640558">
        <w:t xml:space="preserve">, 396 U. S. 57 (1969) … the subject matter of the patent before the Court was a device combining two pre-existing elements: a radiant-heat burner and a paving machine. The device, the Court concluded, did not create some new synergy: The radiant-heat burner functioned just as a burner was expected to function; and the paving machine did the same. </w:t>
      </w:r>
      <w:r w:rsidRPr="00640558">
        <w:rPr>
          <w:u w:val="single"/>
        </w:rPr>
        <w:t>The two in combination did no more than they would in separate, sequential operation</w:t>
      </w:r>
      <w:r w:rsidRPr="00640558">
        <w:t xml:space="preserve">. </w:t>
      </w:r>
      <w:smartTag w:uri="urn:schemas-microsoft-com:office:smarttags" w:element="State">
        <w:smartTag w:uri="urn:schemas-microsoft-com:office:smarttags" w:element="place">
          <w:r w:rsidRPr="00640558">
            <w:rPr>
              <w:i/>
              <w:iCs/>
            </w:rPr>
            <w:t>Id.</w:t>
          </w:r>
        </w:smartTag>
      </w:smartTag>
      <w:r w:rsidRPr="00640558">
        <w:t>, at 60–62. In those circumstances, “while the combination of old elements performed a useful function, it added nothing to the nature and quality of the radiant-heat burner already patented,” and the patent failed under §103.</w:t>
      </w:r>
    </w:p>
    <w:p w:rsidR="00007B9E" w:rsidRPr="00640558" w:rsidRDefault="00007B9E" w:rsidP="00007B9E">
      <w:pPr>
        <w:ind w:left="1080"/>
        <w:jc w:val="both"/>
      </w:pPr>
    </w:p>
    <w:p w:rsidR="00007B9E" w:rsidRPr="00640558" w:rsidRDefault="00007B9E" w:rsidP="00007B9E">
      <w:pPr>
        <w:numPr>
          <w:ilvl w:val="0"/>
          <w:numId w:val="2"/>
        </w:numPr>
        <w:jc w:val="both"/>
      </w:pPr>
      <w:r w:rsidRPr="00640558">
        <w:t xml:space="preserve">If a technique has been used to improve one device, and a person of ordinary skill in the art would recognize that </w:t>
      </w:r>
      <w:r w:rsidRPr="00640558">
        <w:rPr>
          <w:u w:val="single"/>
        </w:rPr>
        <w:t>it would improve similar devices in the same way</w:t>
      </w:r>
      <w:r w:rsidRPr="00640558">
        <w:t xml:space="preserve">, using the technique is obvious unless its actual application is beyond his or her skill.  </w:t>
      </w:r>
    </w:p>
    <w:p w:rsidR="00007B9E" w:rsidRPr="00640558" w:rsidRDefault="00007B9E" w:rsidP="00007B9E">
      <w:pPr>
        <w:ind w:left="1080"/>
        <w:jc w:val="both"/>
      </w:pPr>
    </w:p>
    <w:p w:rsidR="00007B9E" w:rsidRPr="00640558" w:rsidRDefault="00007B9E" w:rsidP="00007B9E">
      <w:pPr>
        <w:numPr>
          <w:ilvl w:val="0"/>
          <w:numId w:val="2"/>
        </w:numPr>
        <w:jc w:val="both"/>
      </w:pPr>
      <w:r w:rsidRPr="00640558">
        <w:t xml:space="preserve">If the claim extends to what is obvious, it is invalid under §103.  One of the ways in which a patent’s subject matter can be proved obvious is by noting that there existed at the time of invention a </w:t>
      </w:r>
      <w:r w:rsidRPr="00640558">
        <w:rPr>
          <w:u w:val="single"/>
        </w:rPr>
        <w:t>known problem for which there was an obvious solution encompassed by the patent’s claims</w:t>
      </w:r>
      <w:r w:rsidRPr="00640558">
        <w:t xml:space="preserve">.  </w:t>
      </w:r>
    </w:p>
    <w:p w:rsidR="00007B9E" w:rsidRPr="00640558" w:rsidRDefault="00007B9E" w:rsidP="00007B9E">
      <w:pPr>
        <w:ind w:left="720"/>
        <w:jc w:val="both"/>
      </w:pPr>
    </w:p>
    <w:p w:rsidR="00007B9E" w:rsidRPr="00640558" w:rsidRDefault="00007B9E" w:rsidP="00007B9E">
      <w:pPr>
        <w:numPr>
          <w:ilvl w:val="0"/>
          <w:numId w:val="2"/>
        </w:numPr>
        <w:jc w:val="both"/>
      </w:pPr>
      <w:r w:rsidRPr="00640558">
        <w:t xml:space="preserve">Under the correct analysis, </w:t>
      </w:r>
      <w:r w:rsidRPr="00640558">
        <w:rPr>
          <w:u w:val="single"/>
        </w:rPr>
        <w:t>any need or problem known in the field</w:t>
      </w:r>
      <w:r w:rsidRPr="00640558">
        <w:t xml:space="preserve"> of endeavor at the time of invention and addressed by the patent </w:t>
      </w:r>
      <w:r w:rsidRPr="00640558">
        <w:rPr>
          <w:u w:val="single"/>
        </w:rPr>
        <w:t>can provide a reason for combining the elements</w:t>
      </w:r>
      <w:r w:rsidRPr="00640558">
        <w:t xml:space="preserve"> in the manner claimed.</w:t>
      </w:r>
    </w:p>
    <w:p w:rsidR="00007B9E" w:rsidRPr="00640558" w:rsidRDefault="00007B9E" w:rsidP="00007B9E">
      <w:pPr>
        <w:ind w:left="720"/>
        <w:jc w:val="both"/>
      </w:pPr>
    </w:p>
    <w:p w:rsidR="00007B9E" w:rsidRPr="00640558" w:rsidRDefault="00007B9E" w:rsidP="00007B9E">
      <w:pPr>
        <w:numPr>
          <w:ilvl w:val="0"/>
          <w:numId w:val="2"/>
        </w:numPr>
        <w:jc w:val="both"/>
      </w:pPr>
      <w:r w:rsidRPr="00640558">
        <w:t xml:space="preserve">When there is a design need or market pressure to solve a problem and there are a finite number of identified, </w:t>
      </w:r>
      <w:r w:rsidRPr="00640558">
        <w:rPr>
          <w:u w:val="single"/>
        </w:rPr>
        <w:t>predictable solutions</w:t>
      </w:r>
      <w:r w:rsidRPr="00640558">
        <w:t xml:space="preserve">, a person of ordinary skill has good reason to pursue the known options within his or her technical grasp. If this leads to the anticipated success, it is likely the product not of innovation but of ordinary skill and </w:t>
      </w:r>
      <w:r w:rsidRPr="00640558">
        <w:rPr>
          <w:u w:val="single"/>
        </w:rPr>
        <w:t>common sense</w:t>
      </w:r>
      <w:r w:rsidRPr="00640558">
        <w:t xml:space="preserve">. In that instance the fact that a combination was </w:t>
      </w:r>
      <w:r w:rsidRPr="00640558">
        <w:rPr>
          <w:u w:val="single"/>
        </w:rPr>
        <w:t>obvious to try</w:t>
      </w:r>
      <w:r w:rsidRPr="00640558">
        <w:t xml:space="preserve"> might show that it was obvious under §103.</w:t>
      </w:r>
    </w:p>
    <w:p w:rsidR="00007B9E" w:rsidRPr="00922CC2" w:rsidRDefault="00007B9E" w:rsidP="00007B9E">
      <w:pPr>
        <w:ind w:left="720"/>
        <w:jc w:val="both"/>
      </w:pPr>
    </w:p>
    <w:p w:rsidR="00007B9E" w:rsidRPr="00922CC2" w:rsidRDefault="00007B9E" w:rsidP="00007B9E">
      <w:pPr>
        <w:numPr>
          <w:ilvl w:val="0"/>
          <w:numId w:val="2"/>
        </w:numPr>
        <w:jc w:val="both"/>
      </w:pPr>
      <w:r w:rsidRPr="00922CC2">
        <w:t xml:space="preserve">Rigid preventative rules that deny factfinders recourse to </w:t>
      </w:r>
      <w:r w:rsidRPr="00922CC2">
        <w:rPr>
          <w:u w:val="single"/>
        </w:rPr>
        <w:t>common sense</w:t>
      </w:r>
      <w:r w:rsidRPr="00922CC2">
        <w:t>, however, are neither necessary under our case law nor consistent with it.</w:t>
      </w:r>
    </w:p>
    <w:p w:rsidR="00007B9E" w:rsidRPr="00922CC2" w:rsidRDefault="00007B9E" w:rsidP="00007B9E">
      <w:pPr>
        <w:jc w:val="both"/>
      </w:pPr>
    </w:p>
    <w:p w:rsidR="00007B9E" w:rsidRPr="00922CC2" w:rsidRDefault="00007B9E" w:rsidP="00007B9E">
      <w:pPr>
        <w:pStyle w:val="BlockText"/>
        <w:tabs>
          <w:tab w:val="left" w:pos="720"/>
          <w:tab w:val="left" w:pos="1440"/>
        </w:tabs>
        <w:ind w:left="0" w:right="0" w:firstLine="0"/>
        <w:jc w:val="left"/>
      </w:pPr>
      <w:r w:rsidRPr="00922CC2">
        <w:rPr>
          <w:i/>
        </w:rPr>
        <w:t>KSR</w:t>
      </w:r>
      <w:r w:rsidRPr="00922CC2">
        <w:t xml:space="preserve"> (underlining added).  </w:t>
      </w:r>
    </w:p>
    <w:p w:rsidR="00922CC2" w:rsidRPr="00922CC2" w:rsidRDefault="00922CC2" w:rsidP="00007B9E">
      <w:pPr>
        <w:pStyle w:val="BlockText"/>
        <w:tabs>
          <w:tab w:val="left" w:pos="720"/>
          <w:tab w:val="left" w:pos="1440"/>
        </w:tabs>
        <w:ind w:left="0" w:right="0" w:firstLine="0"/>
        <w:jc w:val="left"/>
      </w:pPr>
    </w:p>
    <w:p w:rsidR="00007B9E" w:rsidRPr="00922CC2" w:rsidRDefault="00922CC2" w:rsidP="00007B9E">
      <w:pPr>
        <w:jc w:val="both"/>
        <w:rPr>
          <w:szCs w:val="24"/>
        </w:rPr>
      </w:pPr>
      <w:r w:rsidRPr="00922CC2">
        <w:rPr>
          <w:szCs w:val="24"/>
        </w:rPr>
        <w:t>I</w:t>
      </w:r>
      <w:r w:rsidR="00007B9E" w:rsidRPr="00922CC2">
        <w:rPr>
          <w:szCs w:val="24"/>
        </w:rPr>
        <w:t xml:space="preserve">t bears noting that, in 2011, the U.S. Supreme Court revisited the question of patent invalidity and reaffirmed that invalidity must be proven by a </w:t>
      </w:r>
      <w:r w:rsidR="00007B9E" w:rsidRPr="00655780">
        <w:rPr>
          <w:szCs w:val="24"/>
        </w:rPr>
        <w:t xml:space="preserve">challenger by “clear and convincing evidence” on factual questions.  </w:t>
      </w:r>
      <w:r w:rsidR="00C81CC7" w:rsidRPr="00655780">
        <w:rPr>
          <w:i/>
          <w:szCs w:val="24"/>
        </w:rPr>
        <w:t>Microsoft Corp. v. i4i Ltd. P'ship</w:t>
      </w:r>
      <w:r w:rsidR="00655780" w:rsidRPr="00655780">
        <w:rPr>
          <w:szCs w:val="24"/>
        </w:rPr>
        <w:t xml:space="preserve">, 131 S. Ct. 2238, 2242 </w:t>
      </w:r>
      <w:r w:rsidR="00C81CC7" w:rsidRPr="00655780">
        <w:rPr>
          <w:szCs w:val="24"/>
        </w:rPr>
        <w:t>(U.S. 2011)</w:t>
      </w:r>
      <w:r w:rsidR="00007B9E" w:rsidRPr="00655780">
        <w:rPr>
          <w:szCs w:val="24"/>
        </w:rPr>
        <w:t>.  This is higher than a normal litigation burden of proof of</w:t>
      </w:r>
      <w:r w:rsidR="00007B9E" w:rsidRPr="00C81CC7">
        <w:rPr>
          <w:szCs w:val="24"/>
        </w:rPr>
        <w:t xml:space="preserve"> “a preponderance</w:t>
      </w:r>
      <w:r w:rsidR="00007B9E" w:rsidRPr="00922CC2">
        <w:rPr>
          <w:szCs w:val="24"/>
        </w:rPr>
        <w:t xml:space="preserve"> of the evidence”.  However, it is important not to read </w:t>
      </w:r>
      <w:r w:rsidR="00C81CC7" w:rsidRPr="00655780">
        <w:rPr>
          <w:i/>
          <w:szCs w:val="24"/>
        </w:rPr>
        <w:t>Microsoft Corp. v. i4i Ltd. P'ship</w:t>
      </w:r>
      <w:r w:rsidR="00C81CC7" w:rsidRPr="00922CC2">
        <w:rPr>
          <w:szCs w:val="24"/>
        </w:rPr>
        <w:t xml:space="preserve"> </w:t>
      </w:r>
      <w:r w:rsidR="00007B9E" w:rsidRPr="00922CC2">
        <w:rPr>
          <w:szCs w:val="24"/>
        </w:rPr>
        <w:t>too far.  Specifically, “ob</w:t>
      </w:r>
      <w:r w:rsidR="00B42EF0">
        <w:rPr>
          <w:szCs w:val="24"/>
        </w:rPr>
        <w:t>viousness”  is a legal question—</w:t>
      </w:r>
      <w:r w:rsidR="00007B9E" w:rsidRPr="00922CC2">
        <w:rPr>
          <w:szCs w:val="24"/>
        </w:rPr>
        <w:t>not a factual question, albeit based on several subordinate factual questions.</w:t>
      </w:r>
      <w:r w:rsidR="00007B9E" w:rsidRPr="00922CC2">
        <w:rPr>
          <w:rStyle w:val="FootnoteReference"/>
          <w:szCs w:val="24"/>
        </w:rPr>
        <w:footnoteReference w:id="2"/>
      </w:r>
      <w:r w:rsidR="00007B9E" w:rsidRPr="00922CC2">
        <w:rPr>
          <w:szCs w:val="24"/>
        </w:rPr>
        <w:t xml:space="preserve">  As the concurring opinion in </w:t>
      </w:r>
      <w:r w:rsidR="00C81CC7" w:rsidRPr="00655780">
        <w:rPr>
          <w:szCs w:val="24"/>
        </w:rPr>
        <w:t>Microsoft Corp. v. i4i Ltd. P'ship</w:t>
      </w:r>
      <w:r w:rsidR="00C81CC7" w:rsidRPr="00922CC2">
        <w:rPr>
          <w:szCs w:val="24"/>
        </w:rPr>
        <w:t xml:space="preserve"> </w:t>
      </w:r>
      <w:r w:rsidR="00007B9E" w:rsidRPr="00922CC2">
        <w:rPr>
          <w:szCs w:val="24"/>
        </w:rPr>
        <w:t xml:space="preserve">points out, the "clear and convincing" evidentiary standard only applies to genuinely disputed factual issues, not to the </w:t>
      </w:r>
      <w:r w:rsidR="00007B9E" w:rsidRPr="00922CC2">
        <w:rPr>
          <w:i/>
          <w:szCs w:val="24"/>
        </w:rPr>
        <w:t>legal</w:t>
      </w:r>
      <w:r w:rsidR="00007B9E" w:rsidRPr="00922CC2">
        <w:rPr>
          <w:szCs w:val="24"/>
        </w:rPr>
        <w:t xml:space="preserve"> determination of obviousness.  "Many claims of invalidity rest, however, not upon factual disputes, but upon how the law applies to facts as given. Do the given facts show … that it was “non-obvious”? §§102, 103. …Where the ultimate question of patent validity turns on the correct answer to legal questions—what these subsidiary legal standards mean or how they apply to the facts as given—today’s strict standard of proof has no application."  </w:t>
      </w:r>
      <w:smartTag w:uri="urn:schemas-microsoft-com:office:smarttags" w:element="place">
        <w:smartTag w:uri="urn:schemas-microsoft-com:office:smarttags" w:element="State">
          <w:r w:rsidR="00007B9E" w:rsidRPr="00922CC2">
            <w:rPr>
              <w:i/>
              <w:szCs w:val="24"/>
            </w:rPr>
            <w:t>Id</w:t>
          </w:r>
          <w:r w:rsidR="00007B9E" w:rsidRPr="00922CC2">
            <w:rPr>
              <w:szCs w:val="24"/>
            </w:rPr>
            <w:t>.</w:t>
          </w:r>
        </w:smartTag>
      </w:smartTag>
      <w:r w:rsidR="00007B9E" w:rsidRPr="00922CC2">
        <w:rPr>
          <w:szCs w:val="24"/>
        </w:rPr>
        <w:t xml:space="preserve">     </w:t>
      </w:r>
    </w:p>
    <w:p w:rsidR="00007B9E" w:rsidRDefault="00007B9E" w:rsidP="00F96657">
      <w:pPr>
        <w:pStyle w:val="BlockText"/>
        <w:tabs>
          <w:tab w:val="left" w:pos="720"/>
          <w:tab w:val="left" w:pos="1440"/>
        </w:tabs>
        <w:ind w:left="0" w:right="0" w:firstLine="0"/>
        <w:jc w:val="left"/>
      </w:pPr>
    </w:p>
    <w:p w:rsidR="00007B9E" w:rsidRPr="004120DD" w:rsidRDefault="00007B9E" w:rsidP="00F96657">
      <w:pPr>
        <w:pStyle w:val="BlockText"/>
        <w:tabs>
          <w:tab w:val="left" w:pos="720"/>
          <w:tab w:val="left" w:pos="1440"/>
        </w:tabs>
        <w:ind w:left="0" w:right="0" w:firstLine="0"/>
        <w:jc w:val="left"/>
      </w:pPr>
    </w:p>
    <w:p w:rsidR="00F96657" w:rsidRPr="004120DD" w:rsidRDefault="00F96657" w:rsidP="00F96657">
      <w:pPr>
        <w:pStyle w:val="Heading2"/>
        <w:rPr>
          <w:rFonts w:ascii="Times New Roman" w:hAnsi="Times New Roman"/>
        </w:rPr>
      </w:pPr>
      <w:bookmarkStart w:id="73" w:name="_Toc289408126"/>
      <w:bookmarkStart w:id="74" w:name="_Toc289409412"/>
      <w:bookmarkStart w:id="75" w:name="_Toc289409522"/>
      <w:bookmarkStart w:id="76" w:name="_Toc289409665"/>
      <w:bookmarkStart w:id="77" w:name="_Toc290548387"/>
      <w:bookmarkStart w:id="78" w:name="B6"/>
      <w:r w:rsidRPr="004120DD">
        <w:rPr>
          <w:rFonts w:ascii="Times New Roman" w:hAnsi="Times New Roman"/>
        </w:rPr>
        <w:t>6.</w:t>
      </w:r>
      <w:r w:rsidRPr="004120DD">
        <w:rPr>
          <w:rFonts w:ascii="Times New Roman" w:hAnsi="Times New Roman"/>
        </w:rPr>
        <w:tab/>
        <w:t>Patentee’s Conduct</w:t>
      </w:r>
      <w:bookmarkEnd w:id="73"/>
      <w:bookmarkEnd w:id="74"/>
      <w:bookmarkEnd w:id="75"/>
      <w:bookmarkEnd w:id="76"/>
      <w:bookmarkEnd w:id="77"/>
    </w:p>
    <w:bookmarkEnd w:id="78"/>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Even if a patentee was originally entitled to a given claim, and if the specification adequately supports that claim, it may still be rendered invalid or unenforceable due to the conduct of the patentee.  A patent may be rendered unenforceable due to inequitable conduct before the Patent and Trademark Office during prosecution of the application or through misuse of the patent after issue.</w:t>
      </w:r>
    </w:p>
    <w:p w:rsidR="00F96657" w:rsidRPr="004120DD" w:rsidRDefault="00F96657" w:rsidP="00F96657">
      <w:pPr>
        <w:tabs>
          <w:tab w:val="left" w:pos="720"/>
          <w:tab w:val="left" w:pos="1440"/>
        </w:tabs>
      </w:pPr>
    </w:p>
    <w:p w:rsidR="00F96657" w:rsidRDefault="00F96657" w:rsidP="00F96657">
      <w:pPr>
        <w:pStyle w:val="Heading3"/>
        <w:rPr>
          <w:rFonts w:ascii="Times New Roman" w:hAnsi="Times New Roman"/>
        </w:rPr>
      </w:pPr>
      <w:bookmarkStart w:id="79" w:name="_Toc289408127"/>
      <w:bookmarkStart w:id="80" w:name="_Toc289409413"/>
      <w:bookmarkStart w:id="81" w:name="_Toc289409523"/>
      <w:bookmarkStart w:id="82" w:name="_Toc289409666"/>
      <w:bookmarkStart w:id="83" w:name="_Toc290548388"/>
      <w:bookmarkStart w:id="84" w:name="B6a"/>
      <w:r w:rsidRPr="004120DD">
        <w:rPr>
          <w:rFonts w:ascii="Times New Roman" w:hAnsi="Times New Roman"/>
        </w:rPr>
        <w:t>a.</w:t>
      </w:r>
      <w:r w:rsidRPr="004120DD">
        <w:rPr>
          <w:rFonts w:ascii="Times New Roman" w:hAnsi="Times New Roman"/>
        </w:rPr>
        <w:tab/>
        <w:t>Inequitable Conduct</w:t>
      </w:r>
      <w:bookmarkEnd w:id="79"/>
      <w:bookmarkEnd w:id="80"/>
      <w:bookmarkEnd w:id="81"/>
      <w:bookmarkEnd w:id="82"/>
      <w:bookmarkEnd w:id="83"/>
    </w:p>
    <w:p w:rsidR="00640558" w:rsidRDefault="00640558" w:rsidP="00640558"/>
    <w:p w:rsidR="00640558" w:rsidRPr="00640558" w:rsidRDefault="00640558" w:rsidP="00640558">
      <w:pPr>
        <w:rPr>
          <w:b/>
        </w:rPr>
      </w:pPr>
      <w:r>
        <w:tab/>
      </w:r>
      <w:r>
        <w:tab/>
      </w:r>
      <w:r>
        <w:tab/>
      </w:r>
      <w:r>
        <w:rPr>
          <w:b/>
        </w:rPr>
        <w:t>i. Prior Art</w:t>
      </w:r>
    </w:p>
    <w:bookmarkEnd w:id="84"/>
    <w:p w:rsidR="00F96657" w:rsidRPr="004120DD" w:rsidRDefault="00F96657" w:rsidP="00F96657">
      <w:pPr>
        <w:pStyle w:val="BodyText"/>
        <w:tabs>
          <w:tab w:val="left" w:pos="720"/>
          <w:tab w:val="left" w:pos="1440"/>
        </w:tabs>
        <w:spacing w:after="0"/>
      </w:pPr>
    </w:p>
    <w:p w:rsidR="000321E6" w:rsidRPr="00655780" w:rsidRDefault="007A6085" w:rsidP="00F96657">
      <w:pPr>
        <w:pStyle w:val="BodyText"/>
        <w:tabs>
          <w:tab w:val="left" w:pos="720"/>
          <w:tab w:val="left" w:pos="1440"/>
        </w:tabs>
        <w:spacing w:after="0"/>
      </w:pPr>
      <w:r>
        <w:t xml:space="preserve">“Inequitable conduct is an equitable defense to patent infringement that, if proved, bars enforcement of a patent.”  </w:t>
      </w:r>
      <w:r w:rsidRPr="00655780">
        <w:rPr>
          <w:i/>
        </w:rPr>
        <w:t>Therasense, Inc. v. Becton, Dickinson &amp; Co.</w:t>
      </w:r>
      <w:r>
        <w:t xml:space="preserve">, </w:t>
      </w:r>
      <w:r w:rsidR="00922CC2">
        <w:t xml:space="preserve">649 </w:t>
      </w:r>
      <w:r>
        <w:t>F.3d</w:t>
      </w:r>
      <w:r w:rsidR="00922CC2">
        <w:t xml:space="preserve"> 1276, 1285</w:t>
      </w:r>
      <w:r>
        <w:t xml:space="preserve"> (Fed. Cir. </w:t>
      </w:r>
      <w:r w:rsidRPr="00B311BD">
        <w:t>2011).</w:t>
      </w:r>
      <w:r w:rsidRPr="002D0E2B">
        <w:t xml:space="preserve"> </w:t>
      </w:r>
      <w:r w:rsidR="000321E6" w:rsidRPr="002D0E2B">
        <w:t xml:space="preserve">Raising the defense of inequitable conduct requires the defendant to prove by clear and convincing evidence both intent to deceive </w:t>
      </w:r>
      <w:r w:rsidR="00C24356" w:rsidRPr="002D0E2B">
        <w:t xml:space="preserve">the USPTO </w:t>
      </w:r>
      <w:r w:rsidR="000321E6" w:rsidRPr="002D0E2B">
        <w:t xml:space="preserve">and materiality.  “To prevail on the defense of inequitable conduct, the accused infringer must prove that the applicant misrepresented or omitted material information with the specific intent to deceive the PTO.”  </w:t>
      </w:r>
      <w:r w:rsidR="000321E6" w:rsidRPr="00655780">
        <w:rPr>
          <w:i/>
        </w:rPr>
        <w:t>Id</w:t>
      </w:r>
      <w:r w:rsidR="000321E6" w:rsidRPr="00B311BD">
        <w:t xml:space="preserve">.  If the defendant meets this burden of proof, “the district court must weight the equities to </w:t>
      </w:r>
      <w:r w:rsidR="000321E6">
        <w:t xml:space="preserve">determine whether the applicant’s conduct before the PTO warrants rendering the entire patent unenforceable.”  </w:t>
      </w:r>
      <w:r w:rsidR="000321E6" w:rsidRPr="00655780">
        <w:rPr>
          <w:i/>
        </w:rPr>
        <w:t>Id</w:t>
      </w:r>
      <w:r w:rsidR="00655780">
        <w:t>.</w:t>
      </w:r>
    </w:p>
    <w:p w:rsidR="000321E6" w:rsidRDefault="000321E6" w:rsidP="00F96657">
      <w:pPr>
        <w:pStyle w:val="BodyText"/>
        <w:tabs>
          <w:tab w:val="left" w:pos="720"/>
          <w:tab w:val="left" w:pos="1440"/>
        </w:tabs>
        <w:spacing w:after="0"/>
        <w:rPr>
          <w:u w:val="single"/>
        </w:rPr>
      </w:pPr>
    </w:p>
    <w:p w:rsidR="00794EE8" w:rsidRPr="002D0E2B" w:rsidRDefault="000321E6" w:rsidP="00F96657">
      <w:pPr>
        <w:pStyle w:val="BodyText"/>
        <w:tabs>
          <w:tab w:val="left" w:pos="720"/>
          <w:tab w:val="left" w:pos="1440"/>
        </w:tabs>
        <w:spacing w:after="0"/>
      </w:pPr>
      <w:r>
        <w:t xml:space="preserve">To prove the intent to deceive the PTO, “the accused infringer must prove by clear and convincing evidence that the applicant knew of the reference, knew that it was material, and made a deliberate decision to withhold it.”  </w:t>
      </w:r>
      <w:r w:rsidRPr="00655780">
        <w:rPr>
          <w:i/>
        </w:rPr>
        <w:t>Id</w:t>
      </w:r>
      <w:r w:rsidR="00655780">
        <w:rPr>
          <w:i/>
        </w:rPr>
        <w:t>.</w:t>
      </w:r>
      <w:r w:rsidRPr="002D0E2B">
        <w:t xml:space="preserve">  </w:t>
      </w:r>
      <w:r w:rsidRPr="004120DD">
        <w:t xml:space="preserve">The courts have recognized that “direct” evidence is rarely, if ever, available since few inventors will openly confess an intent to deceive.  </w:t>
      </w:r>
      <w:r>
        <w:t xml:space="preserve">So, the Federal Circuit allows intent to be inferred from indirect and circumstantial evidence, but it must be </w:t>
      </w:r>
      <w:r w:rsidR="00C24356">
        <w:t>“</w:t>
      </w:r>
      <w:r>
        <w:t>the single most reasonable inference able to be drawn from the evidence.</w:t>
      </w:r>
      <w:r w:rsidR="00C24356">
        <w:t>”</w:t>
      </w:r>
      <w:r>
        <w:t xml:space="preserve">  </w:t>
      </w:r>
      <w:r w:rsidR="00794EE8" w:rsidRPr="00655780">
        <w:rPr>
          <w:i/>
        </w:rPr>
        <w:t>Id</w:t>
      </w:r>
      <w:r w:rsidR="00655780">
        <w:rPr>
          <w:i/>
        </w:rPr>
        <w:t>.</w:t>
      </w:r>
      <w:r w:rsidR="00B311BD">
        <w:t xml:space="preserve"> </w:t>
      </w:r>
      <w:r w:rsidR="005E06B8" w:rsidRPr="002D0E2B">
        <w:t xml:space="preserve">(citing </w:t>
      </w:r>
      <w:r w:rsidR="005E06B8" w:rsidRPr="00655780">
        <w:rPr>
          <w:i/>
        </w:rPr>
        <w:t>Star Scientific Inc. v. R.J. Reynolds Tobacco Co.</w:t>
      </w:r>
      <w:r w:rsidR="005E06B8" w:rsidRPr="002D0E2B">
        <w:t>, 537 F.3d 1357, 1366 (Fed. Cir. 2008)).</w:t>
      </w:r>
      <w:r w:rsidR="00794EE8" w:rsidRPr="002D0E2B">
        <w:t xml:space="preserve">  </w:t>
      </w:r>
      <w:r w:rsidR="00C24356" w:rsidRPr="002D0E2B">
        <w:t>“[A]</w:t>
      </w:r>
      <w:r w:rsidR="00794EE8" w:rsidRPr="002D0E2B">
        <w:t xml:space="preserve"> district court may not infer intent solely from materiality,” and “[t]he absence of a good faith explanation for withholding a material reference does not, by itself, prove intent to deceive.”  </w:t>
      </w:r>
      <w:r w:rsidR="00794EE8" w:rsidRPr="00655780">
        <w:rPr>
          <w:i/>
        </w:rPr>
        <w:t>Id</w:t>
      </w:r>
      <w:r w:rsidR="00655780">
        <w:rPr>
          <w:i/>
        </w:rPr>
        <w:t>.</w:t>
      </w:r>
      <w:r w:rsidR="00C24356">
        <w:t xml:space="preserve">  </w:t>
      </w:r>
      <w:r w:rsidR="00B311BD">
        <w:t>Similarly</w:t>
      </w:r>
      <w:r w:rsidR="00C24356">
        <w:t>, “[a] district court should not use a ‘sliding scale,’ where a weak showing of intent may be found sufficient based on a strong showing of materiality, and vice versa.</w:t>
      </w:r>
    </w:p>
    <w:p w:rsidR="00794EE8" w:rsidRDefault="00794EE8" w:rsidP="00F96657">
      <w:pPr>
        <w:pStyle w:val="BodyText"/>
        <w:tabs>
          <w:tab w:val="left" w:pos="720"/>
          <w:tab w:val="left" w:pos="1440"/>
        </w:tabs>
        <w:spacing w:after="0"/>
        <w:rPr>
          <w:u w:val="single"/>
        </w:rPr>
      </w:pPr>
    </w:p>
    <w:p w:rsidR="00794EE8" w:rsidRPr="00794EE8" w:rsidRDefault="000321E6" w:rsidP="00F96657">
      <w:pPr>
        <w:pStyle w:val="BodyText"/>
        <w:tabs>
          <w:tab w:val="left" w:pos="720"/>
          <w:tab w:val="left" w:pos="1440"/>
        </w:tabs>
        <w:spacing w:after="0"/>
      </w:pPr>
      <w:r w:rsidRPr="002D0E2B">
        <w:t>To prove materiality</w:t>
      </w:r>
      <w:r w:rsidR="00794EE8" w:rsidRPr="002D0E2B">
        <w:t xml:space="preserve">, the accused infringer must show by clear and convincing evidence that the USPTO would not have allowed a claim had it been aware of the undisclosed prior art.  Prior art may satisfy this “but-for” materiality requirement “if it would have blocked patent issuance under the PTO’s different evidentiary standards,” even if a district court does not invalidate a claim based on the reference.  </w:t>
      </w:r>
      <w:r w:rsidR="00794EE8" w:rsidRPr="00655780">
        <w:rPr>
          <w:i/>
        </w:rPr>
        <w:t>Id</w:t>
      </w:r>
      <w:r w:rsidR="00655780">
        <w:rPr>
          <w:i/>
        </w:rPr>
        <w:t>.</w:t>
      </w:r>
      <w:r w:rsidR="00794EE8">
        <w:t xml:space="preserve">  In cases of “egregious misconduct” such as filing an unmistakably false affidavit or other “deliberately planned and carefully executed scheme[s]”, the misconduct is material.  </w:t>
      </w:r>
      <w:r w:rsidR="00794EE8" w:rsidRPr="00655780">
        <w:rPr>
          <w:i/>
        </w:rPr>
        <w:t>Id</w:t>
      </w:r>
      <w:r w:rsidR="00655780">
        <w:rPr>
          <w:i/>
        </w:rPr>
        <w:t>.</w:t>
      </w:r>
    </w:p>
    <w:p w:rsidR="00794EE8" w:rsidRDefault="00794EE8" w:rsidP="00F96657">
      <w:pPr>
        <w:pStyle w:val="BodyText"/>
        <w:tabs>
          <w:tab w:val="left" w:pos="720"/>
          <w:tab w:val="left" w:pos="1440"/>
        </w:tabs>
        <w:spacing w:after="0"/>
      </w:pPr>
    </w:p>
    <w:p w:rsidR="00F96657" w:rsidRDefault="00F96657" w:rsidP="00F96657">
      <w:pPr>
        <w:pStyle w:val="BodyText"/>
        <w:tabs>
          <w:tab w:val="left" w:pos="720"/>
          <w:tab w:val="left" w:pos="1440"/>
        </w:tabs>
        <w:spacing w:after="0"/>
      </w:pPr>
      <w:r w:rsidRPr="004120DD">
        <w:t>Patent Office procedures require an inventor, his patent attorney, and all persons substantively involved in the patent application to disclose material information to the patent examiner.  Since the patent process is nonadversarial, the law imposes this duty of candor to provide the examiner with all material information so as to avoid the Patent Office issuing patents with a lack of information.</w:t>
      </w:r>
      <w:r w:rsidR="00C24356">
        <w:t xml:space="preserve">  </w:t>
      </w:r>
      <w:r w:rsidRPr="004120DD">
        <w:t>Moreover, the Manual for Patent Examining Procedure notes that “foreign patent attorneys representing  applicants for U.S. patents through local correspondent firms surely must be held to the same standards of conduct which apply to their American counterparts; a double standard of accountability would allow foreign attorneys and their clients to escape responsibility for fraud or inequitable conduct merely by withholding from the local correspondent information unfavorable to patentability and claiming ignorance of the United States disclosure requirements.”  MPEP § 2004</w:t>
      </w:r>
      <w:r>
        <w:fldChar w:fldCharType="begin"/>
      </w:r>
      <w:r>
        <w:instrText xml:space="preserve"> TA \l "</w:instrText>
      </w:r>
      <w:r w:rsidRPr="00F54CA2">
        <w:instrText>MPEP § 2004</w:instrText>
      </w:r>
      <w:r>
        <w:instrText xml:space="preserve">" \s "MPEP § 2004" \c 3 </w:instrText>
      </w:r>
      <w:r>
        <w:fldChar w:fldCharType="end"/>
      </w:r>
      <w:r w:rsidRPr="004120DD">
        <w:t xml:space="preserve">, </w:t>
      </w:r>
      <w:r w:rsidRPr="00655780">
        <w:t>citing</w:t>
      </w:r>
      <w:r w:rsidRPr="004120DD">
        <w:t xml:space="preserve"> </w:t>
      </w:r>
      <w:r w:rsidRPr="00655780">
        <w:rPr>
          <w:i/>
        </w:rPr>
        <w:t xml:space="preserve">Gemveto Jewelry Co. v. Lambert Bros., </w:t>
      </w:r>
      <w:r w:rsidRPr="00B42EF0">
        <w:rPr>
          <w:i/>
        </w:rPr>
        <w:t>Inc.</w:t>
      </w:r>
      <w:r w:rsidRPr="00B42EF0">
        <w:t>, 542</w:t>
      </w:r>
      <w:r w:rsidRPr="004120DD">
        <w:t xml:space="preserve"> F.Supp. 933, 943 (S.D.N.Y. 1992)</w:t>
      </w:r>
      <w:r>
        <w:fldChar w:fldCharType="begin"/>
      </w:r>
      <w:r>
        <w:instrText xml:space="preserve"> TA \l "</w:instrText>
      </w:r>
      <w:r w:rsidRPr="00F54CA2">
        <w:rPr>
          <w:u w:val="single"/>
        </w:rPr>
        <w:instrText xml:space="preserve">Gemveto Jewelry Co. v. Lambert </w:instrText>
      </w:r>
      <w:r>
        <w:rPr>
          <w:u w:val="single"/>
        </w:rPr>
        <w:instrText>Bros.</w:instrText>
      </w:r>
      <w:r w:rsidRPr="00F54CA2">
        <w:rPr>
          <w:u w:val="single"/>
        </w:rPr>
        <w:instrText>, Inc.,</w:instrText>
      </w:r>
      <w:r w:rsidRPr="00F54CA2">
        <w:instrText xml:space="preserve"> 542 F.Supp. 933, 943 (S.D.N.Y. 1992)</w:instrText>
      </w:r>
      <w:r>
        <w:instrText xml:space="preserve">" \s "Gemveto Jewelry Co. v. Lambert Bros., Inc., 542 F.Supp. 933, 943 (S.D.N.Y. 1992)" \c 1 </w:instrText>
      </w:r>
      <w:r>
        <w:fldChar w:fldCharType="end"/>
      </w:r>
      <w:r w:rsidRPr="004120DD">
        <w:t>.</w:t>
      </w:r>
    </w:p>
    <w:p w:rsidR="00640558" w:rsidRDefault="00640558" w:rsidP="00F96657">
      <w:pPr>
        <w:pStyle w:val="BodyText"/>
        <w:tabs>
          <w:tab w:val="left" w:pos="720"/>
          <w:tab w:val="left" w:pos="1440"/>
        </w:tabs>
        <w:spacing w:after="0"/>
      </w:pPr>
    </w:p>
    <w:p w:rsidR="00640558" w:rsidRPr="004120DD" w:rsidRDefault="00640558" w:rsidP="00640558">
      <w:pPr>
        <w:pStyle w:val="Heading2"/>
        <w:ind w:left="720"/>
        <w:rPr>
          <w:rFonts w:ascii="Times New Roman" w:hAnsi="Times New Roman"/>
        </w:rPr>
      </w:pPr>
      <w:r>
        <w:tab/>
      </w:r>
      <w:r>
        <w:rPr>
          <w:b w:val="0"/>
        </w:rPr>
        <w:t>i. Best Mode</w:t>
      </w:r>
    </w:p>
    <w:p w:rsidR="00640558" w:rsidRPr="004120DD" w:rsidRDefault="00640558" w:rsidP="00640558">
      <w:pPr>
        <w:tabs>
          <w:tab w:val="left" w:pos="720"/>
          <w:tab w:val="left" w:pos="1440"/>
        </w:tabs>
        <w:rPr>
          <w:rFonts w:cs="Arial"/>
        </w:rPr>
      </w:pPr>
      <w:r>
        <w:rPr>
          <w:rFonts w:cs="Arial"/>
        </w:rPr>
        <w:tab/>
      </w:r>
    </w:p>
    <w:p w:rsidR="00640558" w:rsidRDefault="00640558" w:rsidP="00640558">
      <w:pPr>
        <w:tabs>
          <w:tab w:val="left" w:pos="720"/>
          <w:tab w:val="left" w:pos="1440"/>
        </w:tabs>
        <w:rPr>
          <w:rFonts w:cs="Arial"/>
        </w:rPr>
      </w:pPr>
      <w:r>
        <w:rPr>
          <w:rFonts w:cs="Arial"/>
        </w:rPr>
        <w:t xml:space="preserve">As mentioned above, failure to disclose the “best mode” in a patent application can no longer be used in a civil litigation as a ground to invalidate a patent, but the AIA did not explicitly exclude an inequitable conduct defense based on an intentional concealment of the best mode. Therefore, the best mode may still be relevant in infringement defense. </w:t>
      </w:r>
    </w:p>
    <w:p w:rsidR="00640558" w:rsidRDefault="00640558" w:rsidP="00640558">
      <w:pPr>
        <w:tabs>
          <w:tab w:val="left" w:pos="720"/>
          <w:tab w:val="left" w:pos="1440"/>
        </w:tabs>
        <w:rPr>
          <w:rFonts w:cs="Arial"/>
        </w:rPr>
      </w:pPr>
    </w:p>
    <w:p w:rsidR="00640558" w:rsidRDefault="00640558" w:rsidP="00640558">
      <w:pPr>
        <w:tabs>
          <w:tab w:val="left" w:pos="720"/>
          <w:tab w:val="left" w:pos="1440"/>
        </w:tabs>
        <w:rPr>
          <w:rFonts w:cs="Arial"/>
        </w:rPr>
      </w:pPr>
      <w:r w:rsidRPr="004120DD">
        <w:rPr>
          <w:rFonts w:cs="Arial"/>
        </w:rPr>
        <w:t>A patent specification must “</w:t>
      </w:r>
      <w:r w:rsidRPr="004120DD">
        <w:rPr>
          <w:rFonts w:cs="Arial"/>
          <w:szCs w:val="24"/>
        </w:rPr>
        <w:t>set forth the best mode contemplated by the inventor of carrying out his invention.”  35 U.S.C. § 112</w:t>
      </w:r>
      <w:r>
        <w:rPr>
          <w:rFonts w:cs="Arial"/>
          <w:szCs w:val="24"/>
        </w:rPr>
        <w:fldChar w:fldCharType="begin"/>
      </w:r>
      <w:r>
        <w:instrText xml:space="preserve"> TA \s "35 U.S.C. § 112" </w:instrText>
      </w:r>
      <w:r>
        <w:rPr>
          <w:rFonts w:cs="Arial"/>
          <w:szCs w:val="24"/>
        </w:rPr>
        <w:fldChar w:fldCharType="end"/>
      </w:r>
      <w:r w:rsidRPr="004120DD">
        <w:rPr>
          <w:rFonts w:cs="Arial"/>
          <w:szCs w:val="24"/>
        </w:rPr>
        <w:t xml:space="preserve">, ¶1.  </w:t>
      </w:r>
      <w:r w:rsidRPr="004120DD">
        <w:rPr>
          <w:rFonts w:cs="Arial"/>
        </w:rPr>
        <w:t xml:space="preserve">“The purpose of the </w:t>
      </w:r>
      <w:r w:rsidR="006338B7">
        <w:rPr>
          <w:rFonts w:cs="Arial"/>
          <w:noProof/>
          <w:color w:val="0000FF"/>
        </w:rPr>
        <w:drawing>
          <wp:inline distT="0" distB="0" distL="0" distR="0">
            <wp:extent cx="8255" cy="8255"/>
            <wp:effectExtent l="0" t="0" r="0" b="0"/>
            <wp:docPr id="1" name="Picture 1" descr="previous hit">
              <a:hlinkClick xmlns:a="http://schemas.openxmlformats.org/drawingml/2006/main" r:id="rId1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revious hit">
                      <a:hlinkClick r:id="rId15"/>
                    </pic:cNvPr>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255" cy="8255"/>
                    </a:xfrm>
                    <a:prstGeom prst="rect">
                      <a:avLst/>
                    </a:prstGeom>
                    <a:noFill/>
                    <a:ln>
                      <a:noFill/>
                    </a:ln>
                  </pic:spPr>
                </pic:pic>
              </a:graphicData>
            </a:graphic>
          </wp:inline>
        </w:drawing>
      </w:r>
      <w:r w:rsidRPr="004120DD">
        <w:rPr>
          <w:rStyle w:val="displayhltext"/>
          <w:rFonts w:cs="Arial"/>
        </w:rPr>
        <w:t>best mode</w:t>
      </w:r>
      <w:r w:rsidR="006338B7">
        <w:rPr>
          <w:rFonts w:cs="Arial"/>
          <w:noProof/>
          <w:color w:val="0000FF"/>
        </w:rPr>
        <w:drawing>
          <wp:inline distT="0" distB="0" distL="0" distR="0">
            <wp:extent cx="8255" cy="8255"/>
            <wp:effectExtent l="0" t="0" r="0" b="0"/>
            <wp:docPr id="2" name="Picture 2" descr="next hit">
              <a:hlinkClick xmlns:a="http://schemas.openxmlformats.org/drawingml/2006/main" r:id="rId1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next hit">
                      <a:hlinkClick r:id="rId17"/>
                    </pic:cNvPr>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255" cy="8255"/>
                    </a:xfrm>
                    <a:prstGeom prst="rect">
                      <a:avLst/>
                    </a:prstGeom>
                    <a:noFill/>
                    <a:ln>
                      <a:noFill/>
                    </a:ln>
                  </pic:spPr>
                </pic:pic>
              </a:graphicData>
            </a:graphic>
          </wp:inline>
        </w:drawing>
      </w:r>
      <w:r w:rsidRPr="004120DD">
        <w:rPr>
          <w:rFonts w:cs="Arial"/>
        </w:rPr>
        <w:t xml:space="preserve"> requirement is to restrain inventors from applying for patents while at the same time concealing from the public preferred embodiments of the inventions they have in fact conceived.”  </w:t>
      </w:r>
      <w:r w:rsidRPr="00655780">
        <w:rPr>
          <w:rStyle w:val="emphi"/>
          <w:rFonts w:cs="Arial"/>
          <w:i/>
        </w:rPr>
        <w:t>Teleflex, Inc. v. Ficosa N. Am. Corp.</w:t>
      </w:r>
      <w:r w:rsidRPr="004120DD">
        <w:rPr>
          <w:rFonts w:cs="Arial"/>
        </w:rPr>
        <w:t>, 299 F.3d 1313, 1330 (Fed. Cir. 2002)</w:t>
      </w:r>
      <w:r>
        <w:rPr>
          <w:rFonts w:cs="Arial"/>
        </w:rPr>
        <w:fldChar w:fldCharType="begin"/>
      </w:r>
      <w:r>
        <w:instrText xml:space="preserve"> TA \l "</w:instrText>
      </w:r>
      <w:r w:rsidRPr="00F54CA2">
        <w:rPr>
          <w:rStyle w:val="emphi"/>
          <w:rFonts w:cs="Arial"/>
          <w:u w:val="single"/>
        </w:rPr>
        <w:instrText>Teleflex, Inc. v. Ficosa N. Am. Corp.</w:instrText>
      </w:r>
      <w:r w:rsidRPr="00F54CA2">
        <w:rPr>
          <w:rFonts w:cs="Arial"/>
        </w:rPr>
        <w:instrText>, 299 F.3d 1313, 1330 (Fed. Cir. 2002)</w:instrText>
      </w:r>
      <w:r>
        <w:instrText xml:space="preserve">" \s "Teleflex, Inc. v. Ficosa N. Am. Corp., 299 F.3d 1313, 1330 (Fed. Cir. 2002)" \c 1 </w:instrText>
      </w:r>
      <w:r>
        <w:rPr>
          <w:rFonts w:cs="Arial"/>
        </w:rPr>
        <w:fldChar w:fldCharType="end"/>
      </w:r>
      <w:r>
        <w:rPr>
          <w:rFonts w:cs="Arial"/>
        </w:rPr>
        <w:t>.</w:t>
      </w:r>
    </w:p>
    <w:p w:rsidR="00640558" w:rsidRPr="004120DD" w:rsidRDefault="00640558" w:rsidP="00640558">
      <w:pPr>
        <w:tabs>
          <w:tab w:val="left" w:pos="720"/>
          <w:tab w:val="left" w:pos="1440"/>
        </w:tabs>
        <w:rPr>
          <w:rFonts w:cs="Arial"/>
        </w:rPr>
      </w:pPr>
    </w:p>
    <w:p w:rsidR="00640558" w:rsidRPr="004120DD" w:rsidRDefault="00640558" w:rsidP="00640558">
      <w:pPr>
        <w:tabs>
          <w:tab w:val="left" w:pos="720"/>
          <w:tab w:val="left" w:pos="1440"/>
        </w:tabs>
        <w:rPr>
          <w:rFonts w:cs="Arial"/>
        </w:rPr>
      </w:pPr>
      <w:r w:rsidRPr="004120DD">
        <w:rPr>
          <w:rFonts w:cs="Arial"/>
        </w:rPr>
        <w:t xml:space="preserve">“To apply the </w:t>
      </w:r>
      <w:r w:rsidR="006338B7">
        <w:rPr>
          <w:rFonts w:cs="Arial"/>
          <w:noProof/>
          <w:color w:val="0000FF"/>
        </w:rPr>
        <w:drawing>
          <wp:inline distT="0" distB="0" distL="0" distR="0">
            <wp:extent cx="8255" cy="8255"/>
            <wp:effectExtent l="0" t="0" r="0" b="0"/>
            <wp:docPr id="3" name="Picture 3" descr="previous hit">
              <a:hlinkClick xmlns:a="http://schemas.openxmlformats.org/drawingml/2006/main" r:id="rId1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revious hit">
                      <a:hlinkClick r:id="rId18"/>
                    </pic:cNvPr>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255" cy="8255"/>
                    </a:xfrm>
                    <a:prstGeom prst="rect">
                      <a:avLst/>
                    </a:prstGeom>
                    <a:noFill/>
                    <a:ln>
                      <a:noFill/>
                    </a:ln>
                  </pic:spPr>
                </pic:pic>
              </a:graphicData>
            </a:graphic>
          </wp:inline>
        </w:drawing>
      </w:r>
      <w:r w:rsidRPr="004120DD">
        <w:rPr>
          <w:rStyle w:val="displayhltext"/>
          <w:rFonts w:cs="Arial"/>
        </w:rPr>
        <w:t>best mode</w:t>
      </w:r>
      <w:r w:rsidR="006338B7">
        <w:rPr>
          <w:rFonts w:cs="Arial"/>
          <w:noProof/>
          <w:color w:val="0000FF"/>
        </w:rPr>
        <w:drawing>
          <wp:inline distT="0" distB="0" distL="0" distR="0">
            <wp:extent cx="8255" cy="8255"/>
            <wp:effectExtent l="0" t="0" r="0" b="0"/>
            <wp:docPr id="4" name="Picture 4" descr="next hit">
              <a:hlinkClick xmlns:a="http://schemas.openxmlformats.org/drawingml/2006/main" r:id="rId1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next hit">
                      <a:hlinkClick r:id="rId19"/>
                    </pic:cNvPr>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255" cy="8255"/>
                    </a:xfrm>
                    <a:prstGeom prst="rect">
                      <a:avLst/>
                    </a:prstGeom>
                    <a:noFill/>
                    <a:ln>
                      <a:noFill/>
                    </a:ln>
                  </pic:spPr>
                </pic:pic>
              </a:graphicData>
            </a:graphic>
          </wp:inline>
        </w:drawing>
      </w:r>
      <w:r w:rsidRPr="004120DD">
        <w:rPr>
          <w:rFonts w:cs="Arial"/>
        </w:rPr>
        <w:t xml:space="preserve"> standard, a court must first determine whether, at the time the patent application was filed, the inventor had a </w:t>
      </w:r>
      <w:r w:rsidR="006338B7">
        <w:rPr>
          <w:rFonts w:cs="Arial"/>
          <w:noProof/>
          <w:color w:val="0000FF"/>
        </w:rPr>
        <w:drawing>
          <wp:inline distT="0" distB="0" distL="0" distR="0">
            <wp:extent cx="8255" cy="8255"/>
            <wp:effectExtent l="0" t="0" r="0" b="0"/>
            <wp:docPr id="5" name="Picture 5" descr="previous hit">
              <a:hlinkClick xmlns:a="http://schemas.openxmlformats.org/drawingml/2006/main" r:id="rId20"/>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previous hit">
                      <a:hlinkClick r:id="rId20"/>
                    </pic:cNvPr>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255" cy="8255"/>
                    </a:xfrm>
                    <a:prstGeom prst="rect">
                      <a:avLst/>
                    </a:prstGeom>
                    <a:noFill/>
                    <a:ln>
                      <a:noFill/>
                    </a:ln>
                  </pic:spPr>
                </pic:pic>
              </a:graphicData>
            </a:graphic>
          </wp:inline>
        </w:drawing>
      </w:r>
      <w:r w:rsidRPr="004120DD">
        <w:rPr>
          <w:rStyle w:val="displayhltext"/>
          <w:rFonts w:cs="Arial"/>
        </w:rPr>
        <w:t>best mode</w:t>
      </w:r>
      <w:r w:rsidR="006338B7">
        <w:rPr>
          <w:rFonts w:cs="Arial"/>
          <w:noProof/>
          <w:color w:val="0000FF"/>
        </w:rPr>
        <w:drawing>
          <wp:inline distT="0" distB="0" distL="0" distR="0">
            <wp:extent cx="8255" cy="8255"/>
            <wp:effectExtent l="0" t="0" r="0" b="0"/>
            <wp:docPr id="6" name="Picture 6" descr="next hit">
              <a:hlinkClick xmlns:a="http://schemas.openxmlformats.org/drawingml/2006/main" r:id="rId2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next hit">
                      <a:hlinkClick r:id="rId21"/>
                    </pic:cNvPr>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255" cy="8255"/>
                    </a:xfrm>
                    <a:prstGeom prst="rect">
                      <a:avLst/>
                    </a:prstGeom>
                    <a:noFill/>
                    <a:ln>
                      <a:noFill/>
                    </a:ln>
                  </pic:spPr>
                </pic:pic>
              </a:graphicData>
            </a:graphic>
          </wp:inline>
        </w:drawing>
      </w:r>
      <w:r w:rsidRPr="004120DD">
        <w:rPr>
          <w:rFonts w:cs="Arial"/>
        </w:rPr>
        <w:t xml:space="preserve"> of practicing the claimed invention.  This determination turns on the inventor's own subjective beliefs.  The second part of the analysis asks has the inventor ‘concealed’ his preferred mode from the ‘public’?”  </w:t>
      </w:r>
      <w:r w:rsidRPr="00655780">
        <w:rPr>
          <w:rFonts w:cs="Arial"/>
          <w:i/>
        </w:rPr>
        <w:t>AllVoice Computing PLC v. Nuance Commc’ns Inc.</w:t>
      </w:r>
      <w:r w:rsidRPr="004120DD">
        <w:rPr>
          <w:rFonts w:cs="Arial"/>
        </w:rPr>
        <w:t xml:space="preserve">, 84 </w:t>
      </w:r>
      <w:r>
        <w:rPr>
          <w:rFonts w:cs="Arial"/>
        </w:rPr>
        <w:t>U.S.P.Q.</w:t>
      </w:r>
      <w:r w:rsidRPr="004120DD">
        <w:rPr>
          <w:rFonts w:cs="Arial"/>
        </w:rPr>
        <w:t>2d 1886, 1894 (Fed. Cir. 2007)</w:t>
      </w:r>
      <w:r>
        <w:rPr>
          <w:rFonts w:cs="Arial"/>
        </w:rPr>
        <w:fldChar w:fldCharType="begin"/>
      </w:r>
      <w:r>
        <w:instrText xml:space="preserve"> TA \l "</w:instrText>
      </w:r>
      <w:r w:rsidRPr="00F54CA2">
        <w:rPr>
          <w:rFonts w:cs="Arial"/>
          <w:u w:val="single"/>
        </w:rPr>
        <w:instrText xml:space="preserve">AllVoice Computing PLC v. Nuance </w:instrText>
      </w:r>
      <w:r>
        <w:rPr>
          <w:rFonts w:cs="Arial"/>
          <w:u w:val="single"/>
        </w:rPr>
        <w:instrText>Commc’ns</w:instrText>
      </w:r>
      <w:r w:rsidRPr="00F54CA2">
        <w:rPr>
          <w:rFonts w:cs="Arial"/>
          <w:u w:val="single"/>
        </w:rPr>
        <w:instrText xml:space="preserve"> Inc.</w:instrText>
      </w:r>
      <w:r w:rsidRPr="00F54CA2">
        <w:rPr>
          <w:rFonts w:cs="Arial"/>
        </w:rPr>
        <w:instrText xml:space="preserve">, 84 </w:instrText>
      </w:r>
      <w:r>
        <w:rPr>
          <w:rFonts w:cs="Arial"/>
        </w:rPr>
        <w:instrText>U.S.P.Q.</w:instrText>
      </w:r>
      <w:r w:rsidRPr="00F54CA2">
        <w:rPr>
          <w:rFonts w:cs="Arial"/>
        </w:rPr>
        <w:instrText>2d 1886, 1894 (Fed. Cir. 2007)</w:instrText>
      </w:r>
      <w:r>
        <w:instrText xml:space="preserve">" \s "AllVoice Computing PLC v. Nuance Commc’ns Inc., 84 U.S.P.Q.2d 1886, 1894 (Fed. Cir. 2007)" \c 1 </w:instrText>
      </w:r>
      <w:r>
        <w:rPr>
          <w:rFonts w:cs="Arial"/>
        </w:rPr>
        <w:fldChar w:fldCharType="end"/>
      </w:r>
      <w:r w:rsidRPr="004120DD">
        <w:rPr>
          <w:rFonts w:cs="Arial"/>
        </w:rPr>
        <w:t xml:space="preserve"> (internal citations omitted).</w:t>
      </w:r>
    </w:p>
    <w:p w:rsidR="00640558" w:rsidRPr="004120DD" w:rsidRDefault="00640558" w:rsidP="00640558">
      <w:pPr>
        <w:tabs>
          <w:tab w:val="left" w:pos="720"/>
          <w:tab w:val="left" w:pos="1440"/>
        </w:tabs>
        <w:rPr>
          <w:rFonts w:cs="Arial"/>
        </w:rPr>
      </w:pPr>
    </w:p>
    <w:p w:rsidR="00640558" w:rsidRPr="004120DD" w:rsidRDefault="00640558" w:rsidP="00640558">
      <w:pPr>
        <w:tabs>
          <w:tab w:val="left" w:pos="720"/>
          <w:tab w:val="left" w:pos="1440"/>
        </w:tabs>
        <w:rPr>
          <w:rFonts w:cs="Arial"/>
        </w:rPr>
      </w:pPr>
      <w:r w:rsidRPr="004120DD">
        <w:rPr>
          <w:rFonts w:cs="Arial"/>
        </w:rPr>
        <w:t xml:space="preserve">Only the claimed invention is subject to the </w:t>
      </w:r>
      <w:r w:rsidR="006338B7">
        <w:rPr>
          <w:rFonts w:cs="Arial"/>
          <w:noProof/>
          <w:color w:val="0000FF"/>
        </w:rPr>
        <w:drawing>
          <wp:inline distT="0" distB="0" distL="0" distR="0">
            <wp:extent cx="8255" cy="8255"/>
            <wp:effectExtent l="0" t="0" r="0" b="0"/>
            <wp:docPr id="7" name="Picture 7" descr="previous hit">
              <a:hlinkClick xmlns:a="http://schemas.openxmlformats.org/drawingml/2006/main" r:id="rId2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previous hit">
                      <a:hlinkClick r:id="rId22"/>
                    </pic:cNvPr>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255" cy="8255"/>
                    </a:xfrm>
                    <a:prstGeom prst="rect">
                      <a:avLst/>
                    </a:prstGeom>
                    <a:noFill/>
                    <a:ln>
                      <a:noFill/>
                    </a:ln>
                  </pic:spPr>
                </pic:pic>
              </a:graphicData>
            </a:graphic>
          </wp:inline>
        </w:drawing>
      </w:r>
      <w:r w:rsidRPr="004120DD">
        <w:rPr>
          <w:rStyle w:val="displayhltext"/>
          <w:rFonts w:cs="Arial"/>
        </w:rPr>
        <w:t>best mode</w:t>
      </w:r>
      <w:r w:rsidR="006338B7">
        <w:rPr>
          <w:rFonts w:cs="Arial"/>
          <w:noProof/>
          <w:color w:val="0000FF"/>
        </w:rPr>
        <w:drawing>
          <wp:inline distT="0" distB="0" distL="0" distR="0">
            <wp:extent cx="8255" cy="8255"/>
            <wp:effectExtent l="0" t="0" r="0" b="0"/>
            <wp:docPr id="8" name="Picture 8" descr="next hit">
              <a:hlinkClick xmlns:a="http://schemas.openxmlformats.org/drawingml/2006/main" r:id="rId2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next hit">
                      <a:hlinkClick r:id="rId23"/>
                    </pic:cNvPr>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255" cy="8255"/>
                    </a:xfrm>
                    <a:prstGeom prst="rect">
                      <a:avLst/>
                    </a:prstGeom>
                    <a:noFill/>
                    <a:ln>
                      <a:noFill/>
                    </a:ln>
                  </pic:spPr>
                </pic:pic>
              </a:graphicData>
            </a:graphic>
          </wp:inline>
        </w:drawing>
      </w:r>
      <w:r w:rsidRPr="004120DD">
        <w:rPr>
          <w:rFonts w:cs="Arial"/>
        </w:rPr>
        <w:t xml:space="preserve"> requirement.  </w:t>
      </w:r>
      <w:r w:rsidRPr="00655780">
        <w:rPr>
          <w:rStyle w:val="emphi"/>
          <w:rFonts w:cs="Arial"/>
          <w:i/>
        </w:rPr>
        <w:t>DeGeorge v. Bernier</w:t>
      </w:r>
      <w:r w:rsidRPr="004120DD">
        <w:rPr>
          <w:rFonts w:cs="Arial"/>
        </w:rPr>
        <w:t>, 768 F.2d 1318, 1325 (Fed. Cir. 1985)</w:t>
      </w:r>
      <w:r>
        <w:rPr>
          <w:rFonts w:cs="Arial"/>
        </w:rPr>
        <w:fldChar w:fldCharType="begin"/>
      </w:r>
      <w:r>
        <w:instrText xml:space="preserve"> TA \l "</w:instrText>
      </w:r>
      <w:r w:rsidRPr="00F54CA2">
        <w:rPr>
          <w:rStyle w:val="emphi"/>
          <w:rFonts w:cs="Arial"/>
          <w:u w:val="single"/>
        </w:rPr>
        <w:instrText>DeGeorge v. Bernier</w:instrText>
      </w:r>
      <w:r w:rsidRPr="00F54CA2">
        <w:rPr>
          <w:rFonts w:cs="Arial"/>
        </w:rPr>
        <w:instrText>, 768 F.2d 1318, 1325 (Fed. Cir. 1985)</w:instrText>
      </w:r>
      <w:r>
        <w:instrText xml:space="preserve">" \s "DeGeorge v. Bernier, 768 F.2d 1318, 1325 (Fed. Cir. 1985)" \c 1 </w:instrText>
      </w:r>
      <w:r>
        <w:rPr>
          <w:rFonts w:cs="Arial"/>
        </w:rPr>
        <w:fldChar w:fldCharType="end"/>
      </w:r>
      <w:r w:rsidRPr="004120DD">
        <w:rPr>
          <w:rFonts w:cs="Arial"/>
        </w:rPr>
        <w:t xml:space="preserve">.  Consequently, it is never a violation of the best mode requirement to fail to disclose an unclaimed device or process, even if the applicant did believe it superior to the claimed invention.  See </w:t>
      </w:r>
      <w:r w:rsidRPr="00655780">
        <w:rPr>
          <w:rFonts w:cs="Arial"/>
          <w:i/>
        </w:rPr>
        <w:t>Allvoice</w:t>
      </w:r>
      <w:r w:rsidRPr="004120DD">
        <w:rPr>
          <w:rFonts w:cs="Arial"/>
        </w:rPr>
        <w:t>, at 1895.</w:t>
      </w:r>
    </w:p>
    <w:p w:rsidR="00640558" w:rsidRPr="004120DD" w:rsidRDefault="00640558" w:rsidP="00F96657">
      <w:pPr>
        <w:pStyle w:val="BodyText"/>
        <w:tabs>
          <w:tab w:val="left" w:pos="720"/>
          <w:tab w:val="left" w:pos="1440"/>
        </w:tabs>
        <w:spacing w:after="0"/>
      </w:pPr>
    </w:p>
    <w:p w:rsidR="00F96657" w:rsidRPr="004120DD" w:rsidRDefault="00F96657" w:rsidP="00F96657">
      <w:pPr>
        <w:tabs>
          <w:tab w:val="left" w:pos="720"/>
          <w:tab w:val="left" w:pos="1440"/>
        </w:tabs>
      </w:pPr>
    </w:p>
    <w:p w:rsidR="00F96657" w:rsidRPr="004120DD" w:rsidRDefault="00F96657" w:rsidP="00F96657">
      <w:pPr>
        <w:pStyle w:val="Heading3"/>
        <w:rPr>
          <w:rFonts w:ascii="Times New Roman" w:hAnsi="Times New Roman"/>
        </w:rPr>
      </w:pPr>
      <w:bookmarkStart w:id="85" w:name="_Toc289408128"/>
      <w:bookmarkStart w:id="86" w:name="_Toc289409414"/>
      <w:bookmarkStart w:id="87" w:name="_Toc289409524"/>
      <w:bookmarkStart w:id="88" w:name="_Toc289409667"/>
      <w:bookmarkStart w:id="89" w:name="_Toc290548389"/>
      <w:bookmarkStart w:id="90" w:name="B6b"/>
      <w:r w:rsidRPr="004120DD">
        <w:rPr>
          <w:rFonts w:ascii="Times New Roman" w:hAnsi="Times New Roman"/>
        </w:rPr>
        <w:t>b.</w:t>
      </w:r>
      <w:r w:rsidRPr="004120DD">
        <w:rPr>
          <w:rFonts w:ascii="Times New Roman" w:hAnsi="Times New Roman"/>
        </w:rPr>
        <w:tab/>
        <w:t>Misuse</w:t>
      </w:r>
      <w:bookmarkEnd w:id="85"/>
      <w:bookmarkEnd w:id="86"/>
      <w:bookmarkEnd w:id="87"/>
      <w:bookmarkEnd w:id="88"/>
      <w:bookmarkEnd w:id="89"/>
    </w:p>
    <w:bookmarkEnd w:id="90"/>
    <w:p w:rsidR="00F96657" w:rsidRPr="004120DD" w:rsidRDefault="00F96657" w:rsidP="00F96657">
      <w:pPr>
        <w:tabs>
          <w:tab w:val="left" w:pos="720"/>
          <w:tab w:val="left" w:pos="1440"/>
        </w:tabs>
      </w:pPr>
    </w:p>
    <w:p w:rsidR="00EE3D93" w:rsidRDefault="00EE3D93" w:rsidP="00F96657">
      <w:pPr>
        <w:tabs>
          <w:tab w:val="left" w:pos="720"/>
          <w:tab w:val="left" w:pos="1440"/>
        </w:tabs>
      </w:pPr>
      <w:r>
        <w:t xml:space="preserve">Patent misuse is a judge-made doctrine that is in derogation of statutory patent rights against infringement. </w:t>
      </w:r>
      <w:r w:rsidRPr="00655780">
        <w:rPr>
          <w:i/>
        </w:rPr>
        <w:t>Princo Corp. v. ITC</w:t>
      </w:r>
      <w:r w:rsidR="00C81CC7">
        <w:t xml:space="preserve">, 616 F.3d 1318, 1321 </w:t>
      </w:r>
      <w:r w:rsidRPr="00EE3D93">
        <w:t>(Fed. Cir. 2010)</w:t>
      </w:r>
      <w:r>
        <w:t xml:space="preserve">. </w:t>
      </w:r>
      <w:r w:rsidR="00F96657" w:rsidRPr="004120DD">
        <w:t xml:space="preserve">The “policy of the patent misuse doctrine is ‘to prevent a patentee from using the patent to obtain market benefit beyond that which inures in the statutory patent right.’”  </w:t>
      </w:r>
      <w:r w:rsidR="00F96657" w:rsidRPr="00655780">
        <w:rPr>
          <w:rStyle w:val="emphi"/>
          <w:i/>
        </w:rPr>
        <w:t>Monsanto Co. v. McFarling</w:t>
      </w:r>
      <w:r w:rsidR="00F96657" w:rsidRPr="004120DD">
        <w:t>, 363 F.3d 1336, 1341 (Fed. Cir. 2004)</w:t>
      </w:r>
      <w:r w:rsidR="00F96657">
        <w:fldChar w:fldCharType="begin"/>
      </w:r>
      <w:r w:rsidR="00F96657">
        <w:instrText xml:space="preserve"> TA \l "</w:instrText>
      </w:r>
      <w:r w:rsidR="00F96657" w:rsidRPr="00F54CA2">
        <w:rPr>
          <w:rStyle w:val="emphi"/>
          <w:u w:val="single"/>
        </w:rPr>
        <w:instrText>Monsanto Co. v. McFarling</w:instrText>
      </w:r>
      <w:r w:rsidR="00F96657" w:rsidRPr="00F54CA2">
        <w:instrText xml:space="preserve">, 363 F.3d 1336, 1341 [70 </w:instrText>
      </w:r>
      <w:r w:rsidR="00F96657">
        <w:instrText>U.S.P.Q.</w:instrText>
      </w:r>
      <w:r w:rsidR="00F96657" w:rsidRPr="00F54CA2">
        <w:instrText>2d 1481] (Fed. Cir. 2004)</w:instrText>
      </w:r>
      <w:r w:rsidR="00F96657">
        <w:instrText xml:space="preserve">" \s "Monsanto Co. v. McFarling, 363 F.3d 1336, 1341 [70 U.S.P.Q.2d 1481] (Fed. Cir. 2004)" \c 1 </w:instrText>
      </w:r>
      <w:r w:rsidR="00F96657">
        <w:fldChar w:fldCharType="end"/>
      </w:r>
      <w:r w:rsidR="00F96657" w:rsidRPr="004120DD">
        <w:t>.</w:t>
      </w:r>
      <w:r w:rsidR="00F96657">
        <w:t xml:space="preserve">  </w:t>
      </w:r>
      <w:r w:rsidR="00F96657" w:rsidRPr="004120DD">
        <w:t xml:space="preserve">In order for competitive behavior to amount to patent misuse, one must “impermissibly broaden the scope of the patent grant with anticompetitive effect.”  </w:t>
      </w:r>
      <w:r w:rsidR="00F96657" w:rsidRPr="00655780">
        <w:rPr>
          <w:rStyle w:val="emphi"/>
          <w:i/>
        </w:rPr>
        <w:t>Id</w:t>
      </w:r>
      <w:r w:rsidR="00F96657" w:rsidRPr="004120DD">
        <w:rPr>
          <w:rStyle w:val="emphi"/>
        </w:rPr>
        <w:t>.</w:t>
      </w:r>
      <w:r w:rsidR="00F96657">
        <w:rPr>
          <w:rStyle w:val="emphi"/>
        </w:rPr>
        <w:fldChar w:fldCharType="begin"/>
      </w:r>
      <w:r w:rsidR="00F96657">
        <w:instrText xml:space="preserve"> TA \s "Monsanto Co. v. McFarling, 363 F.3d 1336, 1341 [70 U.S.P.Q.2d 1481] (Fed. Cir. 2004)" </w:instrText>
      </w:r>
      <w:r w:rsidR="00F96657">
        <w:rPr>
          <w:rStyle w:val="emphi"/>
        </w:rPr>
        <w:fldChar w:fldCharType="end"/>
      </w:r>
      <w:r w:rsidR="00F96657" w:rsidRPr="004120DD">
        <w:t xml:space="preserve">  Thus, “[i]n the cases in which the restriction is reasonably within the patent grant, the patent misuse defense can never succeed.”  </w:t>
      </w:r>
      <w:r w:rsidR="00F96657" w:rsidRPr="00655780">
        <w:rPr>
          <w:rStyle w:val="emphi"/>
          <w:i/>
        </w:rPr>
        <w:t>Id</w:t>
      </w:r>
      <w:r w:rsidR="00655780">
        <w:rPr>
          <w:rStyle w:val="emphi"/>
          <w:i/>
        </w:rPr>
        <w:t>.</w:t>
      </w:r>
      <w:r w:rsidR="00F96657">
        <w:rPr>
          <w:rStyle w:val="emphi"/>
        </w:rPr>
        <w:fldChar w:fldCharType="begin"/>
      </w:r>
      <w:r w:rsidR="00F96657">
        <w:instrText xml:space="preserve"> TA \s "Monsanto Co. v. McFarling, 363 F.3d 1336, 1341 [70 U.S.P.Q.2d 1481] (Fed. Cir. 2004)" </w:instrText>
      </w:r>
      <w:r w:rsidR="00F96657">
        <w:rPr>
          <w:rStyle w:val="emphi"/>
        </w:rPr>
        <w:fldChar w:fldCharType="end"/>
      </w:r>
      <w:r w:rsidR="00F96657" w:rsidRPr="004120DD">
        <w:rPr>
          <w:rStyle w:val="emphi"/>
        </w:rPr>
        <w:t xml:space="preserve"> </w:t>
      </w:r>
      <w:r w:rsidR="00F96657" w:rsidRPr="004120DD">
        <w:t xml:space="preserve"> </w:t>
      </w:r>
    </w:p>
    <w:p w:rsidR="00EE3D93" w:rsidRDefault="00EE3D93" w:rsidP="00F96657">
      <w:pPr>
        <w:tabs>
          <w:tab w:val="left" w:pos="720"/>
          <w:tab w:val="left" w:pos="1440"/>
        </w:tabs>
      </w:pPr>
    </w:p>
    <w:p w:rsidR="00EE3D93" w:rsidRDefault="00EE3D93" w:rsidP="00F96657">
      <w:pPr>
        <w:tabs>
          <w:tab w:val="left" w:pos="720"/>
          <w:tab w:val="left" w:pos="1440"/>
        </w:tabs>
      </w:pPr>
      <w:r>
        <w:t xml:space="preserve">Even if an alleged infringer is not harmed by the abusive practice, courts will withhold remedy for infringement or breach of a license agreement if patent misuse is found. The rights of the patents owner, however, will be restored if and when the misuse is purged, such as upon abandonment of the abusive practice and after dissipation of any harmful </w:t>
      </w:r>
      <w:r w:rsidRPr="008F4D94">
        <w:rPr>
          <w:szCs w:val="24"/>
        </w:rPr>
        <w:t>consequences.</w:t>
      </w:r>
      <w:r w:rsidR="008F4D94" w:rsidRPr="008F4D94">
        <w:rPr>
          <w:szCs w:val="24"/>
        </w:rPr>
        <w:t xml:space="preserve"> </w:t>
      </w:r>
      <w:r w:rsidR="008F4D94" w:rsidRPr="00655780">
        <w:rPr>
          <w:i/>
          <w:szCs w:val="24"/>
          <w:bdr w:val="none" w:sz="0" w:space="0" w:color="auto" w:frame="1"/>
          <w:shd w:val="clear" w:color="auto" w:fill="FFFFFF"/>
        </w:rPr>
        <w:t>Morton Salt Co. v. G. S. Suppiger Co.</w:t>
      </w:r>
      <w:r w:rsidR="008F4D94" w:rsidRPr="008F4D94">
        <w:rPr>
          <w:szCs w:val="24"/>
          <w:bdr w:val="none" w:sz="0" w:space="0" w:color="auto" w:frame="1"/>
          <w:shd w:val="clear" w:color="auto" w:fill="FFFFFF"/>
        </w:rPr>
        <w:t>, 314 U.S. 488, 493, 62 S. Ct. 402, 405, (U.S. 1942)</w:t>
      </w:r>
      <w:r w:rsidR="008F4D94">
        <w:rPr>
          <w:szCs w:val="24"/>
          <w:bdr w:val="none" w:sz="0" w:space="0" w:color="auto" w:frame="1"/>
          <w:shd w:val="clear" w:color="auto" w:fill="FFFFFF"/>
        </w:rPr>
        <w:t>.</w:t>
      </w:r>
    </w:p>
    <w:p w:rsidR="00EE3D93" w:rsidRDefault="00EE3D93" w:rsidP="00F96657">
      <w:pPr>
        <w:tabs>
          <w:tab w:val="left" w:pos="720"/>
          <w:tab w:val="left" w:pos="1440"/>
        </w:tabs>
      </w:pPr>
    </w:p>
    <w:p w:rsidR="00EE3D93" w:rsidRDefault="00EE3D93" w:rsidP="00F96657">
      <w:pPr>
        <w:tabs>
          <w:tab w:val="left" w:pos="720"/>
          <w:tab w:val="left" w:pos="1440"/>
        </w:tabs>
      </w:pPr>
      <w:r>
        <w:t xml:space="preserve">Classic acts of misuse include (1) </w:t>
      </w:r>
      <w:r w:rsidR="00A36B26">
        <w:t>tying arrangements that include royalties on unpatented components</w:t>
      </w:r>
      <w:r w:rsidR="001D46F9">
        <w:t xml:space="preserve"> or on total sales</w:t>
      </w:r>
      <w:r w:rsidR="00A36B26">
        <w:t xml:space="preserve">, </w:t>
      </w:r>
      <w:r>
        <w:t>(</w:t>
      </w:r>
      <w:r w:rsidR="00AE0D7A">
        <w:t>2</w:t>
      </w:r>
      <w:r>
        <w:t>) requiring the purchase of unpatented goods for use with the patented apparatus or processes, (</w:t>
      </w:r>
      <w:r w:rsidR="00AE0D7A">
        <w:t>3</w:t>
      </w:r>
      <w:r>
        <w:t>) prohibiting production or sale of competing goods, (</w:t>
      </w:r>
      <w:r w:rsidR="00AE0D7A">
        <w:t>4</w:t>
      </w:r>
      <w:r>
        <w:t>) conditioning the granting of a license under one patent upon the acceptance of another and different license</w:t>
      </w:r>
      <w:r w:rsidR="001D46F9">
        <w:t xml:space="preserve"> (i.e., “package licensing”), (5) price fixing (which is also a per se violation of antitrust laws), and (6) royalties and restraints after expiration of the patent</w:t>
      </w:r>
      <w:r>
        <w:t>.</w:t>
      </w:r>
      <w:r w:rsidR="00E35BED" w:rsidRPr="00E35BED">
        <w:t xml:space="preserve"> </w:t>
      </w:r>
      <w:r w:rsidR="00E35BED" w:rsidRPr="004120DD">
        <w:t xml:space="preserve">Patent misuse may be found even where there is no antitrust violation, because “[p]atent misuse is … a broader wrong than [an] antitrust violation.”  </w:t>
      </w:r>
      <w:r w:rsidR="00E35BED" w:rsidRPr="00655780">
        <w:rPr>
          <w:rStyle w:val="emphi"/>
          <w:i/>
        </w:rPr>
        <w:t>C.R. Bard, Inc. v. M3 Sys., Inc.</w:t>
      </w:r>
      <w:r w:rsidR="00E35BED" w:rsidRPr="004120DD">
        <w:t>, 157 F.3d 1340, 1372 (Fed. Cir. 1998)</w:t>
      </w:r>
      <w:r w:rsidR="00E35BED">
        <w:fldChar w:fldCharType="begin"/>
      </w:r>
      <w:r w:rsidR="00E35BED">
        <w:instrText xml:space="preserve"> TA \l "</w:instrText>
      </w:r>
      <w:r w:rsidR="00E35BED" w:rsidRPr="00F54CA2">
        <w:rPr>
          <w:rStyle w:val="emphi"/>
          <w:u w:val="single"/>
        </w:rPr>
        <w:instrText>C.R. Bard, Inc. v. M3 Sys., Inc.</w:instrText>
      </w:r>
      <w:r w:rsidR="00E35BED" w:rsidRPr="00F54CA2">
        <w:instrText xml:space="preserve">, 157 F.3d 1340, 1372 [48 </w:instrText>
      </w:r>
      <w:r w:rsidR="00E35BED">
        <w:instrText>U.S.P.Q.</w:instrText>
      </w:r>
      <w:r w:rsidR="00E35BED" w:rsidRPr="00F54CA2">
        <w:instrText>2d 1225] (Fed. Cir. 1998)</w:instrText>
      </w:r>
      <w:r w:rsidR="00E35BED">
        <w:instrText xml:space="preserve">" \s "C.R. Bard, Inc. v. M3 Sys., Inc., 157 F.3d 1340, 1372 [48 U.S.P.Q.2d 1225] (Fed. Cir. 1998)" \c 1 </w:instrText>
      </w:r>
      <w:r w:rsidR="00E35BED">
        <w:fldChar w:fldCharType="end"/>
      </w:r>
      <w:r w:rsidR="00E35BED" w:rsidRPr="004120DD">
        <w:t>.</w:t>
      </w:r>
    </w:p>
    <w:p w:rsidR="00EE3D93" w:rsidRDefault="00EE3D93" w:rsidP="00F96657">
      <w:pPr>
        <w:tabs>
          <w:tab w:val="left" w:pos="720"/>
          <w:tab w:val="left" w:pos="1440"/>
        </w:tabs>
      </w:pPr>
    </w:p>
    <w:p w:rsidR="00F96657" w:rsidRDefault="00E35BED" w:rsidP="00F96657">
      <w:pPr>
        <w:tabs>
          <w:tab w:val="left" w:pos="720"/>
          <w:tab w:val="left" w:pos="1440"/>
        </w:tabs>
      </w:pPr>
      <w:r>
        <w:t xml:space="preserve">A patent owner, however, may refuse either to issue licenses or to make or sell the claimed invention. </w:t>
      </w:r>
      <w:r w:rsidR="00F96657" w:rsidRPr="004120DD">
        <w:t>“</w:t>
      </w:r>
      <w:r w:rsidR="00EE3D93">
        <w:t>N</w:t>
      </w:r>
      <w:r w:rsidR="00F96657" w:rsidRPr="004120DD">
        <w:t>o patent owner otherwise entitled to relief. . . shall be denied relief or deemed guilty of misuse or illegal extension of the patent right by reason of his having . . . refused to license or use any rights to the patent … .”  35 U.S.C. §</w:t>
      </w:r>
      <w:r w:rsidR="00F96657">
        <w:t xml:space="preserve"> </w:t>
      </w:r>
      <w:r w:rsidR="00F96657" w:rsidRPr="004120DD">
        <w:t>271</w:t>
      </w:r>
      <w:r w:rsidR="00F96657">
        <w:fldChar w:fldCharType="begin"/>
      </w:r>
      <w:r w:rsidR="00F96657">
        <w:instrText xml:space="preserve"> TA \l "</w:instrText>
      </w:r>
      <w:r w:rsidR="00F96657" w:rsidRPr="00F54CA2">
        <w:instrText>35 U.S.C. § 271</w:instrText>
      </w:r>
      <w:r w:rsidR="00F96657">
        <w:instrText xml:space="preserve">" \s "35 U.S.C. § 271" \c 2 </w:instrText>
      </w:r>
      <w:r w:rsidR="00F96657">
        <w:fldChar w:fldCharType="end"/>
      </w:r>
      <w:r w:rsidR="00F96657" w:rsidRPr="004120DD">
        <w:t xml:space="preserve">(d).  </w:t>
      </w:r>
    </w:p>
    <w:p w:rsidR="00F96657" w:rsidRPr="004120DD" w:rsidRDefault="00F96657" w:rsidP="00F96657">
      <w:pPr>
        <w:tabs>
          <w:tab w:val="left" w:pos="720"/>
          <w:tab w:val="left" w:pos="1440"/>
        </w:tabs>
      </w:pPr>
    </w:p>
    <w:p w:rsidR="00F96657" w:rsidRPr="004120DD" w:rsidRDefault="00F96657" w:rsidP="00F96657">
      <w:pPr>
        <w:pStyle w:val="Heading3"/>
        <w:keepLines/>
        <w:rPr>
          <w:rFonts w:ascii="Times New Roman" w:hAnsi="Times New Roman"/>
        </w:rPr>
      </w:pPr>
      <w:bookmarkStart w:id="91" w:name="B6c"/>
      <w:bookmarkStart w:id="92" w:name="_Toc289408129"/>
      <w:bookmarkStart w:id="93" w:name="_Toc289409415"/>
      <w:bookmarkStart w:id="94" w:name="_Toc289409525"/>
      <w:bookmarkStart w:id="95" w:name="_Toc289409668"/>
      <w:bookmarkStart w:id="96" w:name="_Toc290548390"/>
      <w:r w:rsidRPr="004120DD">
        <w:rPr>
          <w:rFonts w:ascii="Times New Roman" w:hAnsi="Times New Roman"/>
        </w:rPr>
        <w:t>c.</w:t>
      </w:r>
      <w:r w:rsidRPr="004120DD">
        <w:rPr>
          <w:rFonts w:ascii="Times New Roman" w:hAnsi="Times New Roman"/>
        </w:rPr>
        <w:tab/>
        <w:t>Assignor Estoppel</w:t>
      </w:r>
      <w:bookmarkEnd w:id="91"/>
      <w:bookmarkEnd w:id="92"/>
      <w:bookmarkEnd w:id="93"/>
      <w:bookmarkEnd w:id="94"/>
      <w:bookmarkEnd w:id="95"/>
      <w:bookmarkEnd w:id="96"/>
    </w:p>
    <w:p w:rsidR="00F96657" w:rsidRPr="004120DD" w:rsidRDefault="00F96657" w:rsidP="00F96657">
      <w:pPr>
        <w:keepNext/>
        <w:keepLines/>
        <w:tabs>
          <w:tab w:val="left" w:pos="720"/>
          <w:tab w:val="left" w:pos="1440"/>
        </w:tabs>
      </w:pPr>
    </w:p>
    <w:p w:rsidR="00F96657" w:rsidRDefault="00F96657" w:rsidP="00F96657">
      <w:pPr>
        <w:keepNext/>
        <w:keepLines/>
        <w:tabs>
          <w:tab w:val="left" w:pos="720"/>
          <w:tab w:val="left" w:pos="1440"/>
        </w:tabs>
      </w:pPr>
      <w:r w:rsidRPr="004120DD">
        <w:t xml:space="preserve">Unlike other kinds of conduct on the part of a patentee, which can operate to render otherwise valid claims invalid or unenforceable, assignor estoppel operates to bar validity attacks.  Assigning a patent or an invention and patent application for value “estops the assignor from later contending that the assigned property was valueless.”  </w:t>
      </w:r>
      <w:r w:rsidRPr="00655780">
        <w:rPr>
          <w:i/>
        </w:rPr>
        <w:t>Q.G. Products Inc. v. Shorty Inc.</w:t>
      </w:r>
      <w:r w:rsidRPr="004120DD">
        <w:t xml:space="preserve">, 992 F.2d 1211, 26 </w:t>
      </w:r>
      <w:r>
        <w:t>U.S.P.Q.</w:t>
      </w:r>
      <w:r w:rsidRPr="004120DD">
        <w:t>2d 1778, 1280 (Fed. Cir. 1993)</w:t>
      </w:r>
      <w:r>
        <w:fldChar w:fldCharType="begin"/>
      </w:r>
      <w:r>
        <w:instrText xml:space="preserve"> TA \l "</w:instrText>
      </w:r>
      <w:r w:rsidRPr="00F54CA2">
        <w:rPr>
          <w:u w:val="single"/>
        </w:rPr>
        <w:instrText>Q.G. Products Inc. v. Shorty Inc.</w:instrText>
      </w:r>
      <w:r w:rsidRPr="00F54CA2">
        <w:instrText xml:space="preserve">, 992 F.2d 1211, 26 </w:instrText>
      </w:r>
      <w:r>
        <w:instrText>U.S.P.Q.</w:instrText>
      </w:r>
      <w:r w:rsidRPr="00F54CA2">
        <w:instrText>2d 1778, 1280 (Fed. Cir. 1993)</w:instrText>
      </w:r>
      <w:r>
        <w:instrText xml:space="preserve">" \s "Q.G. Products Inc. v. Shorty Inc., 992 F.2d 1211, 26 U.S.P.Q.2d 1778, 1280 (Fed. Cir. 1993)" \c 1 </w:instrText>
      </w:r>
      <w:r>
        <w:fldChar w:fldCharType="end"/>
      </w:r>
      <w:r w:rsidRPr="004120DD">
        <w:t xml:space="preserve">.  An assignor of a patent “may submit evidence to help properly construe or narrow the claims of the assigned patent,” but is “estopped to challenge their validity.”  </w:t>
      </w:r>
      <w:r w:rsidRPr="00655780">
        <w:rPr>
          <w:i/>
        </w:rPr>
        <w:t>Id</w:t>
      </w:r>
      <w:r w:rsidR="00655780">
        <w:rPr>
          <w:i/>
        </w:rPr>
        <w:t>.</w:t>
      </w:r>
      <w:r>
        <w:fldChar w:fldCharType="begin"/>
      </w:r>
      <w:r>
        <w:instrText xml:space="preserve"> TA \s "Q.G. Products Inc. v. Shorty Inc., 992 F.2d 1211, 26 U.S.P.Q.2d 1778, 1280 (Fed. Cir. 1993)" </w:instrText>
      </w:r>
      <w:r>
        <w:fldChar w:fldCharType="end"/>
      </w:r>
      <w:r w:rsidRPr="004120DD">
        <w:t xml:space="preserve"> (citing </w:t>
      </w:r>
      <w:r w:rsidRPr="00655780">
        <w:rPr>
          <w:rStyle w:val="case-name"/>
          <w:i/>
        </w:rPr>
        <w:t>Westinghouse Elec. &amp; Mfg. v. Formica Insulation Co</w:t>
      </w:r>
      <w:r w:rsidRPr="004120DD">
        <w:rPr>
          <w:rStyle w:val="case-name"/>
        </w:rPr>
        <w:t>.</w:t>
      </w:r>
      <w:r w:rsidRPr="004120DD">
        <w:t xml:space="preserve">, 266 </w:t>
      </w:r>
      <w:smartTag w:uri="urn:schemas-microsoft-com:office:smarttags" w:element="place">
        <w:smartTag w:uri="urn:schemas-microsoft-com:office:smarttags" w:element="country-region">
          <w:r w:rsidRPr="004120DD">
            <w:t>U.S.</w:t>
          </w:r>
        </w:smartTag>
      </w:smartTag>
      <w:r w:rsidRPr="004120DD">
        <w:t xml:space="preserve"> 342, 351 (1924)</w:t>
      </w:r>
      <w:r>
        <w:fldChar w:fldCharType="begin"/>
      </w:r>
      <w:r>
        <w:instrText xml:space="preserve"> TA \l "</w:instrText>
      </w:r>
      <w:r w:rsidRPr="00F54CA2">
        <w:rPr>
          <w:rStyle w:val="case-name"/>
          <w:u w:val="single"/>
        </w:rPr>
        <w:instrText>Westinghouse Elec. &amp; Mfg. v. Formica Insulation Co</w:instrText>
      </w:r>
      <w:r w:rsidRPr="00F54CA2">
        <w:rPr>
          <w:rStyle w:val="case-name"/>
        </w:rPr>
        <w:instrText>.</w:instrText>
      </w:r>
      <w:r w:rsidRPr="00F54CA2">
        <w:instrText>, 266 U.S. 342, 351 (1924)</w:instrText>
      </w:r>
      <w:r>
        <w:instrText xml:space="preserve">" \s "Westinghouse Elec. &amp; Mfg. v. Formica Insulation Co., 266 U.S. 342, 351 (1924)" \c 1 </w:instrText>
      </w:r>
      <w:r>
        <w:fldChar w:fldCharType="end"/>
      </w:r>
      <w:r w:rsidRPr="004120DD">
        <w:t xml:space="preserve">).  However, the scope of the estoppel is more difficult to determine, and generally more narrow, when the assignment occurs before the patent issues.  </w:t>
      </w:r>
      <w:r w:rsidRPr="00655780">
        <w:rPr>
          <w:i/>
        </w:rPr>
        <w:t>Westinghouse Elec. &amp; Mfg. v. Formica Insulation Co.</w:t>
      </w:r>
      <w:r w:rsidRPr="004120DD">
        <w:t>, 266 U.S. 342, at 252-53</w:t>
      </w:r>
      <w:r>
        <w:fldChar w:fldCharType="begin"/>
      </w:r>
      <w:r>
        <w:instrText xml:space="preserve"> TA \l "</w:instrText>
      </w:r>
      <w:r w:rsidRPr="00F54CA2">
        <w:rPr>
          <w:u w:val="single"/>
        </w:rPr>
        <w:instrText xml:space="preserve">Westinghouse </w:instrText>
      </w:r>
      <w:r>
        <w:rPr>
          <w:u w:val="single"/>
        </w:rPr>
        <w:instrText xml:space="preserve">Elec. &amp; Mfg. </w:instrText>
      </w:r>
      <w:r w:rsidRPr="00F54CA2">
        <w:rPr>
          <w:u w:val="single"/>
        </w:rPr>
        <w:instrText>v. Formica Insulation Co</w:instrText>
      </w:r>
      <w:r w:rsidRPr="00F54CA2">
        <w:instrText>., 266 U.S. 342, at 252-53</w:instrText>
      </w:r>
      <w:r>
        <w:instrText xml:space="preserve">" \s "Westinghouse Elec. &amp; Mfg. v. Formica Insulation Co., 266 U.S. 342, at 252-53" \c 1 </w:instrText>
      </w:r>
      <w:r>
        <w:fldChar w:fldCharType="end"/>
      </w:r>
      <w:r w:rsidRPr="004120DD">
        <w:t>.</w:t>
      </w:r>
    </w:p>
    <w:p w:rsidR="00640558" w:rsidRDefault="00640558" w:rsidP="00F96657">
      <w:pPr>
        <w:keepNext/>
        <w:keepLines/>
        <w:tabs>
          <w:tab w:val="left" w:pos="720"/>
          <w:tab w:val="left" w:pos="1440"/>
        </w:tabs>
      </w:pPr>
    </w:p>
    <w:p w:rsidR="00640558" w:rsidRPr="004120DD" w:rsidRDefault="00640558" w:rsidP="00F96657">
      <w:pPr>
        <w:keepNext/>
        <w:keepLines/>
        <w:tabs>
          <w:tab w:val="left" w:pos="720"/>
          <w:tab w:val="left" w:pos="1440"/>
        </w:tabs>
      </w:pPr>
    </w:p>
    <w:p w:rsidR="00F96657" w:rsidRPr="004120DD" w:rsidRDefault="00F96657" w:rsidP="00F96657">
      <w:pPr>
        <w:tabs>
          <w:tab w:val="left" w:pos="720"/>
          <w:tab w:val="left" w:pos="1440"/>
        </w:tabs>
      </w:pPr>
    </w:p>
    <w:p w:rsidR="00F96657" w:rsidRPr="004120DD" w:rsidRDefault="00F96657" w:rsidP="00F96657">
      <w:pPr>
        <w:pStyle w:val="Heading1"/>
        <w:rPr>
          <w:rFonts w:ascii="Times New Roman" w:hAnsi="Times New Roman"/>
        </w:rPr>
      </w:pPr>
      <w:bookmarkStart w:id="97" w:name="C"/>
      <w:bookmarkStart w:id="98" w:name="_Toc289408130"/>
      <w:bookmarkStart w:id="99" w:name="_Toc289409416"/>
      <w:bookmarkStart w:id="100" w:name="_Toc289409526"/>
      <w:bookmarkStart w:id="101" w:name="_Toc289409669"/>
      <w:bookmarkStart w:id="102" w:name="_Toc290548391"/>
      <w:r w:rsidRPr="004120DD">
        <w:rPr>
          <w:rFonts w:ascii="Times New Roman" w:hAnsi="Times New Roman"/>
        </w:rPr>
        <w:t>C.</w:t>
      </w:r>
      <w:r w:rsidRPr="004120DD">
        <w:rPr>
          <w:rFonts w:ascii="Times New Roman" w:hAnsi="Times New Roman"/>
        </w:rPr>
        <w:tab/>
        <w:t>Infringement</w:t>
      </w:r>
      <w:bookmarkEnd w:id="97"/>
      <w:bookmarkEnd w:id="98"/>
      <w:bookmarkEnd w:id="99"/>
      <w:bookmarkEnd w:id="100"/>
      <w:bookmarkEnd w:id="101"/>
      <w:bookmarkEnd w:id="102"/>
    </w:p>
    <w:p w:rsidR="00F96657" w:rsidRPr="004120DD" w:rsidRDefault="00F96657" w:rsidP="00F96657">
      <w:pPr>
        <w:pStyle w:val="BodyText"/>
        <w:spacing w:after="0"/>
      </w:pPr>
    </w:p>
    <w:p w:rsidR="00F96657" w:rsidRPr="004120DD" w:rsidRDefault="00F96657" w:rsidP="00F96657">
      <w:pPr>
        <w:pStyle w:val="BodyTextIndent"/>
        <w:tabs>
          <w:tab w:val="left" w:pos="720"/>
          <w:tab w:val="left" w:pos="1440"/>
        </w:tabs>
        <w:spacing w:after="0"/>
        <w:ind w:left="0"/>
      </w:pPr>
      <w:r w:rsidRPr="004120DD">
        <w:t xml:space="preserve">A device or process infringes a patent if it is covered by at least one of its claims.  As discussed above, an infringement analysis is a two-step process.  “The first [step] is determining the meaning and scope of the patent claims asserted to be infringed . . . .  The second step is comparing the properly construed claims to the device accused of infringing.”  </w:t>
      </w:r>
      <w:r w:rsidRPr="00655780">
        <w:rPr>
          <w:i/>
        </w:rPr>
        <w:t>Markman v. Westview Instruments, Inc.</w:t>
      </w:r>
      <w:r w:rsidRPr="004120DD">
        <w:t>, 52 F.3d 967, 979 (Fed. Cir. 1995) (</w:t>
      </w:r>
      <w:r w:rsidRPr="004120DD">
        <w:rPr>
          <w:i/>
        </w:rPr>
        <w:t>en banc</w:t>
      </w:r>
      <w:r w:rsidRPr="004120DD">
        <w:t>)</w:t>
      </w:r>
      <w:r>
        <w:fldChar w:fldCharType="begin"/>
      </w:r>
      <w:r>
        <w:instrText xml:space="preserve"> TA \l "</w:instrText>
      </w:r>
      <w:r w:rsidRPr="00F54CA2">
        <w:rPr>
          <w:u w:val="single"/>
        </w:rPr>
        <w:instrText>Markman v. Westview Instruments, Inc.</w:instrText>
      </w:r>
      <w:r w:rsidRPr="00F54CA2">
        <w:instrText>, 52 F.3d 967, 979 (Fed. Cir. 1995) (</w:instrText>
      </w:r>
      <w:r w:rsidRPr="00F54CA2">
        <w:rPr>
          <w:i/>
        </w:rPr>
        <w:instrText>en banc</w:instrText>
      </w:r>
      <w:r w:rsidRPr="00F54CA2">
        <w:instrText>)</w:instrText>
      </w:r>
      <w:r>
        <w:instrText xml:space="preserve">" \s "Markman v. Westview Instruments, Inc., 52 F.3d 967, 979 (Fed. Cir. 1995) (en banc)" \c 1 </w:instrText>
      </w:r>
      <w:r>
        <w:fldChar w:fldCharType="end"/>
      </w:r>
      <w:r w:rsidRPr="004120DD">
        <w:t>.  Infringement is a question of fact, and the patent owner bears the burden of proving infringement based on a preponderance of the evidence</w:t>
      </w:r>
    </w:p>
    <w:p w:rsidR="00F96657" w:rsidRPr="004120DD" w:rsidRDefault="00F96657" w:rsidP="00F96657">
      <w:pPr>
        <w:pStyle w:val="BodyTextIndent"/>
        <w:tabs>
          <w:tab w:val="left" w:pos="720"/>
          <w:tab w:val="left" w:pos="1440"/>
        </w:tabs>
        <w:spacing w:after="0"/>
        <w:ind w:left="0"/>
      </w:pPr>
    </w:p>
    <w:p w:rsidR="00F96657" w:rsidRPr="004120DD" w:rsidRDefault="00F96657" w:rsidP="00F96657">
      <w:pPr>
        <w:pStyle w:val="BodyTextIndent"/>
        <w:tabs>
          <w:tab w:val="left" w:pos="720"/>
          <w:tab w:val="left" w:pos="1440"/>
        </w:tabs>
        <w:spacing w:after="0"/>
        <w:ind w:left="0"/>
      </w:pPr>
      <w:r w:rsidRPr="004120DD">
        <w:t>Infringement of a patent can occur either literally or under the doctrine of equivalents.  Infringement can also be either direct under 35 U.S.C. § 271</w:t>
      </w:r>
      <w:r>
        <w:fldChar w:fldCharType="begin"/>
      </w:r>
      <w:r>
        <w:instrText xml:space="preserve"> TA \s "35 U.S.C. § 271" </w:instrText>
      </w:r>
      <w:r>
        <w:fldChar w:fldCharType="end"/>
      </w:r>
      <w:r w:rsidRPr="004120DD">
        <w:t xml:space="preserve"> (a) or indirect under §§ 271</w:t>
      </w:r>
      <w:r>
        <w:fldChar w:fldCharType="begin"/>
      </w:r>
      <w:r>
        <w:instrText xml:space="preserve"> TA \l "35 U.S.C. </w:instrText>
      </w:r>
      <w:r w:rsidRPr="00F54CA2">
        <w:instrText>§ 271</w:instrText>
      </w:r>
      <w:r>
        <w:instrText xml:space="preserve">" \s "35 U.S.C. § 271" \c 2 </w:instrText>
      </w:r>
      <w:r>
        <w:fldChar w:fldCharType="end"/>
      </w:r>
      <w:r w:rsidRPr="004120DD">
        <w:t>(b) or (c).</w:t>
      </w:r>
    </w:p>
    <w:p w:rsidR="00F96657" w:rsidRPr="004120DD" w:rsidRDefault="00F96657" w:rsidP="00F96657">
      <w:pPr>
        <w:tabs>
          <w:tab w:val="left" w:pos="720"/>
          <w:tab w:val="left" w:pos="1440"/>
        </w:tabs>
      </w:pPr>
    </w:p>
    <w:p w:rsidR="00F96657" w:rsidRPr="004120DD" w:rsidRDefault="00F96657" w:rsidP="00F96657">
      <w:pPr>
        <w:pStyle w:val="Heading2"/>
        <w:rPr>
          <w:rFonts w:ascii="Times New Roman" w:hAnsi="Times New Roman"/>
        </w:rPr>
      </w:pPr>
      <w:bookmarkStart w:id="103" w:name="_Toc289408131"/>
      <w:bookmarkStart w:id="104" w:name="_Toc289409417"/>
      <w:bookmarkStart w:id="105" w:name="_Toc289409527"/>
      <w:bookmarkStart w:id="106" w:name="_Toc289409670"/>
      <w:bookmarkStart w:id="107" w:name="_Toc290548392"/>
      <w:bookmarkStart w:id="108" w:name="C1"/>
      <w:r w:rsidRPr="004120DD">
        <w:rPr>
          <w:rFonts w:ascii="Times New Roman" w:hAnsi="Times New Roman"/>
        </w:rPr>
        <w:t>1.</w:t>
      </w:r>
      <w:r w:rsidRPr="004120DD">
        <w:rPr>
          <w:rFonts w:ascii="Times New Roman" w:hAnsi="Times New Roman"/>
        </w:rPr>
        <w:tab/>
        <w:t>Literal Infringement</w:t>
      </w:r>
      <w:bookmarkEnd w:id="103"/>
      <w:bookmarkEnd w:id="104"/>
      <w:bookmarkEnd w:id="105"/>
      <w:bookmarkEnd w:id="106"/>
      <w:bookmarkEnd w:id="107"/>
    </w:p>
    <w:bookmarkEnd w:id="108"/>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To literally infringe a patent claim, each and every element of the claim must be present in the accused device.  </w:t>
      </w:r>
      <w:r w:rsidRPr="00655780">
        <w:rPr>
          <w:i/>
        </w:rPr>
        <w:t>Johnson v. IVAC Corp.</w:t>
      </w:r>
      <w:r w:rsidRPr="004120DD">
        <w:t>, 885 F.2d 1574 (Fed. Cir. 1989)</w:t>
      </w:r>
      <w:r>
        <w:fldChar w:fldCharType="begin"/>
      </w:r>
      <w:r>
        <w:instrText xml:space="preserve"> TA \l "</w:instrText>
      </w:r>
      <w:r w:rsidRPr="00F54CA2">
        <w:rPr>
          <w:u w:val="single"/>
        </w:rPr>
        <w:instrText>Johnson v. IVAC Corp.</w:instrText>
      </w:r>
      <w:r w:rsidRPr="00F54CA2">
        <w:instrText>, 885 F.2d 1574 (Fed. Cir. 1989)</w:instrText>
      </w:r>
      <w:r>
        <w:instrText xml:space="preserve">" \s "Johnson v. IVAC Corp., 885 F.2d 1574 (Fed. Cir. 1989)" \c 1 </w:instrText>
      </w:r>
      <w:r>
        <w:fldChar w:fldCharType="end"/>
      </w:r>
      <w:r w:rsidRPr="004120DD">
        <w:t xml:space="preserve">.  Where the compared device does not possess each and every limitation in at least one of the patent claims, as properly construed, then the patent is not literally infringed.  </w:t>
      </w:r>
      <w:r w:rsidRPr="00655780">
        <w:rPr>
          <w:i/>
        </w:rPr>
        <w:t>Markman</w:t>
      </w:r>
      <w:r w:rsidRPr="004120DD">
        <w:t>, 52 F.3d 967, 976.</w:t>
      </w:r>
    </w:p>
    <w:p w:rsidR="00F96657" w:rsidRPr="004120DD" w:rsidRDefault="00F96657" w:rsidP="00F96657">
      <w:pPr>
        <w:tabs>
          <w:tab w:val="left" w:pos="720"/>
          <w:tab w:val="left" w:pos="1440"/>
        </w:tabs>
      </w:pPr>
    </w:p>
    <w:p w:rsidR="00F96657" w:rsidRPr="004120DD" w:rsidRDefault="00F96657" w:rsidP="00F96657">
      <w:pPr>
        <w:pStyle w:val="Heading2"/>
        <w:rPr>
          <w:rFonts w:ascii="Times New Roman" w:hAnsi="Times New Roman"/>
        </w:rPr>
      </w:pPr>
      <w:bookmarkStart w:id="109" w:name="_Toc289408132"/>
      <w:bookmarkStart w:id="110" w:name="_Toc289409418"/>
      <w:bookmarkStart w:id="111" w:name="_Toc289409528"/>
      <w:bookmarkStart w:id="112" w:name="_Toc289409671"/>
      <w:bookmarkStart w:id="113" w:name="_Toc290548393"/>
      <w:bookmarkStart w:id="114" w:name="C2"/>
      <w:r w:rsidRPr="004120DD">
        <w:rPr>
          <w:rFonts w:ascii="Times New Roman" w:hAnsi="Times New Roman"/>
        </w:rPr>
        <w:t>2.</w:t>
      </w:r>
      <w:r w:rsidRPr="004120DD">
        <w:rPr>
          <w:rFonts w:ascii="Times New Roman" w:hAnsi="Times New Roman"/>
        </w:rPr>
        <w:tab/>
        <w:t>Infringement Under the Doctrine of Equivalents</w:t>
      </w:r>
      <w:bookmarkEnd w:id="109"/>
      <w:bookmarkEnd w:id="110"/>
      <w:bookmarkEnd w:id="111"/>
      <w:bookmarkEnd w:id="112"/>
      <w:bookmarkEnd w:id="113"/>
    </w:p>
    <w:bookmarkEnd w:id="114"/>
    <w:p w:rsidR="00F96657" w:rsidRPr="004120DD" w:rsidRDefault="00F96657" w:rsidP="00F96657">
      <w:pPr>
        <w:tabs>
          <w:tab w:val="left" w:pos="720"/>
          <w:tab w:val="left" w:pos="1440"/>
        </w:tabs>
      </w:pPr>
    </w:p>
    <w:p w:rsidR="00557423" w:rsidRDefault="00F96657" w:rsidP="00F96657">
      <w:pPr>
        <w:tabs>
          <w:tab w:val="left" w:pos="720"/>
          <w:tab w:val="left" w:pos="1440"/>
        </w:tabs>
      </w:pPr>
      <w:r w:rsidRPr="004120DD">
        <w:t xml:space="preserve">Even if literal infringement is not found, a patent claim can still be infringed under the doctrine of equivalents.  </w:t>
      </w:r>
      <w:r w:rsidR="00C30FB8" w:rsidRPr="004120DD">
        <w:t xml:space="preserve">Infringement under the doctrine of equivalents requires that an accused device meet each element in a claim either literally or by equivalency.  </w:t>
      </w:r>
      <w:r w:rsidR="00C30FB8" w:rsidRPr="00655780">
        <w:rPr>
          <w:i/>
        </w:rPr>
        <w:t>Graver Tank &amp; Mfg. Co. v. Linde Air Products Co.</w:t>
      </w:r>
      <w:r w:rsidR="00C30FB8" w:rsidRPr="004120DD">
        <w:t>, 339 U.S. 605, 608 (1950)</w:t>
      </w:r>
      <w:r w:rsidR="00C30FB8">
        <w:fldChar w:fldCharType="begin"/>
      </w:r>
      <w:r w:rsidR="00C30FB8">
        <w:instrText xml:space="preserve"> TA \l "</w:instrText>
      </w:r>
      <w:r w:rsidR="00C30FB8" w:rsidRPr="00F54CA2">
        <w:rPr>
          <w:u w:val="single"/>
        </w:rPr>
        <w:instrText>Graver Tank &amp; Mfg. Co. v. Linde Air Products Co.</w:instrText>
      </w:r>
      <w:r w:rsidR="00C30FB8" w:rsidRPr="00F54CA2">
        <w:instrText>, 339 U.S. 605, 608 (1950)</w:instrText>
      </w:r>
      <w:r w:rsidR="00C30FB8">
        <w:instrText xml:space="preserve">" \s "Graver Tank &amp; Mfg. Co. v. Linde Air Products Co., 339 U.S. 605, 608 (1950)" \c 1 </w:instrText>
      </w:r>
      <w:r w:rsidR="00C30FB8">
        <w:fldChar w:fldCharType="end"/>
      </w:r>
      <w:r w:rsidR="00C30FB8" w:rsidRPr="004120DD">
        <w:t xml:space="preserve">.  For this purpose, “[e]ach element contained in a patent claim is deemed material to defining the scope of the patented invention, and thus the doctrine of equivalents must be applied to the individual elements of the claim, not to the invention as a whole.”  </w:t>
      </w:r>
      <w:r w:rsidR="00C30FB8" w:rsidRPr="00655780">
        <w:rPr>
          <w:i/>
        </w:rPr>
        <w:t>Warner-Jenkinson Co. v. Hilton Davis Chem. Co.</w:t>
      </w:r>
      <w:r w:rsidR="00C30FB8" w:rsidRPr="004120DD">
        <w:t>, 137 L.Ed.2d 146, 161, 41 U.S.P.Q. 2d 1865, 1871 (1997)</w:t>
      </w:r>
      <w:r w:rsidR="00C30FB8">
        <w:fldChar w:fldCharType="begin"/>
      </w:r>
      <w:r w:rsidR="00C30FB8">
        <w:instrText xml:space="preserve"> TA \l "</w:instrText>
      </w:r>
      <w:r w:rsidR="00C30FB8" w:rsidRPr="00F54CA2">
        <w:rPr>
          <w:u w:val="single"/>
        </w:rPr>
        <w:instrText xml:space="preserve">Warner-Jenkinson Co. v. Hilton Davis </w:instrText>
      </w:r>
      <w:r w:rsidR="00C30FB8">
        <w:rPr>
          <w:u w:val="single"/>
        </w:rPr>
        <w:instrText>Chem.</w:instrText>
      </w:r>
      <w:r w:rsidR="00C30FB8" w:rsidRPr="00F54CA2">
        <w:rPr>
          <w:u w:val="single"/>
        </w:rPr>
        <w:instrText xml:space="preserve"> Co.</w:instrText>
      </w:r>
      <w:r w:rsidR="00C30FB8" w:rsidRPr="00F54CA2">
        <w:instrText>, 137 L.Ed.2d 146, 161, 41 U.S.P.Q. 2d 1865, 1871 (1997)</w:instrText>
      </w:r>
      <w:r w:rsidR="00C30FB8">
        <w:instrText xml:space="preserve">" \s "Warner-Jenkinson Co. v. Hilton Davis Chem. Co., 137 L.Ed.2d 146, 161, 41 U.S.P.Q. 2d 1865, 1871 (1997)" \c 1 </w:instrText>
      </w:r>
      <w:r w:rsidR="00C30FB8">
        <w:fldChar w:fldCharType="end"/>
      </w:r>
      <w:r w:rsidR="00C30FB8">
        <w:t>.</w:t>
      </w:r>
    </w:p>
    <w:p w:rsidR="00C30FB8" w:rsidRDefault="00C30FB8" w:rsidP="00F96657">
      <w:pPr>
        <w:tabs>
          <w:tab w:val="left" w:pos="720"/>
          <w:tab w:val="left" w:pos="1440"/>
        </w:tabs>
      </w:pPr>
    </w:p>
    <w:p w:rsidR="00557423" w:rsidRDefault="006D4AD1" w:rsidP="002D0E2B">
      <w:pPr>
        <w:tabs>
          <w:tab w:val="left" w:pos="720"/>
          <w:tab w:val="left" w:pos="1440"/>
        </w:tabs>
        <w:ind w:left="1496" w:right="1506"/>
        <w:jc w:val="both"/>
      </w:pPr>
      <w:r>
        <w:t>The primary test for equivalency is the “function-way-result” or “triple identity” test, whereby the patentee may show an equivalent when the accused product or process performs substantially the same function, in substantially the same way, to achieve substantially the same result, as disclosed in the claim.</w:t>
      </w:r>
      <w:r w:rsidR="00557423">
        <w:t xml:space="preserve">  </w:t>
      </w:r>
      <w:r w:rsidR="00557423" w:rsidRPr="00655780">
        <w:rPr>
          <w:i/>
        </w:rPr>
        <w:t>Graver Tank &amp; Mfg. Co.. v. Linde Air Prods. Co.</w:t>
      </w:r>
      <w:r w:rsidR="00557423">
        <w:t xml:space="preserve">, 339 </w:t>
      </w:r>
      <w:smartTag w:uri="urn:schemas-microsoft-com:office:smarttags" w:element="place">
        <w:smartTag w:uri="urn:schemas-microsoft-com:office:smarttags" w:element="country-region">
          <w:r w:rsidR="00557423">
            <w:t>U.S.</w:t>
          </w:r>
        </w:smartTag>
      </w:smartTag>
      <w:r w:rsidR="00557423">
        <w:t xml:space="preserve"> 605, 608, 70 S.Ct. 854, 94 L.Ed. 1097 (1950)).  But, because “[d]ifferent linguistic frameworks may be more suitable to different cases,” </w:t>
      </w:r>
      <w:r w:rsidR="00557423" w:rsidRPr="00655780">
        <w:rPr>
          <w:i/>
        </w:rPr>
        <w:t>Warner-Jenkinson</w:t>
      </w:r>
      <w:r w:rsidR="00557423">
        <w:t xml:space="preserve">, 520 </w:t>
      </w:r>
      <w:smartTag w:uri="urn:schemas-microsoft-com:office:smarttags" w:element="place">
        <w:smartTag w:uri="urn:schemas-microsoft-com:office:smarttags" w:element="country-region">
          <w:r w:rsidR="00557423">
            <w:t>U.S.</w:t>
          </w:r>
        </w:smartTag>
      </w:smartTag>
      <w:r w:rsidR="00557423">
        <w:t xml:space="preserve"> at 40, 117 S.Ct. 1040, the function-way-result test is not the only test for equivalency.  Equivalency may also be proven where the differences between the invention as claimed and the accused product or process are insubstantial. </w:t>
      </w:r>
    </w:p>
    <w:p w:rsidR="00557423" w:rsidRDefault="00557423" w:rsidP="002D0E2B">
      <w:pPr>
        <w:tabs>
          <w:tab w:val="left" w:pos="720"/>
          <w:tab w:val="left" w:pos="1440"/>
        </w:tabs>
        <w:ind w:left="1496"/>
      </w:pPr>
    </w:p>
    <w:p w:rsidR="00F96657" w:rsidRDefault="00557423" w:rsidP="002D0E2B">
      <w:pPr>
        <w:tabs>
          <w:tab w:val="left" w:pos="0"/>
          <w:tab w:val="left" w:pos="720"/>
        </w:tabs>
      </w:pPr>
      <w:r w:rsidRPr="00655780">
        <w:rPr>
          <w:i/>
        </w:rPr>
        <w:t>Abbott Labs., v. Sandoz, Inc.</w:t>
      </w:r>
      <w:r>
        <w:t xml:space="preserve">, 566 F.3d 1282, 1296-97 (Fed. Cir. 2009).  </w:t>
      </w:r>
    </w:p>
    <w:p w:rsidR="00F96657" w:rsidRPr="004120DD" w:rsidRDefault="00F96657" w:rsidP="00F96657">
      <w:pPr>
        <w:tabs>
          <w:tab w:val="left" w:pos="720"/>
          <w:tab w:val="left" w:pos="1440"/>
        </w:tabs>
      </w:pPr>
    </w:p>
    <w:p w:rsidR="00F96657" w:rsidRDefault="002D0E2B" w:rsidP="00F96657">
      <w:pPr>
        <w:tabs>
          <w:tab w:val="left" w:pos="720"/>
          <w:tab w:val="left" w:pos="1440"/>
        </w:tabs>
      </w:pPr>
      <w:r w:rsidRPr="004120DD">
        <w:t xml:space="preserve">Infringement under the doctrine of equivalents requires that an accused device meet each element in a claim either literally or by equivalency.  </w:t>
      </w:r>
      <w:r w:rsidRPr="00655780">
        <w:rPr>
          <w:i/>
        </w:rPr>
        <w:t>Graver Tank &amp; Mfg. Co. v. Linde Air Products Co.</w:t>
      </w:r>
      <w:r w:rsidRPr="004120DD">
        <w:t>, 339 U.S. 605, 608 (1950)</w:t>
      </w:r>
      <w:r>
        <w:fldChar w:fldCharType="begin"/>
      </w:r>
      <w:r>
        <w:instrText xml:space="preserve"> TA \l "</w:instrText>
      </w:r>
      <w:r w:rsidRPr="00F54CA2">
        <w:rPr>
          <w:u w:val="single"/>
        </w:rPr>
        <w:instrText>Graver Tank &amp; Mfg. Co. v. Linde Air Products Co.</w:instrText>
      </w:r>
      <w:r w:rsidRPr="00F54CA2">
        <w:instrText>, 339 U.S. 605, 608 (1950)</w:instrText>
      </w:r>
      <w:r>
        <w:instrText xml:space="preserve">" \s "Graver Tank &amp; Mfg. Co. v. Linde Air Products Co., 339 U.S. 605, 608 (1950)" \c 1 </w:instrText>
      </w:r>
      <w:r>
        <w:fldChar w:fldCharType="end"/>
      </w:r>
      <w:r w:rsidRPr="004120DD">
        <w:t xml:space="preserve">.  </w:t>
      </w:r>
      <w:r w:rsidR="00F96657" w:rsidRPr="004120DD">
        <w:t xml:space="preserve">The normal inquiry under the doctrine of equivalents is whether a substitute element in the accused device performs the same function, in the same way, to achieve the same result as the claimed element.  </w:t>
      </w:r>
      <w:r w:rsidR="00F96657" w:rsidRPr="00655780">
        <w:rPr>
          <w:i/>
        </w:rPr>
        <w:t>Graver Tank</w:t>
      </w:r>
      <w:r w:rsidR="00F96657">
        <w:rPr>
          <w:u w:val="single"/>
        </w:rPr>
        <w:fldChar w:fldCharType="begin"/>
      </w:r>
      <w:r w:rsidR="00F96657">
        <w:instrText xml:space="preserve"> TA \s "Graver Tank &amp; Mfg. Co. v. Linde Air Products Co., 339 U.S. 605, 608 (1950)" </w:instrText>
      </w:r>
      <w:r w:rsidR="00F96657">
        <w:rPr>
          <w:u w:val="single"/>
        </w:rPr>
        <w:fldChar w:fldCharType="end"/>
      </w:r>
      <w:r w:rsidR="00F96657" w:rsidRPr="004120DD">
        <w:t xml:space="preserve">, </w:t>
      </w:r>
      <w:r w:rsidR="00F96657" w:rsidRPr="004120DD">
        <w:rPr>
          <w:i/>
        </w:rPr>
        <w:t>supra.</w:t>
      </w:r>
      <w:r w:rsidR="00F96657" w:rsidRPr="004120DD">
        <w:t xml:space="preserve">  An alternative inquiry is whether the substitute element plays a role substantially different from the claimed element.  </w:t>
      </w:r>
      <w:r w:rsidR="00F96657" w:rsidRPr="00655780">
        <w:rPr>
          <w:i/>
        </w:rPr>
        <w:t>Graver Tank</w:t>
      </w:r>
      <w:r w:rsidR="00F96657">
        <w:rPr>
          <w:u w:val="single"/>
        </w:rPr>
        <w:fldChar w:fldCharType="begin"/>
      </w:r>
      <w:r w:rsidR="00F96657">
        <w:instrText xml:space="preserve"> TA \s "Graver Tank &amp; Mfg. Co. v. Linde Air Products Co., 339 U.S. 605, 608 (1950)" </w:instrText>
      </w:r>
      <w:r w:rsidR="00F96657">
        <w:rPr>
          <w:u w:val="single"/>
        </w:rPr>
        <w:fldChar w:fldCharType="end"/>
      </w:r>
      <w:r w:rsidR="00F96657" w:rsidRPr="004120DD">
        <w:t xml:space="preserve">, </w:t>
      </w:r>
      <w:r w:rsidR="00F96657" w:rsidRPr="004120DD">
        <w:rPr>
          <w:i/>
        </w:rPr>
        <w:t>supra</w:t>
      </w:r>
      <w:r w:rsidR="00F96657" w:rsidRPr="004120DD">
        <w:t>, at 168.</w:t>
      </w:r>
    </w:p>
    <w:p w:rsidR="00DE6693" w:rsidRPr="004120DD" w:rsidRDefault="00DE6693" w:rsidP="00F96657">
      <w:pPr>
        <w:tabs>
          <w:tab w:val="left" w:pos="720"/>
          <w:tab w:val="left" w:pos="1440"/>
        </w:tabs>
      </w:pPr>
    </w:p>
    <w:p w:rsidR="00F96657" w:rsidRDefault="00F96657" w:rsidP="00F96657">
      <w:pPr>
        <w:pStyle w:val="BodyText"/>
        <w:tabs>
          <w:tab w:val="left" w:pos="720"/>
          <w:tab w:val="left" w:pos="1440"/>
        </w:tabs>
        <w:spacing w:after="0"/>
      </w:pPr>
      <w:r w:rsidRPr="004120DD">
        <w:t xml:space="preserve">The doctrine of equivalents does not allow for the elimination of “meaningful structural and functional limitations of the claim on which the public is entitled to rely in avoiding infringement.”  </w:t>
      </w:r>
      <w:r w:rsidRPr="00655780">
        <w:rPr>
          <w:i/>
        </w:rPr>
        <w:t>Conopco, Inc. v. May Dep’t Stores Co.</w:t>
      </w:r>
      <w:r w:rsidRPr="004120DD">
        <w:t xml:space="preserve">, 46 F.3d 1556, 1562 (Fed. Cir. 1994), </w:t>
      </w:r>
      <w:r w:rsidRPr="004120DD">
        <w:rPr>
          <w:i/>
        </w:rPr>
        <w:t>cert denied</w:t>
      </w:r>
      <w:r w:rsidRPr="004120DD">
        <w:t>, 115 S.Ct. 1724 (1995)</w:t>
      </w:r>
      <w:r>
        <w:fldChar w:fldCharType="begin"/>
      </w:r>
      <w:r>
        <w:instrText xml:space="preserve"> TA \l "</w:instrText>
      </w:r>
      <w:r w:rsidRPr="00F54CA2">
        <w:rPr>
          <w:u w:val="single"/>
        </w:rPr>
        <w:instrText>Conopco, Inc. v. May Dep’t Stores Co.</w:instrText>
      </w:r>
      <w:r w:rsidRPr="00F54CA2">
        <w:instrText xml:space="preserve">, 46 F.3d 1556, 1562 (Fed. Cir. 1994), </w:instrText>
      </w:r>
      <w:r w:rsidRPr="00F54CA2">
        <w:rPr>
          <w:i/>
        </w:rPr>
        <w:instrText>cert denied</w:instrText>
      </w:r>
      <w:r w:rsidRPr="00F54CA2">
        <w:instrText>, 115 S.Ct. 1724 (1995)</w:instrText>
      </w:r>
      <w:r>
        <w:instrText xml:space="preserve">" \s "Conopco, Inc. v. May Dep’t Stores Co., 46 F.3d 1556, 1562 (Fed. Cir. 1994), cert denied, 115 S.Ct. 1724 (1995)" \c 1 </w:instrText>
      </w:r>
      <w:r>
        <w:fldChar w:fldCharType="end"/>
      </w:r>
      <w:r w:rsidRPr="004120DD">
        <w:t>.  If the accused product does not possess a substitute structure that performs the same function, in the same way, to achieve the same result, then the claim is not infringed under the doctrine of equivalents</w:t>
      </w:r>
      <w:r>
        <w:t>.</w:t>
      </w:r>
      <w:r w:rsidR="00DE6693">
        <w:t xml:space="preserve"> Similarly, </w:t>
      </w:r>
      <w:r w:rsidR="00DE6693" w:rsidRPr="00DE6693">
        <w:t>“ ‘when a patent drafter discloses but declines to claim subject matter … this action dedicates that unclaimed subject matter to the public.’ ”</w:t>
      </w:r>
      <w:r w:rsidR="00DE6693">
        <w:t xml:space="preserve"> </w:t>
      </w:r>
      <w:r w:rsidR="00507CD9" w:rsidRPr="00655780">
        <w:rPr>
          <w:i/>
        </w:rPr>
        <w:t>Johnson &amp; Johnston Assocs. v. R.E. Serv. Co.</w:t>
      </w:r>
      <w:r w:rsidR="00507CD9">
        <w:t xml:space="preserve">, 285 F.3d 1046, 1054 </w:t>
      </w:r>
      <w:r w:rsidR="00507CD9" w:rsidRPr="00507CD9">
        <w:t>(Fed. Cir. 2002)</w:t>
      </w:r>
      <w:r w:rsidR="00507CD9">
        <w:t xml:space="preserve">, </w:t>
      </w:r>
      <w:r w:rsidR="00507CD9" w:rsidRPr="00655780">
        <w:t>citing</w:t>
      </w:r>
      <w:r w:rsidR="00507CD9">
        <w:t xml:space="preserve"> </w:t>
      </w:r>
      <w:r w:rsidR="00507CD9" w:rsidRPr="00655780">
        <w:rPr>
          <w:i/>
        </w:rPr>
        <w:t>Maxwell v. J. Baker, Inc.</w:t>
      </w:r>
      <w:r w:rsidR="00507CD9">
        <w:t>, 86 F.3d 1098, 1106</w:t>
      </w:r>
      <w:r w:rsidR="00507CD9" w:rsidRPr="00507CD9">
        <w:t xml:space="preserve"> (Fed. Cir. 1996)</w:t>
      </w:r>
      <w:r w:rsidR="00507CD9">
        <w:t>.</w:t>
      </w:r>
    </w:p>
    <w:p w:rsidR="00F96657" w:rsidRPr="004120DD" w:rsidRDefault="00F96657" w:rsidP="00F96657">
      <w:pPr>
        <w:pStyle w:val="BodyTextIndent"/>
        <w:tabs>
          <w:tab w:val="left" w:pos="720"/>
          <w:tab w:val="left" w:pos="1440"/>
        </w:tabs>
        <w:spacing w:after="0"/>
        <w:ind w:left="0"/>
      </w:pPr>
    </w:p>
    <w:p w:rsidR="00DE6693" w:rsidRDefault="00F96657" w:rsidP="00F96657">
      <w:pPr>
        <w:tabs>
          <w:tab w:val="left" w:pos="720"/>
          <w:tab w:val="left" w:pos="1440"/>
        </w:tabs>
      </w:pPr>
      <w:r w:rsidRPr="004120DD">
        <w:t xml:space="preserve">The prior art also limits the range of equivalents to which a patent is entitled.  </w:t>
      </w:r>
      <w:r w:rsidR="00E9505A">
        <w:t>“[</w:t>
      </w:r>
      <w:r w:rsidRPr="004120DD">
        <w:t>T</w:t>
      </w:r>
      <w:r w:rsidR="00E9505A">
        <w:t>]</w:t>
      </w:r>
      <w:r w:rsidRPr="004120DD">
        <w:t xml:space="preserve">he doctrine of equivalents cannot be used to expand </w:t>
      </w:r>
      <w:r w:rsidR="00E9505A">
        <w:t>claim</w:t>
      </w:r>
      <w:r w:rsidR="00E9505A" w:rsidRPr="004120DD">
        <w:t xml:space="preserve"> </w:t>
      </w:r>
      <w:r w:rsidRPr="004120DD">
        <w:t>scope to encompass the prior art.</w:t>
      </w:r>
      <w:r w:rsidR="00E9505A">
        <w:t xml:space="preserve">”  </w:t>
      </w:r>
      <w:r w:rsidR="00E9505A" w:rsidRPr="00655780">
        <w:rPr>
          <w:i/>
        </w:rPr>
        <w:t>Hyperphrase Techs., LLC v. Google, Inc.</w:t>
      </w:r>
      <w:r w:rsidR="00E9505A">
        <w:t xml:space="preserve">, </w:t>
      </w:r>
      <w:r w:rsidRPr="004120DD">
        <w:t xml:space="preserve"> </w:t>
      </w:r>
      <w:r w:rsidR="00E9505A">
        <w:t>260 Fed. Appx. 274, 282, 87 U.S.P.Q.2d 1285 (Fed. Cir. 2007).</w:t>
      </w:r>
      <w:r w:rsidRPr="004120DD">
        <w:t xml:space="preserve"> </w:t>
      </w:r>
      <w:r w:rsidRPr="00655780">
        <w:rPr>
          <w:i/>
        </w:rPr>
        <w:t>Wilson Sporting Goods Co. v. David Geoffrey &amp; Assocs.</w:t>
      </w:r>
      <w:r w:rsidRPr="004120DD">
        <w:t>, 904 F.2d 677, 685 (Fed. Cir. 1990)</w:t>
      </w:r>
      <w:r>
        <w:fldChar w:fldCharType="begin"/>
      </w:r>
      <w:r>
        <w:instrText xml:space="preserve"> TA \l "</w:instrText>
      </w:r>
      <w:r w:rsidRPr="00F54CA2">
        <w:rPr>
          <w:u w:val="single"/>
        </w:rPr>
        <w:instrText>Wilson Sporting Goods Co. v. David Geoffrey &amp; Assocs.</w:instrText>
      </w:r>
      <w:r w:rsidRPr="00F54CA2">
        <w:instrText>, 904 F.2d 677, 685 (Fed. Cir. 1990)</w:instrText>
      </w:r>
      <w:r>
        <w:instrText xml:space="preserve">" \s "Wilson Sporting Goods Co. v. David Geoffrey &amp; Assocs., 904 F.2d 677, 685 (Fed. Cir. 1990)" \c 1 </w:instrText>
      </w:r>
      <w:r>
        <w:fldChar w:fldCharType="end"/>
      </w:r>
      <w:r w:rsidRPr="004120DD">
        <w:t xml:space="preserve">.  The patent owner bears the burden of proving that any proposed claim scope under the doctrine of equivalents does not read on the prior art.  </w:t>
      </w:r>
      <w:r w:rsidR="009A5786" w:rsidRPr="00655780">
        <w:rPr>
          <w:i/>
        </w:rPr>
        <w:t xml:space="preserve">DePuy Spine, Inc. v. Medtronic Sofamor </w:t>
      </w:r>
      <w:r w:rsidR="00CE5829">
        <w:rPr>
          <w:i/>
        </w:rPr>
        <w:t>Donetsk</w:t>
      </w:r>
      <w:r w:rsidR="009A5786" w:rsidRPr="00655780">
        <w:rPr>
          <w:i/>
        </w:rPr>
        <w:t>, Inc.</w:t>
      </w:r>
      <w:r w:rsidR="009A5786">
        <w:t xml:space="preserve">, 567 F.3d 1314, 1323-24, 90 U.S.P.Q.2d 1865 (Fed. Cir. 1009) (citing </w:t>
      </w:r>
      <w:r w:rsidR="009A5786" w:rsidRPr="00655780">
        <w:rPr>
          <w:i/>
        </w:rPr>
        <w:t>Wilson Sporting Goods Co. v. David Geoffrey &amp; Assocs.</w:t>
      </w:r>
      <w:r w:rsidR="009A5786" w:rsidRPr="004120DD">
        <w:t>, 904 F.2d 677, 685 (Fed. Cir. 1990)</w:t>
      </w:r>
      <w:r w:rsidR="009A5786">
        <w:t xml:space="preserve">).  </w:t>
      </w:r>
      <w:r w:rsidRPr="00655780">
        <w:t>See also</w:t>
      </w:r>
      <w:r w:rsidRPr="004120DD">
        <w:t xml:space="preserve">, </w:t>
      </w:r>
      <w:r w:rsidRPr="00655780">
        <w:rPr>
          <w:i/>
        </w:rPr>
        <w:t>Streamfeeder, LLC v. Sure-Feed Sys., Inc.</w:t>
      </w:r>
      <w:r w:rsidRPr="004120DD">
        <w:t>, 175 F.3d 974, 983 (Fed. Cir. 1999)</w:t>
      </w:r>
      <w:r>
        <w:fldChar w:fldCharType="begin"/>
      </w:r>
      <w:r>
        <w:instrText xml:space="preserve"> TA \l "</w:instrText>
      </w:r>
      <w:r w:rsidRPr="00F54CA2">
        <w:rPr>
          <w:u w:val="single"/>
        </w:rPr>
        <w:instrText xml:space="preserve">Streamfeeder, LLC v. Sure-Feed </w:instrText>
      </w:r>
      <w:r>
        <w:rPr>
          <w:u w:val="single"/>
        </w:rPr>
        <w:instrText>Sys.</w:instrText>
      </w:r>
      <w:r w:rsidRPr="00F54CA2">
        <w:rPr>
          <w:u w:val="single"/>
        </w:rPr>
        <w:instrText>, Inc.</w:instrText>
      </w:r>
      <w:r w:rsidRPr="00F54CA2">
        <w:instrText>, 175 F.3d 974, 983 (Fed. Cir. 1999)</w:instrText>
      </w:r>
      <w:r>
        <w:instrText xml:space="preserve">" \s "Streamfeeder, LLC v. Sure-Feed Sys., Inc., 175 F.3d 974, 983 (Fed. Cir. 1999)" \c 1 </w:instrText>
      </w:r>
      <w:r>
        <w:fldChar w:fldCharType="end"/>
      </w:r>
      <w:r w:rsidRPr="004120DD">
        <w:t>.</w:t>
      </w:r>
    </w:p>
    <w:p w:rsidR="00507CD9" w:rsidRDefault="00507CD9" w:rsidP="00F96657">
      <w:pPr>
        <w:tabs>
          <w:tab w:val="left" w:pos="720"/>
          <w:tab w:val="left" w:pos="1440"/>
        </w:tabs>
      </w:pPr>
    </w:p>
    <w:p w:rsidR="00507CD9" w:rsidRPr="004120DD" w:rsidRDefault="00507CD9" w:rsidP="00F96657">
      <w:pPr>
        <w:tabs>
          <w:tab w:val="left" w:pos="720"/>
          <w:tab w:val="left" w:pos="1440"/>
        </w:tabs>
      </w:pPr>
      <w:r>
        <w:t>Additionally, although rare, some court decisions recognize a “reverse” doctrine of equivalents in which an accused product or process that falls within the literal scope of a claim nevertheless does not infringe the claimed product or process if it “is so far changed in principle . . . that it performs the same or a similar function in a substantially different way.”</w:t>
      </w:r>
      <w:r w:rsidR="00BB4E95">
        <w:t xml:space="preserve"> </w:t>
      </w:r>
      <w:r w:rsidR="00BB4E95" w:rsidRPr="00655780">
        <w:rPr>
          <w:i/>
        </w:rPr>
        <w:t>Graver Tank &amp; Mfg. Co. v. Linde Air Prods. Co.</w:t>
      </w:r>
      <w:r w:rsidR="00BB4E95" w:rsidRPr="00BB4E95">
        <w:t>, 339 U.S. 605, 608-609 (1950).</w:t>
      </w:r>
    </w:p>
    <w:p w:rsidR="00F96657" w:rsidRPr="004120DD" w:rsidRDefault="00F96657" w:rsidP="00F96657">
      <w:pPr>
        <w:tabs>
          <w:tab w:val="left" w:pos="720"/>
          <w:tab w:val="left" w:pos="1440"/>
        </w:tabs>
      </w:pPr>
    </w:p>
    <w:p w:rsidR="00F96657" w:rsidRPr="004120DD" w:rsidRDefault="00F96657" w:rsidP="00F96657">
      <w:pPr>
        <w:pStyle w:val="Heading2"/>
        <w:rPr>
          <w:rFonts w:ascii="Times New Roman" w:hAnsi="Times New Roman"/>
        </w:rPr>
      </w:pPr>
      <w:bookmarkStart w:id="115" w:name="_Toc289408133"/>
      <w:bookmarkStart w:id="116" w:name="_Toc289409419"/>
      <w:bookmarkStart w:id="117" w:name="_Toc289409529"/>
      <w:bookmarkStart w:id="118" w:name="_Toc289409672"/>
      <w:bookmarkStart w:id="119" w:name="_Toc290548394"/>
      <w:bookmarkStart w:id="120" w:name="C3"/>
      <w:r w:rsidRPr="004120DD">
        <w:rPr>
          <w:rFonts w:ascii="Times New Roman" w:hAnsi="Times New Roman"/>
        </w:rPr>
        <w:t>3.</w:t>
      </w:r>
      <w:r w:rsidRPr="004120DD">
        <w:rPr>
          <w:rFonts w:ascii="Times New Roman" w:hAnsi="Times New Roman"/>
        </w:rPr>
        <w:tab/>
        <w:t>Indirect Infringement</w:t>
      </w:r>
      <w:bookmarkEnd w:id="115"/>
      <w:bookmarkEnd w:id="116"/>
      <w:bookmarkEnd w:id="117"/>
      <w:bookmarkEnd w:id="118"/>
      <w:bookmarkEnd w:id="119"/>
    </w:p>
    <w:bookmarkEnd w:id="120"/>
    <w:p w:rsidR="00F96657" w:rsidRPr="004120DD" w:rsidRDefault="00F96657" w:rsidP="00F96657">
      <w:pPr>
        <w:tabs>
          <w:tab w:val="left" w:pos="720"/>
          <w:tab w:val="left" w:pos="1440"/>
        </w:tabs>
      </w:pPr>
    </w:p>
    <w:p w:rsidR="00F96657" w:rsidRDefault="00F96657" w:rsidP="00F96657">
      <w:pPr>
        <w:tabs>
          <w:tab w:val="left" w:pos="720"/>
          <w:tab w:val="left" w:pos="1440"/>
        </w:tabs>
      </w:pPr>
      <w:r w:rsidRPr="004120DD">
        <w:t>Even in the absence of direct infring</w:t>
      </w:r>
      <w:r w:rsidR="000C5559">
        <w:t>ement by a particular party, that</w:t>
      </w:r>
      <w:r w:rsidRPr="004120DD">
        <w:t xml:space="preserve"> party may infringe a patent by being a contributory infringer or by actively inducing another to infringe.  35 U.S.C. §§ 271</w:t>
      </w:r>
      <w:r>
        <w:fldChar w:fldCharType="begin"/>
      </w:r>
      <w:r>
        <w:instrText xml:space="preserve"> TA \s "35 U.S.C. § 271" </w:instrText>
      </w:r>
      <w:r>
        <w:fldChar w:fldCharType="end"/>
      </w:r>
      <w:r w:rsidRPr="004120DD">
        <w:t xml:space="preserve"> (b), (c)</w:t>
      </w:r>
      <w:r>
        <w:t>.</w:t>
      </w:r>
    </w:p>
    <w:p w:rsidR="00F96657" w:rsidRPr="004120DD" w:rsidRDefault="00F96657" w:rsidP="00F96657">
      <w:pPr>
        <w:keepNext/>
        <w:tabs>
          <w:tab w:val="left" w:pos="720"/>
          <w:tab w:val="left" w:pos="1440"/>
        </w:tabs>
        <w:outlineLvl w:val="1"/>
      </w:pPr>
    </w:p>
    <w:p w:rsidR="00F96657" w:rsidRDefault="00F96657" w:rsidP="00F96657">
      <w:pPr>
        <w:tabs>
          <w:tab w:val="left" w:pos="720"/>
          <w:tab w:val="left" w:pos="1440"/>
        </w:tabs>
      </w:pPr>
      <w:r w:rsidRPr="004120DD">
        <w:t xml:space="preserve">“Liability for either active inducement of infringement or for contributory infringement is dependent upon the existence of direct infringement,” that is, there can be no indirect infringement against one party unless some other party is guilty of direct infringement.  </w:t>
      </w:r>
      <w:r w:rsidRPr="00655780">
        <w:rPr>
          <w:i/>
          <w:lang w:val="fr-FR"/>
        </w:rPr>
        <w:t>AquaTex Indus. Inc. v. Techniche Solutions</w:t>
      </w:r>
      <w:r w:rsidRPr="002D0E2B">
        <w:rPr>
          <w:lang w:val="fr-FR"/>
        </w:rPr>
        <w:t>, 419 F.3d 1374, 76 U.S.P.Q.2d 1213, 1217 (Fed. Cir. 2005)</w:t>
      </w:r>
      <w:r>
        <w:fldChar w:fldCharType="begin"/>
      </w:r>
      <w:r w:rsidRPr="002D0E2B">
        <w:rPr>
          <w:lang w:val="fr-FR"/>
        </w:rPr>
        <w:instrText xml:space="preserve"> TA \l "</w:instrText>
      </w:r>
      <w:r w:rsidRPr="002D0E2B">
        <w:rPr>
          <w:u w:val="single"/>
          <w:lang w:val="fr-FR"/>
        </w:rPr>
        <w:instrText>AquaTex Indus. Inc. v. Techniche Solutions</w:instrText>
      </w:r>
      <w:r w:rsidRPr="002D0E2B">
        <w:rPr>
          <w:lang w:val="fr-FR"/>
        </w:rPr>
        <w:instrText xml:space="preserve">, 419 F.3d 1374, 76 U.S.P.Q.2d 1213, 1217 (Fed. Cir. 2005)" \s "AquaTex Indus. Inc. v. Techniche Solutions, 419 F.3d 1374, 76 U.S.P.Q.2d 1213, 1217 (Fed. Cir. 2005)" \c 1 </w:instrText>
      </w:r>
      <w:r>
        <w:fldChar w:fldCharType="end"/>
      </w:r>
      <w:r w:rsidRPr="002D0E2B">
        <w:rPr>
          <w:lang w:val="fr-FR"/>
        </w:rPr>
        <w:t xml:space="preserve">.  </w:t>
      </w:r>
      <w:r w:rsidR="00001794">
        <w:rPr>
          <w:lang w:val="fr-FR"/>
        </w:rPr>
        <w:t xml:space="preserve"> </w:t>
      </w:r>
      <w:r w:rsidR="00001794" w:rsidRPr="00655780">
        <w:rPr>
          <w:lang w:val="fr-FR"/>
        </w:rPr>
        <w:t>See also</w:t>
      </w:r>
      <w:r w:rsidR="00001794">
        <w:rPr>
          <w:i/>
          <w:lang w:val="fr-FR"/>
        </w:rPr>
        <w:t xml:space="preserve"> </w:t>
      </w:r>
      <w:r w:rsidR="00001794" w:rsidRPr="00655780">
        <w:rPr>
          <w:i/>
          <w:lang w:val="fr-FR"/>
        </w:rPr>
        <w:t>Limelight Networks, Inc. v. Akamai Techs. Inc.</w:t>
      </w:r>
      <w:r w:rsidR="00001794" w:rsidRPr="006A797F">
        <w:rPr>
          <w:lang w:val="fr-FR"/>
        </w:rPr>
        <w:t>, 134 S. Ct. 2111, 2113 (U.S. 2014)</w:t>
      </w:r>
      <w:r w:rsidR="006A797F">
        <w:rPr>
          <w:lang w:val="fr-FR"/>
        </w:rPr>
        <w:t xml:space="preserve">. </w:t>
      </w:r>
      <w:r w:rsidRPr="004120DD">
        <w:t xml:space="preserve">Consequently, indirect infringement is primarily significant because it permits the patentee to “enforce his rights against the competitor who brought about the infringement, rather than requiring the patentee to undertake the almost insuperable task of finding and suing all the innocent purchasers.”  </w:t>
      </w:r>
      <w:r w:rsidRPr="00655780">
        <w:rPr>
          <w:i/>
        </w:rPr>
        <w:t>Dawson Chem. Co. v. Rohm and Hass Co.</w:t>
      </w:r>
      <w:r w:rsidRPr="004120DD">
        <w:t>, 448 U.S. 176 (1980)</w:t>
      </w:r>
      <w:r>
        <w:fldChar w:fldCharType="begin"/>
      </w:r>
      <w:r>
        <w:instrText xml:space="preserve"> TA \l "</w:instrText>
      </w:r>
      <w:r w:rsidRPr="00F54CA2">
        <w:rPr>
          <w:u w:val="single"/>
        </w:rPr>
        <w:instrText xml:space="preserve">Dawson </w:instrText>
      </w:r>
      <w:r>
        <w:rPr>
          <w:u w:val="single"/>
        </w:rPr>
        <w:instrText>Chem.</w:instrText>
      </w:r>
      <w:r w:rsidRPr="00F54CA2">
        <w:rPr>
          <w:u w:val="single"/>
        </w:rPr>
        <w:instrText xml:space="preserve"> Co. v. Rohm and Hass Co</w:instrText>
      </w:r>
      <w:r w:rsidRPr="00F54CA2">
        <w:instrText>., 448 U.S. 176 (1980)</w:instrText>
      </w:r>
      <w:r>
        <w:instrText xml:space="preserve">" \s "Dawson Chem. Co. v. Rohm and Hass Co., 448 U.S. 176 (1980)" \c 1 </w:instrText>
      </w:r>
      <w:r>
        <w:fldChar w:fldCharType="end"/>
      </w:r>
      <w:r>
        <w:t>.</w:t>
      </w:r>
    </w:p>
    <w:p w:rsidR="00F96657" w:rsidRPr="004120DD" w:rsidRDefault="00F96657" w:rsidP="00F96657">
      <w:pPr>
        <w:tabs>
          <w:tab w:val="left" w:pos="720"/>
          <w:tab w:val="left" w:pos="1440"/>
        </w:tabs>
      </w:pPr>
    </w:p>
    <w:p w:rsidR="00F96657" w:rsidRPr="004120DD" w:rsidRDefault="00F96657" w:rsidP="00F96657">
      <w:pPr>
        <w:pStyle w:val="Heading3"/>
        <w:rPr>
          <w:rFonts w:ascii="Times New Roman" w:hAnsi="Times New Roman"/>
        </w:rPr>
      </w:pPr>
      <w:bookmarkStart w:id="121" w:name="_Toc289408134"/>
      <w:bookmarkStart w:id="122" w:name="_Toc289409420"/>
      <w:bookmarkStart w:id="123" w:name="_Toc289409530"/>
      <w:bookmarkStart w:id="124" w:name="_Toc289409673"/>
      <w:bookmarkStart w:id="125" w:name="_Toc290548395"/>
      <w:bookmarkStart w:id="126" w:name="C3a"/>
      <w:r w:rsidRPr="004120DD">
        <w:rPr>
          <w:rFonts w:ascii="Times New Roman" w:hAnsi="Times New Roman"/>
        </w:rPr>
        <w:t>a.</w:t>
      </w:r>
      <w:r w:rsidRPr="004120DD">
        <w:rPr>
          <w:rFonts w:ascii="Times New Roman" w:hAnsi="Times New Roman"/>
        </w:rPr>
        <w:tab/>
        <w:t>Inducing Infringement</w:t>
      </w:r>
      <w:bookmarkEnd w:id="121"/>
      <w:bookmarkEnd w:id="122"/>
      <w:bookmarkEnd w:id="123"/>
      <w:bookmarkEnd w:id="124"/>
      <w:bookmarkEnd w:id="125"/>
    </w:p>
    <w:bookmarkEnd w:id="126"/>
    <w:p w:rsidR="00F96657" w:rsidRPr="004120DD" w:rsidRDefault="00F96657" w:rsidP="00F96657">
      <w:pPr>
        <w:tabs>
          <w:tab w:val="left" w:pos="720"/>
          <w:tab w:val="left" w:pos="1440"/>
        </w:tabs>
      </w:pPr>
    </w:p>
    <w:p w:rsidR="00E12819" w:rsidRPr="00455599" w:rsidRDefault="00F96657" w:rsidP="00F96657">
      <w:pPr>
        <w:tabs>
          <w:tab w:val="left" w:pos="720"/>
          <w:tab w:val="left" w:pos="1440"/>
        </w:tabs>
      </w:pPr>
      <w:r w:rsidRPr="004120DD">
        <w:t>The patent statute provides that “[w]homever actively induces infringement of a patent shall be liable as an infringer.”  35 U.S.C. § 271</w:t>
      </w:r>
      <w:r>
        <w:fldChar w:fldCharType="begin"/>
      </w:r>
      <w:r>
        <w:instrText xml:space="preserve"> TA \s "35 U.S.C. § 271" </w:instrText>
      </w:r>
      <w:r>
        <w:fldChar w:fldCharType="end"/>
      </w:r>
      <w:r w:rsidRPr="004120DD">
        <w:t xml:space="preserve"> (b).  </w:t>
      </w:r>
      <w:r w:rsidR="00354AEF">
        <w:t xml:space="preserve">Section 271(b) appears to have two </w:t>
      </w:r>
      <w:r w:rsidR="00085E26">
        <w:t>parts</w:t>
      </w:r>
      <w:r w:rsidR="00354AEF">
        <w:t xml:space="preserve">: (1) knowledge that the induced act constitutes infringement, and (2) knowledge of the existence of the patent being infringed.  </w:t>
      </w:r>
      <w:r w:rsidR="00E12819">
        <w:t xml:space="preserve">In </w:t>
      </w:r>
      <w:r w:rsidR="00E12819" w:rsidRPr="00655780">
        <w:rPr>
          <w:i/>
        </w:rPr>
        <w:t>Global-Tech Appliances, Inc. v. SEB S.A.</w:t>
      </w:r>
      <w:r w:rsidR="00E12819">
        <w:t xml:space="preserve">, </w:t>
      </w:r>
      <w:r w:rsidR="006A797F">
        <w:t xml:space="preserve">131 S. Ct. 2060 </w:t>
      </w:r>
      <w:r w:rsidR="00E12819">
        <w:t xml:space="preserve">(2011), the Supreme Court held that “[i]nduced infringement under §271(b) requires knowledge that the induced acts constitute patent infringement.” The Court stated that the knowledge for liability under §271(b) is the same as that under §271(c).  In short, “§271(b) requires knowledge that the induced acts constitute patent infringement.”  </w:t>
      </w:r>
      <w:r w:rsidR="00E12819" w:rsidRPr="00655780">
        <w:rPr>
          <w:i/>
        </w:rPr>
        <w:t>Id</w:t>
      </w:r>
      <w:r w:rsidR="00655780">
        <w:t>.</w:t>
      </w:r>
      <w:r w:rsidR="00455599">
        <w:t xml:space="preserve"> at </w:t>
      </w:r>
      <w:r w:rsidR="006A797F">
        <w:t>2068</w:t>
      </w:r>
      <w:r w:rsidR="00455599">
        <w:t>.</w:t>
      </w:r>
      <w:r w:rsidR="00E12819">
        <w:t xml:space="preserve">  </w:t>
      </w:r>
      <w:r w:rsidR="00085E26">
        <w:t>Additionally, §271(b) requires</w:t>
      </w:r>
      <w:r w:rsidR="00E12819">
        <w:t xml:space="preserve"> “knowledge of the existence of the patent that is infringed.”</w:t>
      </w:r>
      <w:r w:rsidR="00455599">
        <w:t xml:space="preserve">  </w:t>
      </w:r>
      <w:r w:rsidR="00455599" w:rsidRPr="00655780">
        <w:rPr>
          <w:i/>
        </w:rPr>
        <w:t>Id</w:t>
      </w:r>
      <w:r w:rsidR="00455599" w:rsidRPr="00655780">
        <w:t>.</w:t>
      </w:r>
      <w:r w:rsidR="00455599" w:rsidRPr="002D0E2B">
        <w:t xml:space="preserve"> </w:t>
      </w:r>
      <w:r w:rsidR="00455599">
        <w:t xml:space="preserve">at </w:t>
      </w:r>
      <w:r w:rsidR="006A797F">
        <w:t>2068.</w:t>
      </w:r>
    </w:p>
    <w:p w:rsidR="00E12819" w:rsidRDefault="00E12819" w:rsidP="00F96657">
      <w:pPr>
        <w:tabs>
          <w:tab w:val="left" w:pos="720"/>
          <w:tab w:val="left" w:pos="1440"/>
        </w:tabs>
      </w:pPr>
    </w:p>
    <w:p w:rsidR="00345C85" w:rsidRPr="0062790D" w:rsidRDefault="00455599" w:rsidP="00F96657">
      <w:pPr>
        <w:tabs>
          <w:tab w:val="left" w:pos="720"/>
          <w:tab w:val="left" w:pos="1440"/>
        </w:tabs>
      </w:pPr>
      <w:r>
        <w:t xml:space="preserve">In </w:t>
      </w:r>
      <w:r w:rsidRPr="00655780">
        <w:rPr>
          <w:i/>
        </w:rPr>
        <w:t>Global-Tech Appliances, Inc. v. SEB S.A.</w:t>
      </w:r>
      <w:r>
        <w:t xml:space="preserve">, </w:t>
      </w:r>
      <w:r w:rsidR="00BB4E95">
        <w:t>131 S. Ct. 2060</w:t>
      </w:r>
      <w:r>
        <w:t xml:space="preserve"> (2011), the Supreme Court </w:t>
      </w:r>
      <w:r w:rsidR="001C679D">
        <w:t>used</w:t>
      </w:r>
      <w:r w:rsidR="00BE0501">
        <w:t xml:space="preserve"> willful blindness </w:t>
      </w:r>
      <w:r w:rsidR="001C679D">
        <w:t>to satisfy</w:t>
      </w:r>
      <w:r w:rsidR="00BE0501">
        <w:t xml:space="preserve"> the knowledge required by §271(b)</w:t>
      </w:r>
      <w:r w:rsidR="00345C85">
        <w:t>.</w:t>
      </w:r>
      <w:r w:rsidR="00BE0501">
        <w:t xml:space="preserve">  </w:t>
      </w:r>
      <w:r w:rsidRPr="00655780">
        <w:rPr>
          <w:i/>
        </w:rPr>
        <w:t>Id.</w:t>
      </w:r>
      <w:r w:rsidR="009961FC">
        <w:t xml:space="preserve"> </w:t>
      </w:r>
      <w:r>
        <w:t xml:space="preserve">at </w:t>
      </w:r>
      <w:r w:rsidR="00BB4E95">
        <w:t>2069</w:t>
      </w:r>
      <w:r>
        <w:t xml:space="preserve">.  </w:t>
      </w:r>
      <w:r w:rsidR="009961FC">
        <w:t xml:space="preserve">The Court stated that there are two basic requirements for willful blindness: “(1) the defendant must subjectively believe that there is a high probability that a fact exists and (2) the defendant must take deliberate actions to avoid learning of that fact.”  </w:t>
      </w:r>
      <w:r w:rsidR="009961FC" w:rsidRPr="00655780">
        <w:rPr>
          <w:i/>
        </w:rPr>
        <w:t>Id.</w:t>
      </w:r>
      <w:r w:rsidR="009961FC">
        <w:t xml:space="preserve"> at </w:t>
      </w:r>
      <w:r w:rsidR="00BB4E95">
        <w:t>2070</w:t>
      </w:r>
      <w:r w:rsidR="009961FC">
        <w:t xml:space="preserve">.  “Under this formulation, a willfully blind defendant is one who takes deliberate actions to avoid confirming a high probability of wrongdoing and who can almost be said to have actually known the critical facts.”  </w:t>
      </w:r>
      <w:r w:rsidR="009961FC" w:rsidRPr="00655780">
        <w:rPr>
          <w:i/>
        </w:rPr>
        <w:t>Id.</w:t>
      </w:r>
      <w:r w:rsidR="009961FC">
        <w:t xml:space="preserve"> at </w:t>
      </w:r>
      <w:r w:rsidR="00BB4E95">
        <w:t>2070-71</w:t>
      </w:r>
      <w:r w:rsidR="009961FC">
        <w:t xml:space="preserve">.  </w:t>
      </w:r>
      <w:r w:rsidR="0062790D">
        <w:t xml:space="preserve">Mere knowledge of a “known risk” that the induced acts are infringing is insufficient.  </w:t>
      </w:r>
      <w:r w:rsidR="0062790D" w:rsidRPr="00655780">
        <w:rPr>
          <w:i/>
        </w:rPr>
        <w:t>See</w:t>
      </w:r>
      <w:r w:rsidR="0062790D">
        <w:t xml:space="preserve"> </w:t>
      </w:r>
      <w:r w:rsidR="00BB4E95" w:rsidRPr="00655780">
        <w:rPr>
          <w:i/>
        </w:rPr>
        <w:t>id.</w:t>
      </w:r>
      <w:r w:rsidR="0062790D">
        <w:t xml:space="preserve">  Additionally, only a “deliberate indifference” to that risk is insufficient.  </w:t>
      </w:r>
      <w:r w:rsidR="0062790D" w:rsidRPr="00655780">
        <w:rPr>
          <w:i/>
        </w:rPr>
        <w:t>See id.</w:t>
      </w:r>
    </w:p>
    <w:p w:rsidR="00345C85" w:rsidRDefault="00345C85" w:rsidP="00F96657">
      <w:pPr>
        <w:tabs>
          <w:tab w:val="left" w:pos="720"/>
          <w:tab w:val="left" w:pos="1440"/>
        </w:tabs>
      </w:pPr>
    </w:p>
    <w:p w:rsidR="00B5075C" w:rsidRDefault="004A4225" w:rsidP="00F96657">
      <w:pPr>
        <w:tabs>
          <w:tab w:val="left" w:pos="720"/>
          <w:tab w:val="left" w:pos="1440"/>
        </w:tabs>
      </w:pPr>
      <w:r>
        <w:t>N</w:t>
      </w:r>
      <w:r w:rsidR="00251C79">
        <w:t xml:space="preserve">egligence is </w:t>
      </w:r>
      <w:r w:rsidR="0062790D">
        <w:t xml:space="preserve">clearly </w:t>
      </w:r>
      <w:r w:rsidR="00251C79">
        <w:t>not enough for infringement under §271(b)</w:t>
      </w:r>
      <w:r w:rsidR="00957775">
        <w:t xml:space="preserve">.  </w:t>
      </w:r>
      <w:r w:rsidR="00251C79">
        <w:t xml:space="preserve">The Court </w:t>
      </w:r>
      <w:r>
        <w:t xml:space="preserve">in </w:t>
      </w:r>
      <w:r w:rsidRPr="00655780">
        <w:rPr>
          <w:i/>
        </w:rPr>
        <w:t>Global-Tech Appliances, Inc. v. SEB S.A.</w:t>
      </w:r>
      <w:r>
        <w:t xml:space="preserve">, </w:t>
      </w:r>
      <w:r w:rsidR="00BB4E95">
        <w:t xml:space="preserve">131 S. Ct. 2060 </w:t>
      </w:r>
      <w:r>
        <w:t xml:space="preserve">(2011) </w:t>
      </w:r>
      <w:r w:rsidR="00251C79">
        <w:t>distinguished</w:t>
      </w:r>
      <w:r w:rsidR="009961FC">
        <w:t xml:space="preserve"> willful blindness </w:t>
      </w:r>
      <w:r w:rsidR="00251C79">
        <w:t>from</w:t>
      </w:r>
      <w:r w:rsidR="009961FC">
        <w:t xml:space="preserve"> recklessness and negligence.  “A reckless defendant is one who merely knows of a substantial and unjustified risk of such wrongdoing, and a negligent defendant is one who should have known of a similar risk but, in fact, did not.”  </w:t>
      </w:r>
      <w:r w:rsidR="009961FC" w:rsidRPr="00655780">
        <w:rPr>
          <w:i/>
        </w:rPr>
        <w:t>Id.</w:t>
      </w:r>
      <w:r w:rsidR="009961FC">
        <w:t xml:space="preserve"> at </w:t>
      </w:r>
      <w:r w:rsidR="00BB4E95">
        <w:t>2071</w:t>
      </w:r>
      <w:r w:rsidR="009961FC">
        <w:t>.</w:t>
      </w:r>
      <w:r w:rsidR="00085E26">
        <w:t xml:space="preserve"> </w:t>
      </w:r>
      <w:r w:rsidR="00345C85">
        <w:t xml:space="preserve"> </w:t>
      </w:r>
      <w:r w:rsidR="00B5075C">
        <w:t xml:space="preserve">While the Court found the evidence in this case to be sufficient under the correct standard to affirm the ruling in favor of SEB, it rejected the Federal Circuit’s test that §271(b) requires a showing that the alleged infringer “knew or should have known that his actions would induce actual infringements.”  </w:t>
      </w:r>
      <w:r w:rsidR="00B5075C" w:rsidRPr="00655780">
        <w:rPr>
          <w:i/>
        </w:rPr>
        <w:t>Id.</w:t>
      </w:r>
      <w:r w:rsidR="00B5075C">
        <w:t xml:space="preserve"> at </w:t>
      </w:r>
      <w:r w:rsidR="00BB4E95">
        <w:t>2065</w:t>
      </w:r>
      <w:r w:rsidR="00B5075C">
        <w:t>.  Furthermore, n</w:t>
      </w:r>
      <w:r w:rsidR="00957775">
        <w:t xml:space="preserve">egligence is </w:t>
      </w:r>
      <w:r w:rsidR="00B5075C">
        <w:t xml:space="preserve">implicitly </w:t>
      </w:r>
      <w:r w:rsidR="00957775">
        <w:t xml:space="preserve">insufficient for §271(b) given the Court’s holding that a “deliberate indifference to a known risk that a patent exists does not satisfy the knowledge required by §271(b).”  It is less clear </w:t>
      </w:r>
      <w:r w:rsidR="0062790D">
        <w:t xml:space="preserve">whether recklessness would be </w:t>
      </w:r>
      <w:r w:rsidR="00957775">
        <w:t xml:space="preserve">sufficient for infringement under §271(b).  </w:t>
      </w:r>
    </w:p>
    <w:p w:rsidR="00E12819" w:rsidRDefault="00E12819" w:rsidP="00F96657">
      <w:pPr>
        <w:tabs>
          <w:tab w:val="left" w:pos="720"/>
          <w:tab w:val="left" w:pos="1440"/>
        </w:tabs>
      </w:pPr>
    </w:p>
    <w:p w:rsidR="00F96657" w:rsidRPr="004120DD" w:rsidRDefault="00F96657" w:rsidP="00F96657">
      <w:pPr>
        <w:pStyle w:val="Heading3"/>
        <w:rPr>
          <w:rFonts w:ascii="Times New Roman" w:hAnsi="Times New Roman"/>
        </w:rPr>
      </w:pPr>
      <w:bookmarkStart w:id="127" w:name="C3b"/>
      <w:bookmarkStart w:id="128" w:name="_Toc289408135"/>
      <w:bookmarkStart w:id="129" w:name="_Toc289409421"/>
      <w:bookmarkStart w:id="130" w:name="_Toc289409531"/>
      <w:bookmarkStart w:id="131" w:name="_Toc289409674"/>
      <w:bookmarkStart w:id="132" w:name="_Toc290548396"/>
      <w:r w:rsidRPr="004120DD">
        <w:rPr>
          <w:rFonts w:ascii="Times New Roman" w:hAnsi="Times New Roman"/>
        </w:rPr>
        <w:t>b.</w:t>
      </w:r>
      <w:r w:rsidRPr="004120DD">
        <w:rPr>
          <w:rFonts w:ascii="Times New Roman" w:hAnsi="Times New Roman"/>
        </w:rPr>
        <w:tab/>
        <w:t>Contributory Infringement</w:t>
      </w:r>
      <w:bookmarkEnd w:id="127"/>
      <w:bookmarkEnd w:id="128"/>
      <w:bookmarkEnd w:id="129"/>
      <w:bookmarkEnd w:id="130"/>
      <w:bookmarkEnd w:id="131"/>
      <w:bookmarkEnd w:id="132"/>
    </w:p>
    <w:p w:rsidR="00F96657" w:rsidRPr="004120DD" w:rsidRDefault="00F96657" w:rsidP="00F96657">
      <w:pPr>
        <w:tabs>
          <w:tab w:val="left" w:pos="720"/>
          <w:tab w:val="left" w:pos="1440"/>
        </w:tabs>
      </w:pPr>
    </w:p>
    <w:p w:rsidR="00F96657" w:rsidRDefault="00F96657" w:rsidP="00F96657">
      <w:pPr>
        <w:tabs>
          <w:tab w:val="left" w:pos="720"/>
          <w:tab w:val="left" w:pos="1440"/>
        </w:tabs>
      </w:pPr>
      <w:r w:rsidRPr="004120DD">
        <w:t xml:space="preserve">Contributory infringement exists “to protect patent rights from subversion by those who, without directly infringing the patent themselves, engage in acts designed to facilitate infringement by others.  </w:t>
      </w:r>
      <w:r w:rsidRPr="00655780">
        <w:rPr>
          <w:i/>
        </w:rPr>
        <w:t>Dawson Chem. Co. v. Rohm and Hass Co.</w:t>
      </w:r>
      <w:r w:rsidRPr="004120DD">
        <w:t>, 448 U.S. 176 (1980)</w:t>
      </w:r>
      <w:r>
        <w:fldChar w:fldCharType="begin"/>
      </w:r>
      <w:r>
        <w:instrText xml:space="preserve"> TA \s "Dawson Chem. Co. v. Rohm and Hass Co., 448 U.S. 176 (1980)" </w:instrText>
      </w:r>
      <w:r>
        <w:fldChar w:fldCharType="end"/>
      </w:r>
      <w:r w:rsidRPr="004120DD">
        <w:t>.  Contributory infringement exists where the party knows the apparatus to be “especially made or especially adapted for use in an infringement,” unless the apparatus has a “substantial noninfringing use.”  35 U.S.C. § 271</w:t>
      </w:r>
      <w:r>
        <w:fldChar w:fldCharType="begin"/>
      </w:r>
      <w:r>
        <w:instrText xml:space="preserve"> TA \s "35 U.S.C. § 271" </w:instrText>
      </w:r>
      <w:r>
        <w:fldChar w:fldCharType="end"/>
      </w:r>
      <w:r w:rsidRPr="004120DD">
        <w:t xml:space="preserve"> (c); see </w:t>
      </w:r>
      <w:r w:rsidRPr="00655780">
        <w:rPr>
          <w:i/>
        </w:rPr>
        <w:t>BMC Resources Inc. v. Paymentech LP</w:t>
      </w:r>
      <w:r w:rsidRPr="004120DD">
        <w:t xml:space="preserve">, 498 F.3d 1373, 84 </w:t>
      </w:r>
      <w:r>
        <w:t>U.S.P.Q.</w:t>
      </w:r>
      <w:r w:rsidRPr="004120DD">
        <w:t>2d 1545, 1550 (Fed. Cir. 2007)</w:t>
      </w:r>
      <w:r>
        <w:fldChar w:fldCharType="begin"/>
      </w:r>
      <w:r>
        <w:instrText xml:space="preserve"> TA \l "</w:instrText>
      </w:r>
      <w:r w:rsidRPr="00F54CA2">
        <w:rPr>
          <w:u w:val="single"/>
        </w:rPr>
        <w:instrText>BMC Resources Inc. v. Paymentech LP</w:instrText>
      </w:r>
      <w:r w:rsidRPr="00F54CA2">
        <w:instrText xml:space="preserve">, 498 F.3d 1373, 84 </w:instrText>
      </w:r>
      <w:r>
        <w:instrText>U.S.P.Q.</w:instrText>
      </w:r>
      <w:r w:rsidRPr="00F54CA2">
        <w:instrText>2d 1545, 1550 (Fed. Cir. 2007)</w:instrText>
      </w:r>
      <w:r>
        <w:instrText xml:space="preserve">" \s "BMC Resources Inc. v. Paymentech LP, 498 F.3d 1373, 84 U.S.P.Q.2d 1545, 1550 (Fed. Cir. 2007)" \c 1 </w:instrText>
      </w:r>
      <w:r>
        <w:fldChar w:fldCharType="end"/>
      </w:r>
      <w:r>
        <w:t>.</w:t>
      </w:r>
    </w:p>
    <w:p w:rsidR="00F96657" w:rsidRPr="004120DD" w:rsidRDefault="00F96657" w:rsidP="00F96657">
      <w:pPr>
        <w:tabs>
          <w:tab w:val="left" w:pos="720"/>
          <w:tab w:val="left" w:pos="1440"/>
        </w:tabs>
      </w:pPr>
    </w:p>
    <w:p w:rsidR="00F96657" w:rsidRDefault="00F96657" w:rsidP="00F96657">
      <w:pPr>
        <w:tabs>
          <w:tab w:val="left" w:pos="720"/>
          <w:tab w:val="left" w:pos="1440"/>
        </w:tabs>
      </w:pPr>
      <w:r w:rsidRPr="004120DD">
        <w:t>Whether something is a “staple</w:t>
      </w:r>
      <w:r w:rsidR="009A5786">
        <w:t xml:space="preserve"> article or commodity of </w:t>
      </w:r>
      <w:r w:rsidR="00C4547C">
        <w:t>commerce</w:t>
      </w:r>
      <w:r w:rsidRPr="004120DD">
        <w:t xml:space="preserve">” is a separate question from whether it has a substantial noninfringing use.  See </w:t>
      </w:r>
      <w:r w:rsidRPr="00655780">
        <w:rPr>
          <w:i/>
        </w:rPr>
        <w:t>AquaTex Indus. Inc. v. Techniche Solutions</w:t>
      </w:r>
      <w:r w:rsidRPr="004120DD">
        <w:t xml:space="preserve">, 419 F.3d 1374, 76 </w:t>
      </w:r>
      <w:r>
        <w:t>U.S.P.Q.</w:t>
      </w:r>
      <w:r w:rsidRPr="004120DD">
        <w:t>2d 1213, 1217 (Fed. Cir. 2005)</w:t>
      </w:r>
      <w:r>
        <w:fldChar w:fldCharType="begin"/>
      </w:r>
      <w:r>
        <w:instrText xml:space="preserve"> TA \s "AquaTex Indus. Inc. v. Techniche Solutions, 419 F.3d 1374, 76 U.S.P.Q.2d 1213, 1217 (Fed. Cir. 2005)" </w:instrText>
      </w:r>
      <w:r>
        <w:fldChar w:fldCharType="end"/>
      </w:r>
      <w:r w:rsidRPr="004120DD">
        <w:t>.  In practice, though, most contributory infringement cases turn on whether there is a “substantial” noninfringing use for the accused product, rather than whether the product is a staple</w:t>
      </w:r>
      <w:r w:rsidR="009A5786">
        <w:t xml:space="preserve"> article</w:t>
      </w:r>
      <w:r w:rsidRPr="004120DD">
        <w:t xml:space="preserve">.  See, e.g., </w:t>
      </w:r>
      <w:r w:rsidRPr="00655780">
        <w:rPr>
          <w:i/>
        </w:rPr>
        <w:t>id</w:t>
      </w:r>
      <w:r>
        <w:t>.</w:t>
      </w:r>
      <w:r>
        <w:fldChar w:fldCharType="begin"/>
      </w:r>
      <w:r>
        <w:instrText xml:space="preserve"> TA \s "AquaTex Indus. Inc. v. Techniche Solutions, 419 F.3d 1374, 76 U.S.P.Q.2d 1213, 1217 (Fed. Cir. 2005)" </w:instrText>
      </w:r>
      <w:r>
        <w:fldChar w:fldCharType="end"/>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Whether a product has a substantial noninfringing use is a fact sensitive inquiry, and courts have considered a wide variety of factors in deciding it.  Perhaps the most important single factor is the proportion of sales that is for infringing use.  If the noninfringing use is occasional or aberrant, it is probably not substantial.  See </w:t>
      </w:r>
      <w:r w:rsidRPr="00655780">
        <w:rPr>
          <w:i/>
        </w:rPr>
        <w:t xml:space="preserve">Hoffmann-La </w:t>
      </w:r>
      <w:r w:rsidR="00CE5829">
        <w:rPr>
          <w:i/>
        </w:rPr>
        <w:t>Roland</w:t>
      </w:r>
      <w:r w:rsidRPr="00655780">
        <w:rPr>
          <w:i/>
        </w:rPr>
        <w:t xml:space="preserve"> Inc. v. Promega Corp</w:t>
      </w:r>
      <w:r w:rsidRPr="004120DD">
        <w:t xml:space="preserve">, 33 </w:t>
      </w:r>
      <w:r>
        <w:t>U.S.P.Q.</w:t>
      </w:r>
      <w:r w:rsidRPr="004120DD">
        <w:t>2d 1641 (N.D. Calif. 1994)</w:t>
      </w:r>
      <w:r>
        <w:fldChar w:fldCharType="begin"/>
      </w:r>
      <w:r>
        <w:instrText xml:space="preserve"> TA \l "</w:instrText>
      </w:r>
      <w:r w:rsidRPr="00F54CA2">
        <w:rPr>
          <w:u w:val="single"/>
        </w:rPr>
        <w:instrText xml:space="preserve">Hoffmann-La </w:instrText>
      </w:r>
      <w:r w:rsidR="00CE5829">
        <w:rPr>
          <w:u w:val="single"/>
        </w:rPr>
        <w:instrText>Roland</w:instrText>
      </w:r>
      <w:r w:rsidRPr="00F54CA2">
        <w:rPr>
          <w:u w:val="single"/>
        </w:rPr>
        <w:instrText xml:space="preserve"> Inc. v. Promega Corp</w:instrText>
      </w:r>
      <w:r w:rsidRPr="00F54CA2">
        <w:instrText xml:space="preserve">, 33 </w:instrText>
      </w:r>
      <w:r>
        <w:instrText>U.S.P.Q.</w:instrText>
      </w:r>
      <w:r w:rsidRPr="00F54CA2">
        <w:instrText>2d 1641 (N.D. Calif. 1994)</w:instrText>
      </w:r>
      <w:r>
        <w:instrText xml:space="preserve">" \s "Hoffmann-La </w:instrText>
      </w:r>
      <w:r w:rsidR="00CE5829">
        <w:instrText>Roland</w:instrText>
      </w:r>
      <w:r>
        <w:instrText xml:space="preserve"> Inc. v. Promega Corp, 33 U.S.P.Q.2d 1641 (N.D. Calif. 1994)" \c 1 </w:instrText>
      </w:r>
      <w:r>
        <w:fldChar w:fldCharType="end"/>
      </w:r>
      <w:r w:rsidRPr="004120DD">
        <w:t xml:space="preserve">; </w:t>
      </w:r>
      <w:r w:rsidRPr="00655780">
        <w:rPr>
          <w:i/>
        </w:rPr>
        <w:t>EWP Corp. v. Reliance Universal Inc.</w:t>
      </w:r>
      <w:r w:rsidRPr="004120DD">
        <w:t xml:space="preserve">, 221 </w:t>
      </w:r>
      <w:r>
        <w:t>U.S.P.Q.</w:t>
      </w:r>
      <w:r w:rsidRPr="004120DD">
        <w:t xml:space="preserve"> 542 (S.D Ohio 1983)</w:t>
      </w:r>
      <w:r w:rsidR="009A5786">
        <w:t xml:space="preserve"> rev’d on other grounds</w:t>
      </w:r>
      <w:r>
        <w:fldChar w:fldCharType="begin"/>
      </w:r>
      <w:r>
        <w:instrText xml:space="preserve"> TA \l "</w:instrText>
      </w:r>
      <w:r w:rsidRPr="00F54CA2">
        <w:rPr>
          <w:u w:val="single"/>
        </w:rPr>
        <w:instrText>EWP Corp. v. Reliance Universal Inc.</w:instrText>
      </w:r>
      <w:r w:rsidRPr="00F54CA2">
        <w:instrText xml:space="preserve">, 221 </w:instrText>
      </w:r>
      <w:r>
        <w:instrText>U.S.P.Q.</w:instrText>
      </w:r>
      <w:r w:rsidRPr="00F54CA2">
        <w:instrText xml:space="preserve"> 542 (S.D Ohio 1983)</w:instrText>
      </w:r>
      <w:r>
        <w:instrText xml:space="preserve">" \s "EWP Corp. v. Reliance Universal Inc., 221 U.S.P.Q. 542 (S.D Ohio 1983)" \c 1 </w:instrText>
      </w:r>
      <w:r>
        <w:fldChar w:fldCharType="end"/>
      </w:r>
      <w:r w:rsidRPr="004120DD">
        <w:t xml:space="preserve">; </w:t>
      </w:r>
      <w:r w:rsidRPr="00655780">
        <w:rPr>
          <w:i/>
        </w:rPr>
        <w:t>Dennison Mfg. v. Ben Clements &amp; Sons</w:t>
      </w:r>
      <w:r w:rsidRPr="004120DD">
        <w:t xml:space="preserve">, 203 </w:t>
      </w:r>
      <w:r>
        <w:t>U.S.P.Q.</w:t>
      </w:r>
      <w:r w:rsidRPr="004120DD">
        <w:t xml:space="preserve"> 895, 925 (S.D.N.Y 1979)</w:t>
      </w:r>
      <w:r>
        <w:fldChar w:fldCharType="begin"/>
      </w:r>
      <w:r>
        <w:instrText xml:space="preserve"> TA \l "</w:instrText>
      </w:r>
      <w:r w:rsidRPr="00F54CA2">
        <w:rPr>
          <w:u w:val="single"/>
        </w:rPr>
        <w:instrText>Dennison Mfg. v. Ben Clements &amp; Sons</w:instrText>
      </w:r>
      <w:r w:rsidRPr="00F54CA2">
        <w:instrText xml:space="preserve">, 203 </w:instrText>
      </w:r>
      <w:r>
        <w:instrText>U.S.P.Q.</w:instrText>
      </w:r>
      <w:r w:rsidRPr="00F54CA2">
        <w:instrText xml:space="preserve"> 895, 925 (S.D.N.Y 1979)</w:instrText>
      </w:r>
      <w:r>
        <w:instrText xml:space="preserve">" \s "Dennison Mfg. v. Ben Clements &amp; Sons, 203 U.S.P.Q. 895, 925 (S.D.N.Y 1979)" \c 1 </w:instrText>
      </w:r>
      <w:r>
        <w:fldChar w:fldCharType="end"/>
      </w:r>
      <w:r w:rsidRPr="004120DD">
        <w:t xml:space="preserve">.  Similarly, the likelihood and frequency of the infringing use may be considered.  See </w:t>
      </w:r>
      <w:r w:rsidRPr="00655780">
        <w:rPr>
          <w:i/>
        </w:rPr>
        <w:t xml:space="preserve">Hoffman, </w:t>
      </w:r>
      <w:r w:rsidRPr="00655780">
        <w:t>supra</w:t>
      </w:r>
      <w:r>
        <w:rPr>
          <w:i/>
          <w:u w:val="single"/>
        </w:rPr>
        <w:fldChar w:fldCharType="begin"/>
      </w:r>
      <w:r>
        <w:instrText xml:space="preserve"> TA \s "Hoffmann-La </w:instrText>
      </w:r>
      <w:r w:rsidR="00CE5829">
        <w:instrText>Roland</w:instrText>
      </w:r>
      <w:r>
        <w:instrText xml:space="preserve"> Inc. v. Promega Corp, 33 U.S.P.Q.2d 1641 (N.D. Calif. 1994)" </w:instrText>
      </w:r>
      <w:r>
        <w:rPr>
          <w:i/>
          <w:u w:val="single"/>
        </w:rPr>
        <w:fldChar w:fldCharType="end"/>
      </w:r>
      <w:r w:rsidRPr="004120DD">
        <w:t xml:space="preserve">.  Qualitative factors also weigh in the calculation.  If the noninfringing use is inefficient or uneconomical, </w:t>
      </w:r>
      <w:r w:rsidRPr="00655780">
        <w:rPr>
          <w:i/>
        </w:rPr>
        <w:t>Mendenhall v. Astec Indus.</w:t>
      </w:r>
      <w:r w:rsidRPr="004120DD">
        <w:t xml:space="preserve">, 13 </w:t>
      </w:r>
      <w:r>
        <w:t>U.S.P.Q.</w:t>
      </w:r>
      <w:r w:rsidRPr="004120DD">
        <w:t>2d 1913 (E.D. Tenn. 1988)</w:t>
      </w:r>
      <w:r>
        <w:fldChar w:fldCharType="begin"/>
      </w:r>
      <w:r>
        <w:instrText xml:space="preserve"> TA \l "</w:instrText>
      </w:r>
      <w:r w:rsidRPr="00F54CA2">
        <w:rPr>
          <w:u w:val="single"/>
        </w:rPr>
        <w:instrText>Mendenhall v. Astec Indus.</w:instrText>
      </w:r>
      <w:r w:rsidRPr="00F54CA2">
        <w:instrText xml:space="preserve">, 13 </w:instrText>
      </w:r>
      <w:r>
        <w:instrText>U.S.P.Q.</w:instrText>
      </w:r>
      <w:r w:rsidRPr="00F54CA2">
        <w:instrText>2d 1913 (E.D. Tenn. 1988)</w:instrText>
      </w:r>
      <w:r>
        <w:instrText xml:space="preserve">" \s "Mendenhall v. Astec Indus., 13 U.S.P.Q.2d 1913 (E.D. Tenn. 1988)" \c 1 </w:instrText>
      </w:r>
      <w:r>
        <w:fldChar w:fldCharType="end"/>
      </w:r>
      <w:r w:rsidRPr="004120DD">
        <w:t xml:space="preserve">; </w:t>
      </w:r>
      <w:r w:rsidRPr="00655780">
        <w:rPr>
          <w:i/>
        </w:rPr>
        <w:t>Bliss and Laughlin Indus. v. Bil-Jax, Inc.</w:t>
      </w:r>
      <w:r w:rsidRPr="004120DD">
        <w:t xml:space="preserve">, 176 </w:t>
      </w:r>
      <w:r>
        <w:t>U.S.P.Q.</w:t>
      </w:r>
      <w:r w:rsidRPr="004120DD">
        <w:t xml:space="preserve"> 119 (N.D. Ohio 1972)</w:t>
      </w:r>
      <w:r>
        <w:fldChar w:fldCharType="begin"/>
      </w:r>
      <w:r>
        <w:instrText xml:space="preserve"> TA \l "</w:instrText>
      </w:r>
      <w:r w:rsidRPr="00F54CA2">
        <w:rPr>
          <w:u w:val="single"/>
        </w:rPr>
        <w:instrText>Bliss and Laughlin Indus. v. Bil-Jax, Inc.</w:instrText>
      </w:r>
      <w:r w:rsidRPr="00F54CA2">
        <w:instrText xml:space="preserve">, 176 </w:instrText>
      </w:r>
      <w:r>
        <w:instrText>U.S.P.Q.</w:instrText>
      </w:r>
      <w:r w:rsidRPr="00F54CA2">
        <w:instrText xml:space="preserve"> 119 (N.D. Ohio 1972)</w:instrText>
      </w:r>
      <w:r>
        <w:instrText xml:space="preserve">" \s "Bliss and Laughlin Indus. v. Bil-Jax, Inc., 176 U.S.P.Q. 119 (N.D. Ohio 1972)" \c 1 </w:instrText>
      </w:r>
      <w:r>
        <w:fldChar w:fldCharType="end"/>
      </w:r>
      <w:r w:rsidRPr="004120DD">
        <w:t xml:space="preserve">, or is not commercially viable, </w:t>
      </w:r>
      <w:r w:rsidRPr="00655780">
        <w:rPr>
          <w:i/>
        </w:rPr>
        <w:t>Hoffman</w:t>
      </w:r>
      <w:r w:rsidRPr="004120DD">
        <w:t xml:space="preserve">, it is most likely not “substantial.”  </w:t>
      </w:r>
      <w:r w:rsidRPr="004120DD">
        <w:rPr>
          <w:i/>
        </w:rPr>
        <w:t>A</w:t>
      </w:r>
      <w:r w:rsidRPr="004120DD">
        <w:t xml:space="preserve"> </w:t>
      </w:r>
      <w:r w:rsidRPr="004120DD">
        <w:rPr>
          <w:i/>
        </w:rPr>
        <w:t>fortiori</w:t>
      </w:r>
      <w:r w:rsidRPr="004120DD">
        <w:t xml:space="preserve">, if the only commercial use of the product infringes, it will be found not to have a substantial noninfringing use.  </w:t>
      </w:r>
      <w:r w:rsidRPr="00655780">
        <w:rPr>
          <w:i/>
        </w:rPr>
        <w:t>Rohm &amp; Haas Co. v. Owen-Corning Fiberglas Corp.</w:t>
      </w:r>
      <w:r w:rsidRPr="004120DD">
        <w:t xml:space="preserve">, 196 </w:t>
      </w:r>
      <w:r>
        <w:t>U.S.P.Q.</w:t>
      </w:r>
      <w:r w:rsidRPr="004120DD">
        <w:t xml:space="preserve"> 726 (N.D. Ala. 1977)</w:t>
      </w:r>
      <w:r>
        <w:fldChar w:fldCharType="begin"/>
      </w:r>
      <w:r>
        <w:instrText xml:space="preserve"> TA \l "</w:instrText>
      </w:r>
      <w:r w:rsidRPr="00F54CA2">
        <w:rPr>
          <w:u w:val="single"/>
        </w:rPr>
        <w:instrText xml:space="preserve">Rohm &amp; Haas Co. v. Owen-Corning </w:instrText>
      </w:r>
      <w:r>
        <w:rPr>
          <w:u w:val="single"/>
        </w:rPr>
        <w:instrText>Fiberglas Corp</w:instrText>
      </w:r>
      <w:r w:rsidRPr="00F54CA2">
        <w:rPr>
          <w:u w:val="single"/>
        </w:rPr>
        <w:instrText>.</w:instrText>
      </w:r>
      <w:r w:rsidRPr="00F54CA2">
        <w:instrText xml:space="preserve">, 196 </w:instrText>
      </w:r>
      <w:r>
        <w:instrText>U.S.P.Q.</w:instrText>
      </w:r>
      <w:r w:rsidRPr="00F54CA2">
        <w:instrText xml:space="preserve"> 726 (N.D. Ala. 1977)</w:instrText>
      </w:r>
      <w:r>
        <w:instrText xml:space="preserve">" \s "Rohm &amp; Haas Co. v. Owen-Corning Fiberglas Corp., 196 U.S.P.Q. 726 (N.D. Ala. 1977)" \c 1 </w:instrText>
      </w:r>
      <w:r>
        <w:fldChar w:fldCharType="end"/>
      </w:r>
      <w:r w:rsidRPr="004120DD">
        <w:t>.</w:t>
      </w:r>
    </w:p>
    <w:p w:rsidR="00F96657" w:rsidRPr="004120DD" w:rsidRDefault="00F96657" w:rsidP="00F96657">
      <w:pPr>
        <w:tabs>
          <w:tab w:val="left" w:pos="720"/>
          <w:tab w:val="left" w:pos="1440"/>
        </w:tabs>
        <w:rPr>
          <w:b/>
        </w:rPr>
      </w:pPr>
    </w:p>
    <w:p w:rsidR="00F96657" w:rsidRPr="004120DD" w:rsidRDefault="00F96657" w:rsidP="00F96657">
      <w:pPr>
        <w:pStyle w:val="Heading2"/>
        <w:rPr>
          <w:rFonts w:ascii="Times New Roman" w:hAnsi="Times New Roman"/>
        </w:rPr>
      </w:pPr>
      <w:bookmarkStart w:id="133" w:name="_Toc289408136"/>
      <w:bookmarkStart w:id="134" w:name="_Toc289409422"/>
      <w:bookmarkStart w:id="135" w:name="_Toc289409532"/>
      <w:bookmarkStart w:id="136" w:name="_Toc289409675"/>
      <w:bookmarkStart w:id="137" w:name="_Toc290548397"/>
      <w:bookmarkStart w:id="138" w:name="C4"/>
      <w:r w:rsidRPr="004120DD">
        <w:rPr>
          <w:rFonts w:ascii="Times New Roman" w:hAnsi="Times New Roman"/>
        </w:rPr>
        <w:t>4.</w:t>
      </w:r>
      <w:r w:rsidRPr="004120DD">
        <w:rPr>
          <w:rFonts w:ascii="Times New Roman" w:hAnsi="Times New Roman"/>
        </w:rPr>
        <w:tab/>
        <w:t>Method Claims</w:t>
      </w:r>
      <w:bookmarkEnd w:id="133"/>
      <w:bookmarkEnd w:id="134"/>
      <w:bookmarkEnd w:id="135"/>
      <w:bookmarkEnd w:id="136"/>
      <w:bookmarkEnd w:id="137"/>
    </w:p>
    <w:bookmarkEnd w:id="138"/>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There is no statutory authority to accuse </w:t>
      </w:r>
      <w:r w:rsidR="009A5786">
        <w:t>an apparatus manufacturer</w:t>
      </w:r>
      <w:r w:rsidRPr="004120DD">
        <w:t xml:space="preserve"> of direct infringement of a patented process </w:t>
      </w:r>
      <w:r w:rsidR="009A5786">
        <w:t xml:space="preserve">that the apparatus performs, </w:t>
      </w:r>
      <w:r w:rsidRPr="004120DD">
        <w:t xml:space="preserve">under 35 U.S.C. 271(a).  In addition, the courts have made abundantly clear that such is improper by stating in </w:t>
      </w:r>
      <w:r w:rsidRPr="00655780">
        <w:rPr>
          <w:i/>
        </w:rPr>
        <w:t>Joy Technologies, Inc. v. Flakt, Inc.</w:t>
      </w:r>
      <w:r w:rsidRPr="004120DD">
        <w:t>, 6 F.3d 770, 774-75 (Fed. Cir. 1993)</w:t>
      </w:r>
      <w:r>
        <w:fldChar w:fldCharType="begin"/>
      </w:r>
      <w:r>
        <w:instrText xml:space="preserve"> TA \l "</w:instrText>
      </w:r>
      <w:r w:rsidRPr="00F54CA2">
        <w:rPr>
          <w:u w:val="single"/>
        </w:rPr>
        <w:instrText>Joy Technologies, Inc. v. Flakt, Inc.</w:instrText>
      </w:r>
      <w:r w:rsidRPr="00F54CA2">
        <w:instrText>, 6 F.3d 770, 774-75 (Fed. Cir. 1993)</w:instrText>
      </w:r>
      <w:r>
        <w:instrText xml:space="preserve">" \s "Joy Technologies, Inc. v. Flakt, Inc., 6 F.3d 770, 774-75 (Fed. Cir. 1993)" \c 1 </w:instrText>
      </w:r>
      <w:r>
        <w:fldChar w:fldCharType="end"/>
      </w:r>
      <w:r w:rsidRPr="004120DD">
        <w:t xml:space="preserve">: </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ind w:left="1440" w:right="1440"/>
        <w:jc w:val="both"/>
      </w:pPr>
      <w:r w:rsidRPr="004120DD">
        <w:t xml:space="preserve">A method claim is not directly infringed by the sale of an apparatus even though it is capable of performing only the patented method.  The sale of the apparatus is not a sale of the method.  A method claim is </w:t>
      </w:r>
      <w:r w:rsidRPr="004120DD">
        <w:rPr>
          <w:i/>
        </w:rPr>
        <w:t>directly</w:t>
      </w:r>
      <w:r w:rsidRPr="004120DD">
        <w:t xml:space="preserve"> infringed only by one practicing the patented method.</w:t>
      </w:r>
    </w:p>
    <w:p w:rsidR="00F96657" w:rsidRPr="004120DD" w:rsidRDefault="00F96657" w:rsidP="00F96657">
      <w:pPr>
        <w:keepNext/>
        <w:tabs>
          <w:tab w:val="left" w:pos="720"/>
          <w:tab w:val="left" w:pos="1440"/>
        </w:tabs>
        <w:jc w:val="both"/>
        <w:outlineLvl w:val="1"/>
      </w:pPr>
    </w:p>
    <w:p w:rsidR="00F96657" w:rsidRPr="004120DD" w:rsidRDefault="00F96657" w:rsidP="00F96657">
      <w:pPr>
        <w:tabs>
          <w:tab w:val="left" w:pos="720"/>
          <w:tab w:val="left" w:pos="1440"/>
        </w:tabs>
      </w:pPr>
      <w:r w:rsidRPr="004120DD">
        <w:t xml:space="preserve">Nevertheless, a party may indirectly infringe a method claim through the sale of an apparatus.  </w:t>
      </w:r>
      <w:r w:rsidRPr="00655780">
        <w:rPr>
          <w:i/>
        </w:rPr>
        <w:t>Id.</w:t>
      </w:r>
      <w:r>
        <w:fldChar w:fldCharType="begin"/>
      </w:r>
      <w:r>
        <w:instrText xml:space="preserve"> TA \s "Joy Technologies, Inc. v. Flakt, Inc., 6 F.3d 770, 774-75 (Fed. Cir. 1993)" </w:instrText>
      </w:r>
      <w:r>
        <w:fldChar w:fldCharType="end"/>
      </w:r>
      <w:r w:rsidRPr="004120DD">
        <w:t xml:space="preserve">; </w:t>
      </w:r>
      <w:r w:rsidRPr="00655780">
        <w:rPr>
          <w:i/>
        </w:rPr>
        <w:t>see also</w:t>
      </w:r>
      <w:r w:rsidRPr="004120DD">
        <w:t xml:space="preserve"> Part C.3, above.</w:t>
      </w:r>
    </w:p>
    <w:p w:rsidR="00F96657" w:rsidRPr="004120DD" w:rsidRDefault="00F96657" w:rsidP="00F96657">
      <w:pPr>
        <w:keepNext/>
        <w:tabs>
          <w:tab w:val="left" w:pos="720"/>
          <w:tab w:val="left" w:pos="1440"/>
        </w:tabs>
        <w:jc w:val="both"/>
        <w:outlineLvl w:val="1"/>
      </w:pPr>
    </w:p>
    <w:p w:rsidR="00F96657" w:rsidRPr="004120DD" w:rsidRDefault="00F96657" w:rsidP="00F96657">
      <w:pPr>
        <w:pStyle w:val="Heading2"/>
        <w:rPr>
          <w:rFonts w:ascii="Times New Roman" w:hAnsi="Times New Roman"/>
        </w:rPr>
      </w:pPr>
      <w:bookmarkStart w:id="139" w:name="_Toc289408137"/>
      <w:bookmarkStart w:id="140" w:name="_Toc289409423"/>
      <w:bookmarkStart w:id="141" w:name="_Toc289409533"/>
      <w:bookmarkStart w:id="142" w:name="_Toc289409676"/>
      <w:bookmarkStart w:id="143" w:name="_Toc290548398"/>
      <w:bookmarkStart w:id="144" w:name="C5"/>
      <w:r w:rsidRPr="004120DD">
        <w:rPr>
          <w:rFonts w:ascii="Times New Roman" w:hAnsi="Times New Roman"/>
        </w:rPr>
        <w:t>5.</w:t>
      </w:r>
      <w:r w:rsidRPr="004120DD">
        <w:rPr>
          <w:rFonts w:ascii="Times New Roman" w:hAnsi="Times New Roman"/>
        </w:rPr>
        <w:tab/>
        <w:t>Dependent Claims</w:t>
      </w:r>
      <w:bookmarkEnd w:id="139"/>
      <w:bookmarkEnd w:id="140"/>
      <w:bookmarkEnd w:id="141"/>
      <w:bookmarkEnd w:id="142"/>
      <w:bookmarkEnd w:id="143"/>
    </w:p>
    <w:bookmarkEnd w:id="144"/>
    <w:p w:rsidR="00F96657" w:rsidRPr="004120DD" w:rsidRDefault="00F96657" w:rsidP="00F96657">
      <w:pPr>
        <w:tabs>
          <w:tab w:val="left" w:pos="720"/>
          <w:tab w:val="left" w:pos="1440"/>
        </w:tabs>
      </w:pPr>
    </w:p>
    <w:p w:rsidR="00F96657" w:rsidRDefault="00F96657" w:rsidP="00F96657">
      <w:pPr>
        <w:tabs>
          <w:tab w:val="left" w:pos="720"/>
          <w:tab w:val="left" w:pos="1440"/>
        </w:tabs>
      </w:pPr>
      <w:r w:rsidRPr="004120DD">
        <w:t xml:space="preserve">If the independent claims in a patent have been specifically analyzed and found not to be infringed, claims dependent upon these claims are also not infringed.  “It is axiomatic that dependent claims cannot be found infringed unless the claims from which they depend have been found to have been infringed.”  </w:t>
      </w:r>
      <w:r w:rsidRPr="00655780">
        <w:rPr>
          <w:i/>
        </w:rPr>
        <w:t>Wahpeton Canvas Co. v. Frontier, Inc.</w:t>
      </w:r>
      <w:r w:rsidRPr="004120DD">
        <w:t>, 870 F.2d 1546, 1553 &amp; n.9 (Fed. Cir. 1989)</w:t>
      </w:r>
      <w:r>
        <w:fldChar w:fldCharType="begin"/>
      </w:r>
      <w:r>
        <w:instrText xml:space="preserve"> TA \l "</w:instrText>
      </w:r>
      <w:r w:rsidRPr="00F54CA2">
        <w:rPr>
          <w:u w:val="single"/>
        </w:rPr>
        <w:instrText>Wahpeton Canvas Co. v. Frontier, Inc.</w:instrText>
      </w:r>
      <w:r w:rsidRPr="00F54CA2">
        <w:instrText>, 870 F.2d 1546, 1553 &amp; n.9 (Fed. Cir. 1989)</w:instrText>
      </w:r>
      <w:r>
        <w:instrText xml:space="preserve">" \s "Wahpeton Canvas Co. v. Frontier, Inc., 870 F.2d 1546, 1553 &amp; n.9 (Fed. Cir. 1989)" \c 1 </w:instrText>
      </w:r>
      <w:r>
        <w:fldChar w:fldCharType="end"/>
      </w:r>
      <w:r w:rsidRPr="004120DD">
        <w:t>.  Thus, where an independent claim is found not to be infringed, no further review of claims dependent on that independent claim is necessary</w:t>
      </w:r>
      <w:r>
        <w:t>.</w:t>
      </w:r>
    </w:p>
    <w:bookmarkEnd w:id="0"/>
    <w:p w:rsidR="00B73695" w:rsidRPr="00F96657" w:rsidRDefault="00B73695" w:rsidP="00F96657">
      <w:pPr>
        <w:pStyle w:val="TableofAuthorities"/>
        <w:tabs>
          <w:tab w:val="right" w:leader="dot" w:pos="9360"/>
        </w:tabs>
      </w:pPr>
    </w:p>
    <w:sectPr w:rsidR="00B73695" w:rsidRPr="00F96657" w:rsidSect="00F45BFB">
      <w:footerReference w:type="even" r:id="rId24"/>
      <w:footerReference w:type="default" r:id="rId2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63FA1" w:rsidRPr="005E4FA2" w:rsidRDefault="00663FA1">
      <w:pPr>
        <w:rPr>
          <w:sz w:val="20"/>
        </w:rPr>
      </w:pPr>
      <w:r>
        <w:separator/>
      </w:r>
    </w:p>
  </w:endnote>
  <w:endnote w:type="continuationSeparator" w:id="0">
    <w:p w:rsidR="00663FA1" w:rsidRPr="005E4FA2" w:rsidRDefault="00663FA1">
      <w:pPr>
        <w:rPr>
          <w:sz w:val="20"/>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679D" w:rsidRDefault="001C679D" w:rsidP="005C546F">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xiii</w:t>
    </w:r>
    <w:r>
      <w:rPr>
        <w:rStyle w:val="PageNumber"/>
      </w:rPr>
      <w:fldChar w:fldCharType="end"/>
    </w:r>
  </w:p>
  <w:p w:rsidR="001C679D" w:rsidRDefault="001C679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679D" w:rsidRPr="005C546F" w:rsidRDefault="001C679D" w:rsidP="00C03AD0">
    <w:pPr>
      <w:pStyle w:val="Footer"/>
      <w:tabs>
        <w:tab w:val="clear" w:pos="4320"/>
        <w:tab w:val="clear" w:pos="8640"/>
        <w:tab w:val="center" w:pos="4680"/>
        <w:tab w:val="right" w:pos="9360"/>
      </w:tabs>
      <w:rPr>
        <w:sz w:val="18"/>
      </w:rPr>
    </w:pPr>
    <w:r w:rsidRPr="005C546F">
      <w:rPr>
        <w:sz w:val="18"/>
      </w:rPr>
      <w:t>CO001US</w:t>
    </w:r>
    <w:r w:rsidRPr="005C546F">
      <w:rPr>
        <w:sz w:val="18"/>
      </w:rPr>
      <w:tab/>
    </w:r>
    <w:r w:rsidRPr="005C546F">
      <w:rPr>
        <w:rStyle w:val="PageNumber"/>
        <w:sz w:val="18"/>
      </w:rPr>
      <w:fldChar w:fldCharType="begin"/>
    </w:r>
    <w:r w:rsidRPr="005C546F">
      <w:rPr>
        <w:rStyle w:val="PageNumber"/>
        <w:sz w:val="18"/>
      </w:rPr>
      <w:instrText xml:space="preserve"> PAGE </w:instrText>
    </w:r>
    <w:r w:rsidRPr="005C546F">
      <w:rPr>
        <w:rStyle w:val="PageNumber"/>
        <w:sz w:val="18"/>
      </w:rPr>
      <w:fldChar w:fldCharType="separate"/>
    </w:r>
    <w:r w:rsidR="006338B7">
      <w:rPr>
        <w:rStyle w:val="PageNumber"/>
        <w:noProof/>
        <w:sz w:val="18"/>
      </w:rPr>
      <w:t>i</w:t>
    </w:r>
    <w:r w:rsidRPr="005C546F">
      <w:rPr>
        <w:rStyle w:val="PageNumber"/>
        <w:sz w:val="18"/>
      </w:rPr>
      <w:fldChar w:fldCharType="end"/>
    </w:r>
    <w:r w:rsidRPr="005C546F">
      <w:rPr>
        <w:rStyle w:val="PageNumber"/>
        <w:sz w:val="18"/>
      </w:rPr>
      <w:tab/>
      <w:t>03/2011</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38B7" w:rsidRDefault="006338B7">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679D" w:rsidRDefault="001C679D" w:rsidP="005C546F">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20</w:t>
    </w:r>
    <w:r>
      <w:rPr>
        <w:rStyle w:val="PageNumber"/>
      </w:rPr>
      <w:fldChar w:fldCharType="end"/>
    </w:r>
  </w:p>
  <w:p w:rsidR="001C679D" w:rsidRDefault="001C679D">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0E2B" w:rsidRDefault="001C679D">
    <w:pPr>
      <w:pStyle w:val="Footer"/>
      <w:rPr>
        <w:sz w:val="18"/>
      </w:rPr>
    </w:pPr>
    <w:r w:rsidRPr="005C546F">
      <w:rPr>
        <w:sz w:val="18"/>
      </w:rPr>
      <w:t>CO001US</w:t>
    </w:r>
  </w:p>
  <w:p w:rsidR="001C679D" w:rsidRPr="005C546F" w:rsidRDefault="002D0E2B">
    <w:pPr>
      <w:pStyle w:val="Footer"/>
      <w:rPr>
        <w:sz w:val="18"/>
      </w:rPr>
    </w:pPr>
    <w:r>
      <w:rPr>
        <w:sz w:val="18"/>
      </w:rPr>
      <w:t>766192</w:t>
    </w:r>
    <w:r w:rsidR="001C679D" w:rsidRPr="005C546F">
      <w:rPr>
        <w:sz w:val="18"/>
      </w:rPr>
      <w:tab/>
    </w:r>
    <w:r w:rsidR="001C679D" w:rsidRPr="005C546F">
      <w:rPr>
        <w:rStyle w:val="PageNumber"/>
        <w:sz w:val="18"/>
      </w:rPr>
      <w:fldChar w:fldCharType="begin"/>
    </w:r>
    <w:r w:rsidR="001C679D" w:rsidRPr="005C546F">
      <w:rPr>
        <w:rStyle w:val="PageNumber"/>
        <w:sz w:val="18"/>
      </w:rPr>
      <w:instrText xml:space="preserve"> PAGE </w:instrText>
    </w:r>
    <w:r w:rsidR="001C679D" w:rsidRPr="005C546F">
      <w:rPr>
        <w:rStyle w:val="PageNumber"/>
        <w:sz w:val="18"/>
      </w:rPr>
      <w:fldChar w:fldCharType="separate"/>
    </w:r>
    <w:r w:rsidR="006338B7">
      <w:rPr>
        <w:rStyle w:val="PageNumber"/>
        <w:noProof/>
        <w:sz w:val="18"/>
      </w:rPr>
      <w:t>2</w:t>
    </w:r>
    <w:r w:rsidR="001C679D" w:rsidRPr="005C546F">
      <w:rPr>
        <w:rStyle w:val="PageNumber"/>
        <w:sz w:val="18"/>
      </w:rPr>
      <w:fldChar w:fldCharType="end"/>
    </w:r>
    <w:r>
      <w:rPr>
        <w:rStyle w:val="PageNumber"/>
        <w:sz w:val="18"/>
      </w:rPr>
      <w:tab/>
      <w:t>12</w:t>
    </w:r>
    <w:r w:rsidR="001C679D" w:rsidRPr="005C546F">
      <w:rPr>
        <w:rStyle w:val="PageNumber"/>
        <w:sz w:val="18"/>
      </w:rPr>
      <w:t>/201</w:t>
    </w:r>
    <w:r>
      <w:rPr>
        <w:rStyle w:val="PageNumber"/>
        <w:sz w:val="18"/>
      </w:rPr>
      <w:t>5</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63FA1" w:rsidRPr="005E4FA2" w:rsidRDefault="00663FA1">
      <w:pPr>
        <w:rPr>
          <w:sz w:val="20"/>
        </w:rPr>
      </w:pPr>
      <w:r>
        <w:separator/>
      </w:r>
    </w:p>
  </w:footnote>
  <w:footnote w:type="continuationSeparator" w:id="0">
    <w:p w:rsidR="00663FA1" w:rsidRPr="005E4FA2" w:rsidRDefault="00663FA1">
      <w:pPr>
        <w:rPr>
          <w:sz w:val="20"/>
        </w:rPr>
      </w:pPr>
      <w:r>
        <w:continuationSeparator/>
      </w:r>
    </w:p>
  </w:footnote>
  <w:footnote w:id="1">
    <w:p w:rsidR="009F6013" w:rsidRPr="00AE0D7A" w:rsidRDefault="009F6013" w:rsidP="009F6013">
      <w:pPr>
        <w:rPr>
          <w:sz w:val="20"/>
        </w:rPr>
      </w:pPr>
      <w:r w:rsidRPr="00AE0D7A">
        <w:rPr>
          <w:rStyle w:val="FootnoteReference"/>
          <w:sz w:val="20"/>
        </w:rPr>
        <w:footnoteRef/>
      </w:r>
      <w:r w:rsidRPr="00AE0D7A">
        <w:rPr>
          <w:sz w:val="20"/>
        </w:rPr>
        <w:t xml:space="preserve">  The Federal Circuit has adopted the decisions of the C.C.P.A., its predecessor court with respect to patent law, as binding precedent.  </w:t>
      </w:r>
      <w:r w:rsidRPr="00AE0D7A">
        <w:rPr>
          <w:i/>
          <w:sz w:val="20"/>
        </w:rPr>
        <w:t>South Corporation et al. v. United States</w:t>
      </w:r>
      <w:r w:rsidRPr="00AE0D7A">
        <w:rPr>
          <w:sz w:val="20"/>
        </w:rPr>
        <w:t xml:space="preserve">, 690 F2d 1368, 215 USPQ 657 (Fed. Cir. 1982).  </w:t>
      </w:r>
    </w:p>
  </w:footnote>
  <w:footnote w:id="2">
    <w:p w:rsidR="00007B9E" w:rsidRPr="00AE0D7A" w:rsidRDefault="00007B9E" w:rsidP="00007B9E">
      <w:pPr>
        <w:pStyle w:val="FootnoteText"/>
      </w:pPr>
      <w:r w:rsidRPr="00AE0D7A">
        <w:rPr>
          <w:rStyle w:val="FootnoteReference"/>
        </w:rPr>
        <w:footnoteRef/>
      </w:r>
      <w:r w:rsidRPr="00AE0D7A">
        <w:t xml:space="preserve"> Those factual questions include what prior art reference are within the scope and content of the prior art, comparing the prior art to the legal interpreted claims, and the level of ordinary skill in the art.    </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38B7" w:rsidRDefault="006338B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38B7" w:rsidRDefault="006338B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38B7" w:rsidRDefault="006338B7">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AB41742"/>
    <w:multiLevelType w:val="hybridMultilevel"/>
    <w:tmpl w:val="D5FEF0E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
    <w:nsid w:val="47C8011D"/>
    <w:multiLevelType w:val="singleLevel"/>
    <w:tmpl w:val="2994925E"/>
    <w:lvl w:ilvl="0">
      <w:start w:val="1"/>
      <w:numFmt w:val="decimalZero"/>
      <w:lvlText w:val="[00%1]    "/>
      <w:lvlJc w:val="left"/>
      <w:pPr>
        <w:tabs>
          <w:tab w:val="num" w:pos="1080"/>
        </w:tabs>
        <w:ind w:left="0" w:firstLine="0"/>
      </w:pPr>
      <w:rPr>
        <w:rFonts w:ascii="Times New Roman" w:hAnsi="Times New Roman" w:hint="default"/>
        <w:b/>
        <w:i w:val="0"/>
        <w:sz w:val="24"/>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51D31"/>
    <w:rsid w:val="000016CF"/>
    <w:rsid w:val="00001794"/>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DC5"/>
    <w:rsid w:val="000061BA"/>
    <w:rsid w:val="000067B1"/>
    <w:rsid w:val="00006A12"/>
    <w:rsid w:val="0000764E"/>
    <w:rsid w:val="00007863"/>
    <w:rsid w:val="00007B9E"/>
    <w:rsid w:val="000104EE"/>
    <w:rsid w:val="00011D88"/>
    <w:rsid w:val="00011EA0"/>
    <w:rsid w:val="000127F3"/>
    <w:rsid w:val="00012EE7"/>
    <w:rsid w:val="00014103"/>
    <w:rsid w:val="0001423E"/>
    <w:rsid w:val="0001429C"/>
    <w:rsid w:val="00014453"/>
    <w:rsid w:val="000146EB"/>
    <w:rsid w:val="00014AA6"/>
    <w:rsid w:val="000151F7"/>
    <w:rsid w:val="000154F8"/>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C59"/>
    <w:rsid w:val="00020EB5"/>
    <w:rsid w:val="00021938"/>
    <w:rsid w:val="00021BCE"/>
    <w:rsid w:val="000220EF"/>
    <w:rsid w:val="000221A9"/>
    <w:rsid w:val="000224C2"/>
    <w:rsid w:val="00022504"/>
    <w:rsid w:val="00022674"/>
    <w:rsid w:val="00022A6E"/>
    <w:rsid w:val="00022E98"/>
    <w:rsid w:val="000230DF"/>
    <w:rsid w:val="000238A1"/>
    <w:rsid w:val="00023A94"/>
    <w:rsid w:val="00024009"/>
    <w:rsid w:val="00024C68"/>
    <w:rsid w:val="00025026"/>
    <w:rsid w:val="00025470"/>
    <w:rsid w:val="00025F51"/>
    <w:rsid w:val="0002613D"/>
    <w:rsid w:val="000262B0"/>
    <w:rsid w:val="000265BD"/>
    <w:rsid w:val="00030125"/>
    <w:rsid w:val="000303A0"/>
    <w:rsid w:val="00030660"/>
    <w:rsid w:val="00030DD8"/>
    <w:rsid w:val="00031247"/>
    <w:rsid w:val="00031487"/>
    <w:rsid w:val="000321E6"/>
    <w:rsid w:val="00032FCC"/>
    <w:rsid w:val="0003310C"/>
    <w:rsid w:val="00033F9F"/>
    <w:rsid w:val="00034325"/>
    <w:rsid w:val="00034765"/>
    <w:rsid w:val="00034D7E"/>
    <w:rsid w:val="000354CF"/>
    <w:rsid w:val="000354E1"/>
    <w:rsid w:val="00036864"/>
    <w:rsid w:val="00036DB5"/>
    <w:rsid w:val="00037024"/>
    <w:rsid w:val="00037486"/>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7475"/>
    <w:rsid w:val="00047585"/>
    <w:rsid w:val="00047F6B"/>
    <w:rsid w:val="00050154"/>
    <w:rsid w:val="000504C9"/>
    <w:rsid w:val="00051AEF"/>
    <w:rsid w:val="00051CDA"/>
    <w:rsid w:val="0005266C"/>
    <w:rsid w:val="00052762"/>
    <w:rsid w:val="00053AEF"/>
    <w:rsid w:val="000541A3"/>
    <w:rsid w:val="00054898"/>
    <w:rsid w:val="0005521F"/>
    <w:rsid w:val="0005566C"/>
    <w:rsid w:val="0005588E"/>
    <w:rsid w:val="00055895"/>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30B"/>
    <w:rsid w:val="000637CB"/>
    <w:rsid w:val="000639FD"/>
    <w:rsid w:val="00063B23"/>
    <w:rsid w:val="00063E42"/>
    <w:rsid w:val="00064989"/>
    <w:rsid w:val="00064D3B"/>
    <w:rsid w:val="00064D4E"/>
    <w:rsid w:val="00065377"/>
    <w:rsid w:val="0006552A"/>
    <w:rsid w:val="00066FE1"/>
    <w:rsid w:val="00067BFB"/>
    <w:rsid w:val="00067CEC"/>
    <w:rsid w:val="00067DA4"/>
    <w:rsid w:val="00067E7B"/>
    <w:rsid w:val="00067F19"/>
    <w:rsid w:val="00070040"/>
    <w:rsid w:val="000701CB"/>
    <w:rsid w:val="0007177D"/>
    <w:rsid w:val="0007198E"/>
    <w:rsid w:val="000722DF"/>
    <w:rsid w:val="00072623"/>
    <w:rsid w:val="00072713"/>
    <w:rsid w:val="00072748"/>
    <w:rsid w:val="0007287C"/>
    <w:rsid w:val="00073435"/>
    <w:rsid w:val="00073512"/>
    <w:rsid w:val="00073C68"/>
    <w:rsid w:val="00073C98"/>
    <w:rsid w:val="000743BE"/>
    <w:rsid w:val="000745C8"/>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31C5"/>
    <w:rsid w:val="00083504"/>
    <w:rsid w:val="00083972"/>
    <w:rsid w:val="00083D0E"/>
    <w:rsid w:val="00083D14"/>
    <w:rsid w:val="0008413D"/>
    <w:rsid w:val="00084326"/>
    <w:rsid w:val="000844E2"/>
    <w:rsid w:val="0008469D"/>
    <w:rsid w:val="00084749"/>
    <w:rsid w:val="0008517B"/>
    <w:rsid w:val="00085DB9"/>
    <w:rsid w:val="00085E26"/>
    <w:rsid w:val="00086B48"/>
    <w:rsid w:val="00086FE3"/>
    <w:rsid w:val="000900C9"/>
    <w:rsid w:val="0009027F"/>
    <w:rsid w:val="00090973"/>
    <w:rsid w:val="00090AA0"/>
    <w:rsid w:val="00090D75"/>
    <w:rsid w:val="000911B2"/>
    <w:rsid w:val="00091894"/>
    <w:rsid w:val="00091AF5"/>
    <w:rsid w:val="000929A2"/>
    <w:rsid w:val="00092BFD"/>
    <w:rsid w:val="00092C07"/>
    <w:rsid w:val="00093267"/>
    <w:rsid w:val="00093B71"/>
    <w:rsid w:val="00093CF5"/>
    <w:rsid w:val="00093E86"/>
    <w:rsid w:val="00095C20"/>
    <w:rsid w:val="00096581"/>
    <w:rsid w:val="000965E8"/>
    <w:rsid w:val="000966C5"/>
    <w:rsid w:val="000968C6"/>
    <w:rsid w:val="000969C5"/>
    <w:rsid w:val="00096AF3"/>
    <w:rsid w:val="00097704"/>
    <w:rsid w:val="00097AA6"/>
    <w:rsid w:val="00097C87"/>
    <w:rsid w:val="00097CEE"/>
    <w:rsid w:val="00097D62"/>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C41"/>
    <w:rsid w:val="000A5CBB"/>
    <w:rsid w:val="000A5E4A"/>
    <w:rsid w:val="000A63EE"/>
    <w:rsid w:val="000A648C"/>
    <w:rsid w:val="000A6610"/>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D6C"/>
    <w:rsid w:val="000B5063"/>
    <w:rsid w:val="000B5078"/>
    <w:rsid w:val="000B52F9"/>
    <w:rsid w:val="000B554F"/>
    <w:rsid w:val="000B6FD6"/>
    <w:rsid w:val="000B7070"/>
    <w:rsid w:val="000B7510"/>
    <w:rsid w:val="000C03C3"/>
    <w:rsid w:val="000C0418"/>
    <w:rsid w:val="000C043A"/>
    <w:rsid w:val="000C087D"/>
    <w:rsid w:val="000C18B2"/>
    <w:rsid w:val="000C18FF"/>
    <w:rsid w:val="000C1D68"/>
    <w:rsid w:val="000C2B25"/>
    <w:rsid w:val="000C348A"/>
    <w:rsid w:val="000C3596"/>
    <w:rsid w:val="000C3F6E"/>
    <w:rsid w:val="000C417C"/>
    <w:rsid w:val="000C4372"/>
    <w:rsid w:val="000C4EE8"/>
    <w:rsid w:val="000C51C2"/>
    <w:rsid w:val="000C5339"/>
    <w:rsid w:val="000C53F8"/>
    <w:rsid w:val="000C5559"/>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DD1"/>
    <w:rsid w:val="000D1F93"/>
    <w:rsid w:val="000D2256"/>
    <w:rsid w:val="000D2591"/>
    <w:rsid w:val="000D25E1"/>
    <w:rsid w:val="000D2789"/>
    <w:rsid w:val="000D29A6"/>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8D4"/>
    <w:rsid w:val="000E09E0"/>
    <w:rsid w:val="000E0C58"/>
    <w:rsid w:val="000E136D"/>
    <w:rsid w:val="000E1705"/>
    <w:rsid w:val="000E1957"/>
    <w:rsid w:val="000E21E3"/>
    <w:rsid w:val="000E26EB"/>
    <w:rsid w:val="000E2769"/>
    <w:rsid w:val="000E2B7A"/>
    <w:rsid w:val="000E2BB3"/>
    <w:rsid w:val="000E2C80"/>
    <w:rsid w:val="000E3228"/>
    <w:rsid w:val="000E35A0"/>
    <w:rsid w:val="000E366F"/>
    <w:rsid w:val="000E3F72"/>
    <w:rsid w:val="000E4969"/>
    <w:rsid w:val="000E55D6"/>
    <w:rsid w:val="000E5C6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B3F"/>
    <w:rsid w:val="00112C73"/>
    <w:rsid w:val="00113530"/>
    <w:rsid w:val="001136A3"/>
    <w:rsid w:val="001138AC"/>
    <w:rsid w:val="001139FE"/>
    <w:rsid w:val="00114ADA"/>
    <w:rsid w:val="00114E10"/>
    <w:rsid w:val="00116369"/>
    <w:rsid w:val="001168D2"/>
    <w:rsid w:val="0011718F"/>
    <w:rsid w:val="001175C3"/>
    <w:rsid w:val="00117EFE"/>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810"/>
    <w:rsid w:val="00127A94"/>
    <w:rsid w:val="00127E31"/>
    <w:rsid w:val="00127F55"/>
    <w:rsid w:val="0013045F"/>
    <w:rsid w:val="001307D2"/>
    <w:rsid w:val="00130966"/>
    <w:rsid w:val="00130986"/>
    <w:rsid w:val="00130C11"/>
    <w:rsid w:val="00130CAD"/>
    <w:rsid w:val="00130D5B"/>
    <w:rsid w:val="00130F87"/>
    <w:rsid w:val="00131001"/>
    <w:rsid w:val="001316A3"/>
    <w:rsid w:val="001316B9"/>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43DC"/>
    <w:rsid w:val="001449A8"/>
    <w:rsid w:val="00144A7B"/>
    <w:rsid w:val="00144C62"/>
    <w:rsid w:val="00144E84"/>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60DC"/>
    <w:rsid w:val="00156774"/>
    <w:rsid w:val="0015682E"/>
    <w:rsid w:val="001570E6"/>
    <w:rsid w:val="00157381"/>
    <w:rsid w:val="0015767E"/>
    <w:rsid w:val="001602BC"/>
    <w:rsid w:val="001608D9"/>
    <w:rsid w:val="001609C6"/>
    <w:rsid w:val="00160F0E"/>
    <w:rsid w:val="0016117B"/>
    <w:rsid w:val="001617ED"/>
    <w:rsid w:val="00161B3A"/>
    <w:rsid w:val="001625E7"/>
    <w:rsid w:val="001628B3"/>
    <w:rsid w:val="00163077"/>
    <w:rsid w:val="00163386"/>
    <w:rsid w:val="001634AD"/>
    <w:rsid w:val="00163E63"/>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1220"/>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3A2"/>
    <w:rsid w:val="001A1746"/>
    <w:rsid w:val="001A192A"/>
    <w:rsid w:val="001A198E"/>
    <w:rsid w:val="001A1992"/>
    <w:rsid w:val="001A1E46"/>
    <w:rsid w:val="001A2981"/>
    <w:rsid w:val="001A2DF6"/>
    <w:rsid w:val="001A2F43"/>
    <w:rsid w:val="001A307E"/>
    <w:rsid w:val="001A45EB"/>
    <w:rsid w:val="001A4B94"/>
    <w:rsid w:val="001A5A08"/>
    <w:rsid w:val="001A5BCD"/>
    <w:rsid w:val="001A5FA0"/>
    <w:rsid w:val="001A6160"/>
    <w:rsid w:val="001A63CE"/>
    <w:rsid w:val="001A75BD"/>
    <w:rsid w:val="001A771B"/>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BF5"/>
    <w:rsid w:val="001C3C48"/>
    <w:rsid w:val="001C438F"/>
    <w:rsid w:val="001C5A48"/>
    <w:rsid w:val="001C5B1D"/>
    <w:rsid w:val="001C5EC6"/>
    <w:rsid w:val="001C61C5"/>
    <w:rsid w:val="001C679D"/>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3B6E"/>
    <w:rsid w:val="001D3E39"/>
    <w:rsid w:val="001D44D2"/>
    <w:rsid w:val="001D4507"/>
    <w:rsid w:val="001D46F9"/>
    <w:rsid w:val="001D4919"/>
    <w:rsid w:val="001D4CD7"/>
    <w:rsid w:val="001D4D4F"/>
    <w:rsid w:val="001D51A9"/>
    <w:rsid w:val="001D56D1"/>
    <w:rsid w:val="001D58A3"/>
    <w:rsid w:val="001D5FA6"/>
    <w:rsid w:val="001D62EE"/>
    <w:rsid w:val="001D6752"/>
    <w:rsid w:val="001D6871"/>
    <w:rsid w:val="001D6E0A"/>
    <w:rsid w:val="001D6F5F"/>
    <w:rsid w:val="001D74B4"/>
    <w:rsid w:val="001E00A8"/>
    <w:rsid w:val="001E03C9"/>
    <w:rsid w:val="001E0541"/>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100"/>
    <w:rsid w:val="001F22F2"/>
    <w:rsid w:val="001F35B5"/>
    <w:rsid w:val="001F3635"/>
    <w:rsid w:val="001F3AAD"/>
    <w:rsid w:val="001F3EF9"/>
    <w:rsid w:val="001F4AA7"/>
    <w:rsid w:val="001F5016"/>
    <w:rsid w:val="001F56A4"/>
    <w:rsid w:val="001F5F27"/>
    <w:rsid w:val="001F60A2"/>
    <w:rsid w:val="001F67F6"/>
    <w:rsid w:val="001F68B4"/>
    <w:rsid w:val="001F6971"/>
    <w:rsid w:val="001F6CF8"/>
    <w:rsid w:val="001F7142"/>
    <w:rsid w:val="001F7292"/>
    <w:rsid w:val="001F7E49"/>
    <w:rsid w:val="0020037B"/>
    <w:rsid w:val="0020047D"/>
    <w:rsid w:val="002013D1"/>
    <w:rsid w:val="002016D8"/>
    <w:rsid w:val="002025F1"/>
    <w:rsid w:val="00204085"/>
    <w:rsid w:val="00204B69"/>
    <w:rsid w:val="00204F8D"/>
    <w:rsid w:val="0020562D"/>
    <w:rsid w:val="0020566B"/>
    <w:rsid w:val="00205C37"/>
    <w:rsid w:val="002061BC"/>
    <w:rsid w:val="00206976"/>
    <w:rsid w:val="00207066"/>
    <w:rsid w:val="002075CC"/>
    <w:rsid w:val="00207800"/>
    <w:rsid w:val="00207862"/>
    <w:rsid w:val="00210250"/>
    <w:rsid w:val="00210501"/>
    <w:rsid w:val="002109B2"/>
    <w:rsid w:val="00210D2F"/>
    <w:rsid w:val="00210EA9"/>
    <w:rsid w:val="00211002"/>
    <w:rsid w:val="002111EC"/>
    <w:rsid w:val="00211518"/>
    <w:rsid w:val="00211769"/>
    <w:rsid w:val="00211973"/>
    <w:rsid w:val="002119B7"/>
    <w:rsid w:val="00212CE3"/>
    <w:rsid w:val="00212D72"/>
    <w:rsid w:val="002134DE"/>
    <w:rsid w:val="002139FF"/>
    <w:rsid w:val="00214278"/>
    <w:rsid w:val="00214967"/>
    <w:rsid w:val="00214D4C"/>
    <w:rsid w:val="00215176"/>
    <w:rsid w:val="002157C3"/>
    <w:rsid w:val="00215E24"/>
    <w:rsid w:val="0021676D"/>
    <w:rsid w:val="00217536"/>
    <w:rsid w:val="002177B7"/>
    <w:rsid w:val="00217B0A"/>
    <w:rsid w:val="00217E1C"/>
    <w:rsid w:val="00217EB9"/>
    <w:rsid w:val="002202C9"/>
    <w:rsid w:val="0022039E"/>
    <w:rsid w:val="00220E0D"/>
    <w:rsid w:val="00221483"/>
    <w:rsid w:val="00221F0D"/>
    <w:rsid w:val="002221ED"/>
    <w:rsid w:val="00222C81"/>
    <w:rsid w:val="00222CA6"/>
    <w:rsid w:val="00223892"/>
    <w:rsid w:val="0022395A"/>
    <w:rsid w:val="00223E66"/>
    <w:rsid w:val="002244B9"/>
    <w:rsid w:val="0022457A"/>
    <w:rsid w:val="00224CC8"/>
    <w:rsid w:val="00225289"/>
    <w:rsid w:val="00225EED"/>
    <w:rsid w:val="002269EE"/>
    <w:rsid w:val="00226C6B"/>
    <w:rsid w:val="00226C79"/>
    <w:rsid w:val="00226CE5"/>
    <w:rsid w:val="00226CF2"/>
    <w:rsid w:val="00226FB6"/>
    <w:rsid w:val="0022733B"/>
    <w:rsid w:val="0022792B"/>
    <w:rsid w:val="002279B6"/>
    <w:rsid w:val="00227C36"/>
    <w:rsid w:val="00227C3A"/>
    <w:rsid w:val="00227FCF"/>
    <w:rsid w:val="00230B08"/>
    <w:rsid w:val="00230DB7"/>
    <w:rsid w:val="00230E93"/>
    <w:rsid w:val="00230EF6"/>
    <w:rsid w:val="0023126D"/>
    <w:rsid w:val="002315A6"/>
    <w:rsid w:val="0023184F"/>
    <w:rsid w:val="00232089"/>
    <w:rsid w:val="00232725"/>
    <w:rsid w:val="00232844"/>
    <w:rsid w:val="00232E3A"/>
    <w:rsid w:val="0023312A"/>
    <w:rsid w:val="00233136"/>
    <w:rsid w:val="002335E6"/>
    <w:rsid w:val="002346B6"/>
    <w:rsid w:val="00234852"/>
    <w:rsid w:val="00234A46"/>
    <w:rsid w:val="00234B75"/>
    <w:rsid w:val="002357C6"/>
    <w:rsid w:val="00235E94"/>
    <w:rsid w:val="002361A5"/>
    <w:rsid w:val="002363FA"/>
    <w:rsid w:val="002368ED"/>
    <w:rsid w:val="0023711F"/>
    <w:rsid w:val="00237274"/>
    <w:rsid w:val="002376E6"/>
    <w:rsid w:val="0024051A"/>
    <w:rsid w:val="00240A8B"/>
    <w:rsid w:val="002410EA"/>
    <w:rsid w:val="00241976"/>
    <w:rsid w:val="00241B3F"/>
    <w:rsid w:val="00242EC4"/>
    <w:rsid w:val="00242FAD"/>
    <w:rsid w:val="002430A6"/>
    <w:rsid w:val="002430FA"/>
    <w:rsid w:val="00243C1F"/>
    <w:rsid w:val="00243FC7"/>
    <w:rsid w:val="00244396"/>
    <w:rsid w:val="002444FE"/>
    <w:rsid w:val="00244500"/>
    <w:rsid w:val="00244D5C"/>
    <w:rsid w:val="00244DCC"/>
    <w:rsid w:val="0024513D"/>
    <w:rsid w:val="002457E8"/>
    <w:rsid w:val="00245932"/>
    <w:rsid w:val="00245A4D"/>
    <w:rsid w:val="00246374"/>
    <w:rsid w:val="00246DAC"/>
    <w:rsid w:val="00246E84"/>
    <w:rsid w:val="00247A24"/>
    <w:rsid w:val="00250BE3"/>
    <w:rsid w:val="0025164A"/>
    <w:rsid w:val="002519ED"/>
    <w:rsid w:val="00251B21"/>
    <w:rsid w:val="00251C58"/>
    <w:rsid w:val="00251C79"/>
    <w:rsid w:val="00251D3F"/>
    <w:rsid w:val="00252000"/>
    <w:rsid w:val="00252918"/>
    <w:rsid w:val="00252B69"/>
    <w:rsid w:val="00253957"/>
    <w:rsid w:val="0025449D"/>
    <w:rsid w:val="0025452A"/>
    <w:rsid w:val="00254AD2"/>
    <w:rsid w:val="002551C9"/>
    <w:rsid w:val="002555E0"/>
    <w:rsid w:val="002564E3"/>
    <w:rsid w:val="0025658E"/>
    <w:rsid w:val="00257111"/>
    <w:rsid w:val="00257157"/>
    <w:rsid w:val="00257503"/>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7035C"/>
    <w:rsid w:val="0027065A"/>
    <w:rsid w:val="002707C3"/>
    <w:rsid w:val="00270809"/>
    <w:rsid w:val="0027086A"/>
    <w:rsid w:val="002710F9"/>
    <w:rsid w:val="00271366"/>
    <w:rsid w:val="002729AF"/>
    <w:rsid w:val="00272FBC"/>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1990"/>
    <w:rsid w:val="00281AD0"/>
    <w:rsid w:val="0028222B"/>
    <w:rsid w:val="0028244D"/>
    <w:rsid w:val="002828AC"/>
    <w:rsid w:val="002829CB"/>
    <w:rsid w:val="00282C76"/>
    <w:rsid w:val="00283CD2"/>
    <w:rsid w:val="002844B3"/>
    <w:rsid w:val="00284655"/>
    <w:rsid w:val="00284874"/>
    <w:rsid w:val="00284BA0"/>
    <w:rsid w:val="00285333"/>
    <w:rsid w:val="0028544D"/>
    <w:rsid w:val="002859E4"/>
    <w:rsid w:val="00286689"/>
    <w:rsid w:val="00287ABA"/>
    <w:rsid w:val="00287B6F"/>
    <w:rsid w:val="00287C40"/>
    <w:rsid w:val="0029162E"/>
    <w:rsid w:val="00291894"/>
    <w:rsid w:val="00292036"/>
    <w:rsid w:val="00292388"/>
    <w:rsid w:val="00292541"/>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980"/>
    <w:rsid w:val="002A2EFF"/>
    <w:rsid w:val="002A37C9"/>
    <w:rsid w:val="002A3939"/>
    <w:rsid w:val="002A3F4C"/>
    <w:rsid w:val="002A4072"/>
    <w:rsid w:val="002A4A7F"/>
    <w:rsid w:val="002A5877"/>
    <w:rsid w:val="002A6116"/>
    <w:rsid w:val="002A6369"/>
    <w:rsid w:val="002A6636"/>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5240"/>
    <w:rsid w:val="002B559B"/>
    <w:rsid w:val="002B5909"/>
    <w:rsid w:val="002B6379"/>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D2E"/>
    <w:rsid w:val="002C3FD7"/>
    <w:rsid w:val="002C3FDF"/>
    <w:rsid w:val="002C4432"/>
    <w:rsid w:val="002C4E83"/>
    <w:rsid w:val="002C55D6"/>
    <w:rsid w:val="002C5796"/>
    <w:rsid w:val="002C57CC"/>
    <w:rsid w:val="002C592B"/>
    <w:rsid w:val="002C62BA"/>
    <w:rsid w:val="002C6CCB"/>
    <w:rsid w:val="002C71A3"/>
    <w:rsid w:val="002C732F"/>
    <w:rsid w:val="002C7DFF"/>
    <w:rsid w:val="002D01DF"/>
    <w:rsid w:val="002D0247"/>
    <w:rsid w:val="002D0E2B"/>
    <w:rsid w:val="002D105F"/>
    <w:rsid w:val="002D126B"/>
    <w:rsid w:val="002D1385"/>
    <w:rsid w:val="002D19E3"/>
    <w:rsid w:val="002D1A7C"/>
    <w:rsid w:val="002D1E66"/>
    <w:rsid w:val="002D21D2"/>
    <w:rsid w:val="002D2797"/>
    <w:rsid w:val="002D35DE"/>
    <w:rsid w:val="002D49D6"/>
    <w:rsid w:val="002D4FCA"/>
    <w:rsid w:val="002D526C"/>
    <w:rsid w:val="002D5490"/>
    <w:rsid w:val="002D59BE"/>
    <w:rsid w:val="002D5F33"/>
    <w:rsid w:val="002D646E"/>
    <w:rsid w:val="002D71E1"/>
    <w:rsid w:val="002D73B9"/>
    <w:rsid w:val="002D748F"/>
    <w:rsid w:val="002D7AF9"/>
    <w:rsid w:val="002E0166"/>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6BA"/>
    <w:rsid w:val="00300803"/>
    <w:rsid w:val="00300C20"/>
    <w:rsid w:val="00300D41"/>
    <w:rsid w:val="00300DB6"/>
    <w:rsid w:val="003015BC"/>
    <w:rsid w:val="0030297C"/>
    <w:rsid w:val="00302DFC"/>
    <w:rsid w:val="00303030"/>
    <w:rsid w:val="0030337F"/>
    <w:rsid w:val="003035C5"/>
    <w:rsid w:val="00303C63"/>
    <w:rsid w:val="00304335"/>
    <w:rsid w:val="00304D65"/>
    <w:rsid w:val="00304F9D"/>
    <w:rsid w:val="00305102"/>
    <w:rsid w:val="00305AA8"/>
    <w:rsid w:val="00305E72"/>
    <w:rsid w:val="00306004"/>
    <w:rsid w:val="00306C85"/>
    <w:rsid w:val="00306FDA"/>
    <w:rsid w:val="00307042"/>
    <w:rsid w:val="003077FB"/>
    <w:rsid w:val="003079D8"/>
    <w:rsid w:val="003101F9"/>
    <w:rsid w:val="00310555"/>
    <w:rsid w:val="00310675"/>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980"/>
    <w:rsid w:val="0032160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28A"/>
    <w:rsid w:val="003354C0"/>
    <w:rsid w:val="003355C4"/>
    <w:rsid w:val="00335E95"/>
    <w:rsid w:val="003364F5"/>
    <w:rsid w:val="00336831"/>
    <w:rsid w:val="00336D54"/>
    <w:rsid w:val="00337DDD"/>
    <w:rsid w:val="00340133"/>
    <w:rsid w:val="0034228F"/>
    <w:rsid w:val="00342E46"/>
    <w:rsid w:val="00343143"/>
    <w:rsid w:val="0034349D"/>
    <w:rsid w:val="00343AFB"/>
    <w:rsid w:val="00343D29"/>
    <w:rsid w:val="003441DA"/>
    <w:rsid w:val="003442FA"/>
    <w:rsid w:val="003443CD"/>
    <w:rsid w:val="00344A07"/>
    <w:rsid w:val="00345C85"/>
    <w:rsid w:val="00345EDC"/>
    <w:rsid w:val="003464EF"/>
    <w:rsid w:val="003467C4"/>
    <w:rsid w:val="003467F0"/>
    <w:rsid w:val="00347421"/>
    <w:rsid w:val="003474FE"/>
    <w:rsid w:val="003477C4"/>
    <w:rsid w:val="00347B1B"/>
    <w:rsid w:val="00347E03"/>
    <w:rsid w:val="00350061"/>
    <w:rsid w:val="00350BC8"/>
    <w:rsid w:val="0035204C"/>
    <w:rsid w:val="0035205F"/>
    <w:rsid w:val="00352211"/>
    <w:rsid w:val="00352FF4"/>
    <w:rsid w:val="0035369F"/>
    <w:rsid w:val="00353DAF"/>
    <w:rsid w:val="00353F10"/>
    <w:rsid w:val="0035478E"/>
    <w:rsid w:val="003549A1"/>
    <w:rsid w:val="00354AEF"/>
    <w:rsid w:val="00354C3B"/>
    <w:rsid w:val="00354EF7"/>
    <w:rsid w:val="00355014"/>
    <w:rsid w:val="0035509E"/>
    <w:rsid w:val="003554C0"/>
    <w:rsid w:val="003562FF"/>
    <w:rsid w:val="00356347"/>
    <w:rsid w:val="00356436"/>
    <w:rsid w:val="00356506"/>
    <w:rsid w:val="003575A4"/>
    <w:rsid w:val="003579F7"/>
    <w:rsid w:val="00357EBF"/>
    <w:rsid w:val="00360CE6"/>
    <w:rsid w:val="003614F1"/>
    <w:rsid w:val="003617BF"/>
    <w:rsid w:val="00361CF7"/>
    <w:rsid w:val="0036237E"/>
    <w:rsid w:val="0036256B"/>
    <w:rsid w:val="003627B9"/>
    <w:rsid w:val="003629BF"/>
    <w:rsid w:val="00363381"/>
    <w:rsid w:val="00363401"/>
    <w:rsid w:val="00363B03"/>
    <w:rsid w:val="00363CB0"/>
    <w:rsid w:val="00364035"/>
    <w:rsid w:val="0036478B"/>
    <w:rsid w:val="003651D3"/>
    <w:rsid w:val="00365325"/>
    <w:rsid w:val="00366524"/>
    <w:rsid w:val="0036666D"/>
    <w:rsid w:val="003668FD"/>
    <w:rsid w:val="0036714C"/>
    <w:rsid w:val="0036716F"/>
    <w:rsid w:val="003671BB"/>
    <w:rsid w:val="0036722B"/>
    <w:rsid w:val="00367231"/>
    <w:rsid w:val="00367C49"/>
    <w:rsid w:val="00370023"/>
    <w:rsid w:val="00370088"/>
    <w:rsid w:val="00371138"/>
    <w:rsid w:val="00371471"/>
    <w:rsid w:val="00371A6F"/>
    <w:rsid w:val="0037210A"/>
    <w:rsid w:val="00372219"/>
    <w:rsid w:val="00372A1C"/>
    <w:rsid w:val="00372C2B"/>
    <w:rsid w:val="00372F70"/>
    <w:rsid w:val="003730ED"/>
    <w:rsid w:val="0037370F"/>
    <w:rsid w:val="00373793"/>
    <w:rsid w:val="00373B5D"/>
    <w:rsid w:val="00373F39"/>
    <w:rsid w:val="00374595"/>
    <w:rsid w:val="003754D6"/>
    <w:rsid w:val="003758B0"/>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D98"/>
    <w:rsid w:val="00381F61"/>
    <w:rsid w:val="0038207C"/>
    <w:rsid w:val="003825A8"/>
    <w:rsid w:val="00382B8B"/>
    <w:rsid w:val="00383757"/>
    <w:rsid w:val="00383E2E"/>
    <w:rsid w:val="00383ED4"/>
    <w:rsid w:val="003845E7"/>
    <w:rsid w:val="00384DAC"/>
    <w:rsid w:val="00385502"/>
    <w:rsid w:val="00385C07"/>
    <w:rsid w:val="00386025"/>
    <w:rsid w:val="003862A8"/>
    <w:rsid w:val="003864DA"/>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CE0"/>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80F"/>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227C"/>
    <w:rsid w:val="003B22C1"/>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6EC7"/>
    <w:rsid w:val="003B7498"/>
    <w:rsid w:val="003B7974"/>
    <w:rsid w:val="003B79F6"/>
    <w:rsid w:val="003B7B3E"/>
    <w:rsid w:val="003C0385"/>
    <w:rsid w:val="003C050F"/>
    <w:rsid w:val="003C0B71"/>
    <w:rsid w:val="003C0DB3"/>
    <w:rsid w:val="003C0EFA"/>
    <w:rsid w:val="003C0F72"/>
    <w:rsid w:val="003C11F4"/>
    <w:rsid w:val="003C14EE"/>
    <w:rsid w:val="003C216F"/>
    <w:rsid w:val="003C21D1"/>
    <w:rsid w:val="003C224E"/>
    <w:rsid w:val="003C2A5F"/>
    <w:rsid w:val="003C342B"/>
    <w:rsid w:val="003C3F1B"/>
    <w:rsid w:val="003C45C4"/>
    <w:rsid w:val="003C45C6"/>
    <w:rsid w:val="003C4CC3"/>
    <w:rsid w:val="003C4D14"/>
    <w:rsid w:val="003C4DDB"/>
    <w:rsid w:val="003C50C1"/>
    <w:rsid w:val="003C55A2"/>
    <w:rsid w:val="003C7025"/>
    <w:rsid w:val="003C7288"/>
    <w:rsid w:val="003C73BD"/>
    <w:rsid w:val="003C77B7"/>
    <w:rsid w:val="003D00A4"/>
    <w:rsid w:val="003D0700"/>
    <w:rsid w:val="003D079C"/>
    <w:rsid w:val="003D0AB1"/>
    <w:rsid w:val="003D145C"/>
    <w:rsid w:val="003D1C27"/>
    <w:rsid w:val="003D2726"/>
    <w:rsid w:val="003D292E"/>
    <w:rsid w:val="003D3087"/>
    <w:rsid w:val="003D30CB"/>
    <w:rsid w:val="003D3916"/>
    <w:rsid w:val="003D398A"/>
    <w:rsid w:val="003D3ABB"/>
    <w:rsid w:val="003D41E1"/>
    <w:rsid w:val="003D50E9"/>
    <w:rsid w:val="003D5175"/>
    <w:rsid w:val="003D6199"/>
    <w:rsid w:val="003D62E4"/>
    <w:rsid w:val="003D6483"/>
    <w:rsid w:val="003D705A"/>
    <w:rsid w:val="003D7327"/>
    <w:rsid w:val="003D743C"/>
    <w:rsid w:val="003D7623"/>
    <w:rsid w:val="003D77B3"/>
    <w:rsid w:val="003D7CDA"/>
    <w:rsid w:val="003D7D84"/>
    <w:rsid w:val="003E076A"/>
    <w:rsid w:val="003E08F1"/>
    <w:rsid w:val="003E0F54"/>
    <w:rsid w:val="003E1087"/>
    <w:rsid w:val="003E1354"/>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F0D1F"/>
    <w:rsid w:val="003F13C2"/>
    <w:rsid w:val="003F18BE"/>
    <w:rsid w:val="003F1EB5"/>
    <w:rsid w:val="003F1F9D"/>
    <w:rsid w:val="003F2560"/>
    <w:rsid w:val="003F2591"/>
    <w:rsid w:val="003F27AF"/>
    <w:rsid w:val="003F367A"/>
    <w:rsid w:val="003F380C"/>
    <w:rsid w:val="003F390B"/>
    <w:rsid w:val="003F477F"/>
    <w:rsid w:val="003F4B6F"/>
    <w:rsid w:val="003F4C63"/>
    <w:rsid w:val="003F4CDA"/>
    <w:rsid w:val="003F4F1C"/>
    <w:rsid w:val="003F4F7A"/>
    <w:rsid w:val="003F5143"/>
    <w:rsid w:val="003F525D"/>
    <w:rsid w:val="003F535A"/>
    <w:rsid w:val="003F58B5"/>
    <w:rsid w:val="003F5A0D"/>
    <w:rsid w:val="003F5B7C"/>
    <w:rsid w:val="003F619E"/>
    <w:rsid w:val="003F61F0"/>
    <w:rsid w:val="003F6833"/>
    <w:rsid w:val="003F6FFE"/>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294"/>
    <w:rsid w:val="00403F17"/>
    <w:rsid w:val="004050D2"/>
    <w:rsid w:val="00405B58"/>
    <w:rsid w:val="004067B9"/>
    <w:rsid w:val="00407375"/>
    <w:rsid w:val="004073B3"/>
    <w:rsid w:val="004078A2"/>
    <w:rsid w:val="004079AA"/>
    <w:rsid w:val="00410CE0"/>
    <w:rsid w:val="00411341"/>
    <w:rsid w:val="00411CE4"/>
    <w:rsid w:val="00411D43"/>
    <w:rsid w:val="004120DD"/>
    <w:rsid w:val="00412176"/>
    <w:rsid w:val="00412A06"/>
    <w:rsid w:val="0041372B"/>
    <w:rsid w:val="00413D33"/>
    <w:rsid w:val="0041424D"/>
    <w:rsid w:val="00416289"/>
    <w:rsid w:val="0041664B"/>
    <w:rsid w:val="00416734"/>
    <w:rsid w:val="00416E92"/>
    <w:rsid w:val="004171F6"/>
    <w:rsid w:val="0041777F"/>
    <w:rsid w:val="0041798A"/>
    <w:rsid w:val="00417F61"/>
    <w:rsid w:val="00421526"/>
    <w:rsid w:val="00421EC9"/>
    <w:rsid w:val="00422337"/>
    <w:rsid w:val="0042236D"/>
    <w:rsid w:val="0042264B"/>
    <w:rsid w:val="004226A2"/>
    <w:rsid w:val="00422906"/>
    <w:rsid w:val="00422DF6"/>
    <w:rsid w:val="00423241"/>
    <w:rsid w:val="00423525"/>
    <w:rsid w:val="004235F2"/>
    <w:rsid w:val="0042360C"/>
    <w:rsid w:val="004240D9"/>
    <w:rsid w:val="0042481B"/>
    <w:rsid w:val="00424C11"/>
    <w:rsid w:val="0042504C"/>
    <w:rsid w:val="00425579"/>
    <w:rsid w:val="0042567E"/>
    <w:rsid w:val="004258C5"/>
    <w:rsid w:val="0042598A"/>
    <w:rsid w:val="0042665F"/>
    <w:rsid w:val="00426964"/>
    <w:rsid w:val="00426A00"/>
    <w:rsid w:val="00426F12"/>
    <w:rsid w:val="004278A6"/>
    <w:rsid w:val="00427F01"/>
    <w:rsid w:val="00427FEF"/>
    <w:rsid w:val="004300AF"/>
    <w:rsid w:val="004302EF"/>
    <w:rsid w:val="00430964"/>
    <w:rsid w:val="0043096C"/>
    <w:rsid w:val="00430DCA"/>
    <w:rsid w:val="0043110C"/>
    <w:rsid w:val="004313A4"/>
    <w:rsid w:val="004316CD"/>
    <w:rsid w:val="00431E26"/>
    <w:rsid w:val="00432502"/>
    <w:rsid w:val="00432A3B"/>
    <w:rsid w:val="00433207"/>
    <w:rsid w:val="00433345"/>
    <w:rsid w:val="0043347F"/>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B2"/>
    <w:rsid w:val="00442BDF"/>
    <w:rsid w:val="00442DAA"/>
    <w:rsid w:val="00442DC6"/>
    <w:rsid w:val="00443414"/>
    <w:rsid w:val="00444486"/>
    <w:rsid w:val="00444539"/>
    <w:rsid w:val="00444559"/>
    <w:rsid w:val="00444565"/>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599"/>
    <w:rsid w:val="004557ED"/>
    <w:rsid w:val="00455835"/>
    <w:rsid w:val="00456094"/>
    <w:rsid w:val="00456727"/>
    <w:rsid w:val="00456823"/>
    <w:rsid w:val="00456A8F"/>
    <w:rsid w:val="00456E8B"/>
    <w:rsid w:val="00457010"/>
    <w:rsid w:val="004572F9"/>
    <w:rsid w:val="004575E2"/>
    <w:rsid w:val="00457911"/>
    <w:rsid w:val="0046062E"/>
    <w:rsid w:val="00460F34"/>
    <w:rsid w:val="00460F53"/>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494A"/>
    <w:rsid w:val="00464BF5"/>
    <w:rsid w:val="004654E4"/>
    <w:rsid w:val="004657C1"/>
    <w:rsid w:val="00465957"/>
    <w:rsid w:val="00467D8D"/>
    <w:rsid w:val="00467E8E"/>
    <w:rsid w:val="004700B0"/>
    <w:rsid w:val="00470548"/>
    <w:rsid w:val="00470550"/>
    <w:rsid w:val="004705DD"/>
    <w:rsid w:val="0047094B"/>
    <w:rsid w:val="00470BCC"/>
    <w:rsid w:val="00470EFE"/>
    <w:rsid w:val="0047102C"/>
    <w:rsid w:val="00471162"/>
    <w:rsid w:val="0047159C"/>
    <w:rsid w:val="00471868"/>
    <w:rsid w:val="0047271F"/>
    <w:rsid w:val="00472BD8"/>
    <w:rsid w:val="00472CD6"/>
    <w:rsid w:val="00472F92"/>
    <w:rsid w:val="00473651"/>
    <w:rsid w:val="00473993"/>
    <w:rsid w:val="00473BC0"/>
    <w:rsid w:val="00473ED4"/>
    <w:rsid w:val="00474771"/>
    <w:rsid w:val="0047482C"/>
    <w:rsid w:val="00474A83"/>
    <w:rsid w:val="00474A9E"/>
    <w:rsid w:val="00474EED"/>
    <w:rsid w:val="004753F9"/>
    <w:rsid w:val="00475778"/>
    <w:rsid w:val="00476391"/>
    <w:rsid w:val="004766F0"/>
    <w:rsid w:val="004767C2"/>
    <w:rsid w:val="00476855"/>
    <w:rsid w:val="00476985"/>
    <w:rsid w:val="00476C82"/>
    <w:rsid w:val="00476C8A"/>
    <w:rsid w:val="00476E80"/>
    <w:rsid w:val="00476F13"/>
    <w:rsid w:val="00476FB7"/>
    <w:rsid w:val="00477BDB"/>
    <w:rsid w:val="00477DD4"/>
    <w:rsid w:val="004801E6"/>
    <w:rsid w:val="004802B2"/>
    <w:rsid w:val="00480618"/>
    <w:rsid w:val="0048185F"/>
    <w:rsid w:val="0048225D"/>
    <w:rsid w:val="00482274"/>
    <w:rsid w:val="0048277E"/>
    <w:rsid w:val="00482BBC"/>
    <w:rsid w:val="00482D9A"/>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E01"/>
    <w:rsid w:val="00490BD6"/>
    <w:rsid w:val="00490DB9"/>
    <w:rsid w:val="00490FD6"/>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E6D"/>
    <w:rsid w:val="00496ECF"/>
    <w:rsid w:val="00497729"/>
    <w:rsid w:val="004977AC"/>
    <w:rsid w:val="004A020C"/>
    <w:rsid w:val="004A076C"/>
    <w:rsid w:val="004A0CBF"/>
    <w:rsid w:val="004A0ECF"/>
    <w:rsid w:val="004A11BF"/>
    <w:rsid w:val="004A155D"/>
    <w:rsid w:val="004A2890"/>
    <w:rsid w:val="004A337D"/>
    <w:rsid w:val="004A3EA8"/>
    <w:rsid w:val="004A3FBA"/>
    <w:rsid w:val="004A41B4"/>
    <w:rsid w:val="004A4225"/>
    <w:rsid w:val="004A42B4"/>
    <w:rsid w:val="004A483B"/>
    <w:rsid w:val="004A5078"/>
    <w:rsid w:val="004A60A2"/>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9A"/>
    <w:rsid w:val="004B3E83"/>
    <w:rsid w:val="004B4158"/>
    <w:rsid w:val="004B42D4"/>
    <w:rsid w:val="004B42D7"/>
    <w:rsid w:val="004B493F"/>
    <w:rsid w:val="004B4BAD"/>
    <w:rsid w:val="004B5C81"/>
    <w:rsid w:val="004B5EBA"/>
    <w:rsid w:val="004B6083"/>
    <w:rsid w:val="004B6365"/>
    <w:rsid w:val="004B644B"/>
    <w:rsid w:val="004B65F0"/>
    <w:rsid w:val="004B688C"/>
    <w:rsid w:val="004B6AA6"/>
    <w:rsid w:val="004B6FE3"/>
    <w:rsid w:val="004B781A"/>
    <w:rsid w:val="004B7890"/>
    <w:rsid w:val="004B79F4"/>
    <w:rsid w:val="004B7DD5"/>
    <w:rsid w:val="004B7E10"/>
    <w:rsid w:val="004C0179"/>
    <w:rsid w:val="004C03DF"/>
    <w:rsid w:val="004C05B0"/>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EFE"/>
    <w:rsid w:val="004D1FED"/>
    <w:rsid w:val="004D24A1"/>
    <w:rsid w:val="004D253A"/>
    <w:rsid w:val="004D2603"/>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28D"/>
    <w:rsid w:val="004F037E"/>
    <w:rsid w:val="004F03D4"/>
    <w:rsid w:val="004F06AB"/>
    <w:rsid w:val="004F09E0"/>
    <w:rsid w:val="004F19CD"/>
    <w:rsid w:val="004F202C"/>
    <w:rsid w:val="004F2C53"/>
    <w:rsid w:val="004F2FE4"/>
    <w:rsid w:val="004F3769"/>
    <w:rsid w:val="004F3873"/>
    <w:rsid w:val="004F43D8"/>
    <w:rsid w:val="004F4665"/>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A9"/>
    <w:rsid w:val="00503054"/>
    <w:rsid w:val="0050327B"/>
    <w:rsid w:val="005039A0"/>
    <w:rsid w:val="00503EE1"/>
    <w:rsid w:val="005040DA"/>
    <w:rsid w:val="005041EE"/>
    <w:rsid w:val="00504AAE"/>
    <w:rsid w:val="00504D9C"/>
    <w:rsid w:val="00504E39"/>
    <w:rsid w:val="005052B2"/>
    <w:rsid w:val="00505785"/>
    <w:rsid w:val="00505887"/>
    <w:rsid w:val="00505920"/>
    <w:rsid w:val="00505AF6"/>
    <w:rsid w:val="00506152"/>
    <w:rsid w:val="00506312"/>
    <w:rsid w:val="005065C2"/>
    <w:rsid w:val="00506600"/>
    <w:rsid w:val="0050697D"/>
    <w:rsid w:val="00506A0D"/>
    <w:rsid w:val="00506E96"/>
    <w:rsid w:val="00507A2A"/>
    <w:rsid w:val="00507CD9"/>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6DC"/>
    <w:rsid w:val="005136FC"/>
    <w:rsid w:val="00513A08"/>
    <w:rsid w:val="00513C55"/>
    <w:rsid w:val="005140F9"/>
    <w:rsid w:val="00514571"/>
    <w:rsid w:val="00516195"/>
    <w:rsid w:val="00516487"/>
    <w:rsid w:val="005178CF"/>
    <w:rsid w:val="00520078"/>
    <w:rsid w:val="00520097"/>
    <w:rsid w:val="00520208"/>
    <w:rsid w:val="005203F9"/>
    <w:rsid w:val="005207BB"/>
    <w:rsid w:val="00520BFC"/>
    <w:rsid w:val="005215C7"/>
    <w:rsid w:val="005221B5"/>
    <w:rsid w:val="005222E6"/>
    <w:rsid w:val="0052277D"/>
    <w:rsid w:val="0052278D"/>
    <w:rsid w:val="00522CED"/>
    <w:rsid w:val="0052361D"/>
    <w:rsid w:val="00523743"/>
    <w:rsid w:val="00523976"/>
    <w:rsid w:val="0052430A"/>
    <w:rsid w:val="005247D1"/>
    <w:rsid w:val="005252D0"/>
    <w:rsid w:val="005253F5"/>
    <w:rsid w:val="00525544"/>
    <w:rsid w:val="00526687"/>
    <w:rsid w:val="0052676C"/>
    <w:rsid w:val="00526AE0"/>
    <w:rsid w:val="0052747E"/>
    <w:rsid w:val="00527561"/>
    <w:rsid w:val="00530857"/>
    <w:rsid w:val="005308D5"/>
    <w:rsid w:val="0053092A"/>
    <w:rsid w:val="00530F39"/>
    <w:rsid w:val="00531051"/>
    <w:rsid w:val="00531763"/>
    <w:rsid w:val="00531BA5"/>
    <w:rsid w:val="00532021"/>
    <w:rsid w:val="0053206F"/>
    <w:rsid w:val="00532A16"/>
    <w:rsid w:val="00533118"/>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109F"/>
    <w:rsid w:val="005411AF"/>
    <w:rsid w:val="0054190A"/>
    <w:rsid w:val="00541A30"/>
    <w:rsid w:val="00542002"/>
    <w:rsid w:val="00543133"/>
    <w:rsid w:val="00543197"/>
    <w:rsid w:val="00543C80"/>
    <w:rsid w:val="005440B1"/>
    <w:rsid w:val="005440BB"/>
    <w:rsid w:val="005441EE"/>
    <w:rsid w:val="00544786"/>
    <w:rsid w:val="00544C1A"/>
    <w:rsid w:val="00545144"/>
    <w:rsid w:val="00545480"/>
    <w:rsid w:val="005457D0"/>
    <w:rsid w:val="00545B51"/>
    <w:rsid w:val="00545EC8"/>
    <w:rsid w:val="005463A5"/>
    <w:rsid w:val="00547BB1"/>
    <w:rsid w:val="00547FD3"/>
    <w:rsid w:val="0055057A"/>
    <w:rsid w:val="00550EA5"/>
    <w:rsid w:val="00551584"/>
    <w:rsid w:val="00551A22"/>
    <w:rsid w:val="00551C42"/>
    <w:rsid w:val="0055202E"/>
    <w:rsid w:val="005523D3"/>
    <w:rsid w:val="005525EA"/>
    <w:rsid w:val="005534A3"/>
    <w:rsid w:val="00553960"/>
    <w:rsid w:val="00553E09"/>
    <w:rsid w:val="00553F11"/>
    <w:rsid w:val="00553F4F"/>
    <w:rsid w:val="00554629"/>
    <w:rsid w:val="0055470D"/>
    <w:rsid w:val="0055474D"/>
    <w:rsid w:val="005548B6"/>
    <w:rsid w:val="00554BBD"/>
    <w:rsid w:val="00554E60"/>
    <w:rsid w:val="0055519F"/>
    <w:rsid w:val="00555257"/>
    <w:rsid w:val="00555574"/>
    <w:rsid w:val="00555C04"/>
    <w:rsid w:val="00555C89"/>
    <w:rsid w:val="00556657"/>
    <w:rsid w:val="00556CE6"/>
    <w:rsid w:val="00557208"/>
    <w:rsid w:val="00557423"/>
    <w:rsid w:val="0055794B"/>
    <w:rsid w:val="00557E1F"/>
    <w:rsid w:val="0056008C"/>
    <w:rsid w:val="0056075D"/>
    <w:rsid w:val="00560BCD"/>
    <w:rsid w:val="0056103E"/>
    <w:rsid w:val="00561193"/>
    <w:rsid w:val="00561304"/>
    <w:rsid w:val="005617C9"/>
    <w:rsid w:val="00562367"/>
    <w:rsid w:val="0056263E"/>
    <w:rsid w:val="005632B3"/>
    <w:rsid w:val="0056346C"/>
    <w:rsid w:val="0056378E"/>
    <w:rsid w:val="00563B76"/>
    <w:rsid w:val="00563D73"/>
    <w:rsid w:val="005640EA"/>
    <w:rsid w:val="005649A6"/>
    <w:rsid w:val="00564E50"/>
    <w:rsid w:val="00565275"/>
    <w:rsid w:val="00565A94"/>
    <w:rsid w:val="00565B87"/>
    <w:rsid w:val="00565CC0"/>
    <w:rsid w:val="005661D7"/>
    <w:rsid w:val="0056636F"/>
    <w:rsid w:val="005664F8"/>
    <w:rsid w:val="005665EE"/>
    <w:rsid w:val="00566845"/>
    <w:rsid w:val="00566A08"/>
    <w:rsid w:val="00567045"/>
    <w:rsid w:val="00567232"/>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7501"/>
    <w:rsid w:val="00577820"/>
    <w:rsid w:val="00577A9B"/>
    <w:rsid w:val="00577B66"/>
    <w:rsid w:val="00580311"/>
    <w:rsid w:val="0058065B"/>
    <w:rsid w:val="00580CDB"/>
    <w:rsid w:val="00580DB5"/>
    <w:rsid w:val="005811B9"/>
    <w:rsid w:val="0058140A"/>
    <w:rsid w:val="0058142B"/>
    <w:rsid w:val="00581669"/>
    <w:rsid w:val="005820FA"/>
    <w:rsid w:val="005827D5"/>
    <w:rsid w:val="00582850"/>
    <w:rsid w:val="00582B7B"/>
    <w:rsid w:val="00582E2C"/>
    <w:rsid w:val="005833D7"/>
    <w:rsid w:val="005840FD"/>
    <w:rsid w:val="005844DB"/>
    <w:rsid w:val="00584804"/>
    <w:rsid w:val="00584916"/>
    <w:rsid w:val="00584D27"/>
    <w:rsid w:val="00584E95"/>
    <w:rsid w:val="005853B8"/>
    <w:rsid w:val="005856D6"/>
    <w:rsid w:val="00585C71"/>
    <w:rsid w:val="00586A4D"/>
    <w:rsid w:val="00587BE8"/>
    <w:rsid w:val="00590042"/>
    <w:rsid w:val="00590158"/>
    <w:rsid w:val="00590205"/>
    <w:rsid w:val="00590293"/>
    <w:rsid w:val="005905C3"/>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DF9"/>
    <w:rsid w:val="005A1180"/>
    <w:rsid w:val="005A12F2"/>
    <w:rsid w:val="005A1369"/>
    <w:rsid w:val="005A1449"/>
    <w:rsid w:val="005A2647"/>
    <w:rsid w:val="005A2761"/>
    <w:rsid w:val="005A2AD8"/>
    <w:rsid w:val="005A2EF3"/>
    <w:rsid w:val="005A36F3"/>
    <w:rsid w:val="005A3BFD"/>
    <w:rsid w:val="005A3F15"/>
    <w:rsid w:val="005A40F9"/>
    <w:rsid w:val="005A4757"/>
    <w:rsid w:val="005A4A4A"/>
    <w:rsid w:val="005A545E"/>
    <w:rsid w:val="005A5728"/>
    <w:rsid w:val="005A618D"/>
    <w:rsid w:val="005A64D3"/>
    <w:rsid w:val="005A655A"/>
    <w:rsid w:val="005A6F6F"/>
    <w:rsid w:val="005A7138"/>
    <w:rsid w:val="005A7222"/>
    <w:rsid w:val="005A78CC"/>
    <w:rsid w:val="005A7920"/>
    <w:rsid w:val="005A7E1E"/>
    <w:rsid w:val="005B0694"/>
    <w:rsid w:val="005B0FF7"/>
    <w:rsid w:val="005B13F7"/>
    <w:rsid w:val="005B19CD"/>
    <w:rsid w:val="005B1F57"/>
    <w:rsid w:val="005B2248"/>
    <w:rsid w:val="005B2483"/>
    <w:rsid w:val="005B2726"/>
    <w:rsid w:val="005B2A5F"/>
    <w:rsid w:val="005B2E27"/>
    <w:rsid w:val="005B3005"/>
    <w:rsid w:val="005B30B0"/>
    <w:rsid w:val="005B3467"/>
    <w:rsid w:val="005B3D27"/>
    <w:rsid w:val="005B4608"/>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61E"/>
    <w:rsid w:val="005B7B87"/>
    <w:rsid w:val="005B7E79"/>
    <w:rsid w:val="005B7F4B"/>
    <w:rsid w:val="005C0141"/>
    <w:rsid w:val="005C0199"/>
    <w:rsid w:val="005C0BDB"/>
    <w:rsid w:val="005C0C22"/>
    <w:rsid w:val="005C12BD"/>
    <w:rsid w:val="005C167F"/>
    <w:rsid w:val="005C2AE6"/>
    <w:rsid w:val="005C2EB3"/>
    <w:rsid w:val="005C36CD"/>
    <w:rsid w:val="005C3951"/>
    <w:rsid w:val="005C3F07"/>
    <w:rsid w:val="005C4B04"/>
    <w:rsid w:val="005C515F"/>
    <w:rsid w:val="005C526B"/>
    <w:rsid w:val="005C546F"/>
    <w:rsid w:val="005C5D0D"/>
    <w:rsid w:val="005C5FAB"/>
    <w:rsid w:val="005C71E3"/>
    <w:rsid w:val="005C7250"/>
    <w:rsid w:val="005C7316"/>
    <w:rsid w:val="005C75E3"/>
    <w:rsid w:val="005C77C1"/>
    <w:rsid w:val="005C7BED"/>
    <w:rsid w:val="005C7CE4"/>
    <w:rsid w:val="005C7FB4"/>
    <w:rsid w:val="005D04BA"/>
    <w:rsid w:val="005D0B2B"/>
    <w:rsid w:val="005D0BB9"/>
    <w:rsid w:val="005D1507"/>
    <w:rsid w:val="005D2435"/>
    <w:rsid w:val="005D2634"/>
    <w:rsid w:val="005D2859"/>
    <w:rsid w:val="005D2B4D"/>
    <w:rsid w:val="005D3FFF"/>
    <w:rsid w:val="005D55BE"/>
    <w:rsid w:val="005D5AF2"/>
    <w:rsid w:val="005D5C7B"/>
    <w:rsid w:val="005D6A8D"/>
    <w:rsid w:val="005D722A"/>
    <w:rsid w:val="005D7354"/>
    <w:rsid w:val="005D7EDB"/>
    <w:rsid w:val="005E035E"/>
    <w:rsid w:val="005E06B8"/>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A5A"/>
    <w:rsid w:val="005E5ECC"/>
    <w:rsid w:val="005E5F7C"/>
    <w:rsid w:val="005E624E"/>
    <w:rsid w:val="005E6FB4"/>
    <w:rsid w:val="005E753B"/>
    <w:rsid w:val="005E78D2"/>
    <w:rsid w:val="005E7926"/>
    <w:rsid w:val="005F098B"/>
    <w:rsid w:val="005F0F37"/>
    <w:rsid w:val="005F19DD"/>
    <w:rsid w:val="005F1EBD"/>
    <w:rsid w:val="005F2D3F"/>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60035F"/>
    <w:rsid w:val="006004D0"/>
    <w:rsid w:val="0060055B"/>
    <w:rsid w:val="006006DF"/>
    <w:rsid w:val="006009DA"/>
    <w:rsid w:val="006019A6"/>
    <w:rsid w:val="0060240E"/>
    <w:rsid w:val="006025C8"/>
    <w:rsid w:val="00602AC2"/>
    <w:rsid w:val="00603396"/>
    <w:rsid w:val="0060496C"/>
    <w:rsid w:val="006063DB"/>
    <w:rsid w:val="00606773"/>
    <w:rsid w:val="00606854"/>
    <w:rsid w:val="00606D58"/>
    <w:rsid w:val="00606E41"/>
    <w:rsid w:val="00607E73"/>
    <w:rsid w:val="00607E9E"/>
    <w:rsid w:val="006101B8"/>
    <w:rsid w:val="006108AC"/>
    <w:rsid w:val="00610DE3"/>
    <w:rsid w:val="00610E9D"/>
    <w:rsid w:val="00611012"/>
    <w:rsid w:val="0061189B"/>
    <w:rsid w:val="00611C5F"/>
    <w:rsid w:val="0061291A"/>
    <w:rsid w:val="00612B22"/>
    <w:rsid w:val="006133AB"/>
    <w:rsid w:val="006133B1"/>
    <w:rsid w:val="0061349A"/>
    <w:rsid w:val="006137E7"/>
    <w:rsid w:val="00613A9C"/>
    <w:rsid w:val="00613DA9"/>
    <w:rsid w:val="006141DF"/>
    <w:rsid w:val="00614AFD"/>
    <w:rsid w:val="00615694"/>
    <w:rsid w:val="00615908"/>
    <w:rsid w:val="00615D8E"/>
    <w:rsid w:val="006167A5"/>
    <w:rsid w:val="00616B2A"/>
    <w:rsid w:val="006170F3"/>
    <w:rsid w:val="006175B7"/>
    <w:rsid w:val="00617776"/>
    <w:rsid w:val="00617FB4"/>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0D"/>
    <w:rsid w:val="00627934"/>
    <w:rsid w:val="00627B0C"/>
    <w:rsid w:val="00627F51"/>
    <w:rsid w:val="00630060"/>
    <w:rsid w:val="006303B0"/>
    <w:rsid w:val="006305C7"/>
    <w:rsid w:val="006306C4"/>
    <w:rsid w:val="006309D4"/>
    <w:rsid w:val="00630FC4"/>
    <w:rsid w:val="00631205"/>
    <w:rsid w:val="006312FA"/>
    <w:rsid w:val="00631887"/>
    <w:rsid w:val="00632062"/>
    <w:rsid w:val="006329A3"/>
    <w:rsid w:val="00632A5F"/>
    <w:rsid w:val="00632A97"/>
    <w:rsid w:val="00632D63"/>
    <w:rsid w:val="00632F13"/>
    <w:rsid w:val="00633822"/>
    <w:rsid w:val="006338B7"/>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558"/>
    <w:rsid w:val="006406FD"/>
    <w:rsid w:val="00640C93"/>
    <w:rsid w:val="00640E2D"/>
    <w:rsid w:val="00640F59"/>
    <w:rsid w:val="00641640"/>
    <w:rsid w:val="00641E0F"/>
    <w:rsid w:val="006420D6"/>
    <w:rsid w:val="006428B5"/>
    <w:rsid w:val="00642BD8"/>
    <w:rsid w:val="00643785"/>
    <w:rsid w:val="00643A36"/>
    <w:rsid w:val="0064435D"/>
    <w:rsid w:val="006443F3"/>
    <w:rsid w:val="006447E1"/>
    <w:rsid w:val="00644B26"/>
    <w:rsid w:val="00644BE6"/>
    <w:rsid w:val="006452E0"/>
    <w:rsid w:val="0064592A"/>
    <w:rsid w:val="00645D3F"/>
    <w:rsid w:val="0064604F"/>
    <w:rsid w:val="006460D9"/>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346"/>
    <w:rsid w:val="00653BD5"/>
    <w:rsid w:val="00653E21"/>
    <w:rsid w:val="00653F01"/>
    <w:rsid w:val="00653F6B"/>
    <w:rsid w:val="0065508A"/>
    <w:rsid w:val="00655486"/>
    <w:rsid w:val="00655780"/>
    <w:rsid w:val="00655AB2"/>
    <w:rsid w:val="006565CD"/>
    <w:rsid w:val="00656732"/>
    <w:rsid w:val="00656B3F"/>
    <w:rsid w:val="00657130"/>
    <w:rsid w:val="00657310"/>
    <w:rsid w:val="0066000A"/>
    <w:rsid w:val="0066046F"/>
    <w:rsid w:val="00660D1E"/>
    <w:rsid w:val="00661153"/>
    <w:rsid w:val="00661691"/>
    <w:rsid w:val="0066184D"/>
    <w:rsid w:val="0066188D"/>
    <w:rsid w:val="0066195A"/>
    <w:rsid w:val="00662221"/>
    <w:rsid w:val="006623D9"/>
    <w:rsid w:val="006628D8"/>
    <w:rsid w:val="00663261"/>
    <w:rsid w:val="00663341"/>
    <w:rsid w:val="006637B3"/>
    <w:rsid w:val="00663C9D"/>
    <w:rsid w:val="00663FA1"/>
    <w:rsid w:val="00665048"/>
    <w:rsid w:val="0066595C"/>
    <w:rsid w:val="00666338"/>
    <w:rsid w:val="00666F78"/>
    <w:rsid w:val="00666FCF"/>
    <w:rsid w:val="006674F9"/>
    <w:rsid w:val="00667A48"/>
    <w:rsid w:val="00667E84"/>
    <w:rsid w:val="00667F50"/>
    <w:rsid w:val="006709C6"/>
    <w:rsid w:val="00670A18"/>
    <w:rsid w:val="00671183"/>
    <w:rsid w:val="006714A4"/>
    <w:rsid w:val="006714DD"/>
    <w:rsid w:val="00672388"/>
    <w:rsid w:val="006728AB"/>
    <w:rsid w:val="0067378D"/>
    <w:rsid w:val="00674CD6"/>
    <w:rsid w:val="00674D30"/>
    <w:rsid w:val="00675402"/>
    <w:rsid w:val="00675548"/>
    <w:rsid w:val="00675DE8"/>
    <w:rsid w:val="00676319"/>
    <w:rsid w:val="00676FB7"/>
    <w:rsid w:val="006773E7"/>
    <w:rsid w:val="0067757F"/>
    <w:rsid w:val="0067771F"/>
    <w:rsid w:val="00677954"/>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C43"/>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168E"/>
    <w:rsid w:val="006A1BB0"/>
    <w:rsid w:val="006A1DBB"/>
    <w:rsid w:val="006A2157"/>
    <w:rsid w:val="006A2364"/>
    <w:rsid w:val="006A2545"/>
    <w:rsid w:val="006A297E"/>
    <w:rsid w:val="006A3F9B"/>
    <w:rsid w:val="006A406C"/>
    <w:rsid w:val="006A4293"/>
    <w:rsid w:val="006A431D"/>
    <w:rsid w:val="006A4CA9"/>
    <w:rsid w:val="006A4D68"/>
    <w:rsid w:val="006A516D"/>
    <w:rsid w:val="006A5645"/>
    <w:rsid w:val="006A586B"/>
    <w:rsid w:val="006A688B"/>
    <w:rsid w:val="006A6B24"/>
    <w:rsid w:val="006A6B2F"/>
    <w:rsid w:val="006A6B5B"/>
    <w:rsid w:val="006A7230"/>
    <w:rsid w:val="006A797F"/>
    <w:rsid w:val="006A7D23"/>
    <w:rsid w:val="006A7F8F"/>
    <w:rsid w:val="006A7FE6"/>
    <w:rsid w:val="006B0299"/>
    <w:rsid w:val="006B029C"/>
    <w:rsid w:val="006B14B5"/>
    <w:rsid w:val="006B1A07"/>
    <w:rsid w:val="006B263D"/>
    <w:rsid w:val="006B2F29"/>
    <w:rsid w:val="006B3318"/>
    <w:rsid w:val="006B33C3"/>
    <w:rsid w:val="006B3732"/>
    <w:rsid w:val="006B38FD"/>
    <w:rsid w:val="006B4C45"/>
    <w:rsid w:val="006B516D"/>
    <w:rsid w:val="006B65A5"/>
    <w:rsid w:val="006B6891"/>
    <w:rsid w:val="006B6C9C"/>
    <w:rsid w:val="006B6F46"/>
    <w:rsid w:val="006B71FC"/>
    <w:rsid w:val="006B759F"/>
    <w:rsid w:val="006B7615"/>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D00E0"/>
    <w:rsid w:val="006D00FA"/>
    <w:rsid w:val="006D0813"/>
    <w:rsid w:val="006D0E62"/>
    <w:rsid w:val="006D18D7"/>
    <w:rsid w:val="006D1E07"/>
    <w:rsid w:val="006D2189"/>
    <w:rsid w:val="006D2558"/>
    <w:rsid w:val="006D29D2"/>
    <w:rsid w:val="006D2A4B"/>
    <w:rsid w:val="006D2DAB"/>
    <w:rsid w:val="006D33B5"/>
    <w:rsid w:val="006D4835"/>
    <w:rsid w:val="006D4AD1"/>
    <w:rsid w:val="006D5BE8"/>
    <w:rsid w:val="006D5F02"/>
    <w:rsid w:val="006D6256"/>
    <w:rsid w:val="006D62D7"/>
    <w:rsid w:val="006D6741"/>
    <w:rsid w:val="006D7600"/>
    <w:rsid w:val="006E0227"/>
    <w:rsid w:val="006E030E"/>
    <w:rsid w:val="006E0448"/>
    <w:rsid w:val="006E0472"/>
    <w:rsid w:val="006E0998"/>
    <w:rsid w:val="006E0B3D"/>
    <w:rsid w:val="006E0DCC"/>
    <w:rsid w:val="006E1A28"/>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2C4"/>
    <w:rsid w:val="006F37E2"/>
    <w:rsid w:val="006F3997"/>
    <w:rsid w:val="006F3B1B"/>
    <w:rsid w:val="006F3F0A"/>
    <w:rsid w:val="006F46FA"/>
    <w:rsid w:val="006F4955"/>
    <w:rsid w:val="006F4FA7"/>
    <w:rsid w:val="006F556A"/>
    <w:rsid w:val="006F556E"/>
    <w:rsid w:val="006F5AD7"/>
    <w:rsid w:val="006F614F"/>
    <w:rsid w:val="006F6255"/>
    <w:rsid w:val="006F6C48"/>
    <w:rsid w:val="006F6D01"/>
    <w:rsid w:val="006F6E1B"/>
    <w:rsid w:val="006F6FFA"/>
    <w:rsid w:val="006F772F"/>
    <w:rsid w:val="006F79AC"/>
    <w:rsid w:val="006F7E09"/>
    <w:rsid w:val="0070002F"/>
    <w:rsid w:val="00700064"/>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956"/>
    <w:rsid w:val="00705014"/>
    <w:rsid w:val="007052F9"/>
    <w:rsid w:val="00705369"/>
    <w:rsid w:val="00705C7B"/>
    <w:rsid w:val="00705CFF"/>
    <w:rsid w:val="00706766"/>
    <w:rsid w:val="00710283"/>
    <w:rsid w:val="00710665"/>
    <w:rsid w:val="00710974"/>
    <w:rsid w:val="00710BFA"/>
    <w:rsid w:val="00711144"/>
    <w:rsid w:val="007115E9"/>
    <w:rsid w:val="007116E3"/>
    <w:rsid w:val="00711BF7"/>
    <w:rsid w:val="00711C0D"/>
    <w:rsid w:val="0071222D"/>
    <w:rsid w:val="00712353"/>
    <w:rsid w:val="0071239C"/>
    <w:rsid w:val="0071277C"/>
    <w:rsid w:val="00712996"/>
    <w:rsid w:val="00712B74"/>
    <w:rsid w:val="00712DC8"/>
    <w:rsid w:val="00714641"/>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52"/>
    <w:rsid w:val="00721AFD"/>
    <w:rsid w:val="00721DFE"/>
    <w:rsid w:val="00721F93"/>
    <w:rsid w:val="007221C9"/>
    <w:rsid w:val="00722DE6"/>
    <w:rsid w:val="00722F25"/>
    <w:rsid w:val="00723135"/>
    <w:rsid w:val="007233FC"/>
    <w:rsid w:val="00723B32"/>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5F3"/>
    <w:rsid w:val="007315FB"/>
    <w:rsid w:val="00731A79"/>
    <w:rsid w:val="00731F02"/>
    <w:rsid w:val="00731F56"/>
    <w:rsid w:val="00731FA8"/>
    <w:rsid w:val="0073222F"/>
    <w:rsid w:val="0073235F"/>
    <w:rsid w:val="007327DB"/>
    <w:rsid w:val="00732A9E"/>
    <w:rsid w:val="00733175"/>
    <w:rsid w:val="00733654"/>
    <w:rsid w:val="00733AD2"/>
    <w:rsid w:val="00733E33"/>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E"/>
    <w:rsid w:val="007466ED"/>
    <w:rsid w:val="0074672F"/>
    <w:rsid w:val="00746A45"/>
    <w:rsid w:val="00746B52"/>
    <w:rsid w:val="00746CA3"/>
    <w:rsid w:val="00746ED2"/>
    <w:rsid w:val="00747140"/>
    <w:rsid w:val="007478F7"/>
    <w:rsid w:val="00747A6C"/>
    <w:rsid w:val="007506DD"/>
    <w:rsid w:val="00750961"/>
    <w:rsid w:val="00750B06"/>
    <w:rsid w:val="00750BAF"/>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7B5"/>
    <w:rsid w:val="00757C92"/>
    <w:rsid w:val="007609A0"/>
    <w:rsid w:val="00761E30"/>
    <w:rsid w:val="00761FDC"/>
    <w:rsid w:val="00762545"/>
    <w:rsid w:val="00762840"/>
    <w:rsid w:val="0076292E"/>
    <w:rsid w:val="00762B30"/>
    <w:rsid w:val="007639C9"/>
    <w:rsid w:val="00763A14"/>
    <w:rsid w:val="00763E6F"/>
    <w:rsid w:val="007645E4"/>
    <w:rsid w:val="007649D9"/>
    <w:rsid w:val="00764BDB"/>
    <w:rsid w:val="00764C5D"/>
    <w:rsid w:val="00764E70"/>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421B"/>
    <w:rsid w:val="007742C5"/>
    <w:rsid w:val="00774DE4"/>
    <w:rsid w:val="0077572C"/>
    <w:rsid w:val="007757B7"/>
    <w:rsid w:val="00775EE1"/>
    <w:rsid w:val="00776131"/>
    <w:rsid w:val="00776442"/>
    <w:rsid w:val="007764AB"/>
    <w:rsid w:val="00776EBC"/>
    <w:rsid w:val="00777207"/>
    <w:rsid w:val="00777256"/>
    <w:rsid w:val="00780190"/>
    <w:rsid w:val="00780302"/>
    <w:rsid w:val="0078047B"/>
    <w:rsid w:val="007807AD"/>
    <w:rsid w:val="00780B93"/>
    <w:rsid w:val="00781119"/>
    <w:rsid w:val="00781739"/>
    <w:rsid w:val="00781E9E"/>
    <w:rsid w:val="007821AF"/>
    <w:rsid w:val="007821E3"/>
    <w:rsid w:val="007824D6"/>
    <w:rsid w:val="00782C2E"/>
    <w:rsid w:val="007830C2"/>
    <w:rsid w:val="0078379F"/>
    <w:rsid w:val="00783FC0"/>
    <w:rsid w:val="00783FFE"/>
    <w:rsid w:val="007845FB"/>
    <w:rsid w:val="00784F02"/>
    <w:rsid w:val="00785981"/>
    <w:rsid w:val="00785AC6"/>
    <w:rsid w:val="007860BC"/>
    <w:rsid w:val="00786151"/>
    <w:rsid w:val="007861EF"/>
    <w:rsid w:val="0078627C"/>
    <w:rsid w:val="00786390"/>
    <w:rsid w:val="007866A9"/>
    <w:rsid w:val="007869DD"/>
    <w:rsid w:val="00786D4E"/>
    <w:rsid w:val="00786E35"/>
    <w:rsid w:val="00787AF8"/>
    <w:rsid w:val="00787C03"/>
    <w:rsid w:val="0079021E"/>
    <w:rsid w:val="00790BC0"/>
    <w:rsid w:val="00790D8A"/>
    <w:rsid w:val="00791329"/>
    <w:rsid w:val="00791B1E"/>
    <w:rsid w:val="00791C53"/>
    <w:rsid w:val="00792411"/>
    <w:rsid w:val="00793EA2"/>
    <w:rsid w:val="00794886"/>
    <w:rsid w:val="00794B94"/>
    <w:rsid w:val="00794C06"/>
    <w:rsid w:val="00794D47"/>
    <w:rsid w:val="00794ECF"/>
    <w:rsid w:val="00794EE8"/>
    <w:rsid w:val="00794FB8"/>
    <w:rsid w:val="00795565"/>
    <w:rsid w:val="0079591E"/>
    <w:rsid w:val="00795C75"/>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085"/>
    <w:rsid w:val="007A698D"/>
    <w:rsid w:val="007A6F95"/>
    <w:rsid w:val="007A72EE"/>
    <w:rsid w:val="007A7C21"/>
    <w:rsid w:val="007B045E"/>
    <w:rsid w:val="007B052B"/>
    <w:rsid w:val="007B20FE"/>
    <w:rsid w:val="007B23B5"/>
    <w:rsid w:val="007B2CE5"/>
    <w:rsid w:val="007B2D16"/>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120"/>
    <w:rsid w:val="007C231C"/>
    <w:rsid w:val="007C27B3"/>
    <w:rsid w:val="007C2AFD"/>
    <w:rsid w:val="007C3449"/>
    <w:rsid w:val="007C4F8F"/>
    <w:rsid w:val="007C5126"/>
    <w:rsid w:val="007C669D"/>
    <w:rsid w:val="007C6DC7"/>
    <w:rsid w:val="007D0023"/>
    <w:rsid w:val="007D0129"/>
    <w:rsid w:val="007D035E"/>
    <w:rsid w:val="007D089C"/>
    <w:rsid w:val="007D11FB"/>
    <w:rsid w:val="007D1421"/>
    <w:rsid w:val="007D1808"/>
    <w:rsid w:val="007D1842"/>
    <w:rsid w:val="007D1BEE"/>
    <w:rsid w:val="007D20AC"/>
    <w:rsid w:val="007D20D5"/>
    <w:rsid w:val="007D248F"/>
    <w:rsid w:val="007D2501"/>
    <w:rsid w:val="007D2561"/>
    <w:rsid w:val="007D2876"/>
    <w:rsid w:val="007D4590"/>
    <w:rsid w:val="007D47DB"/>
    <w:rsid w:val="007D4ABF"/>
    <w:rsid w:val="007D4BFC"/>
    <w:rsid w:val="007D4F70"/>
    <w:rsid w:val="007D50CF"/>
    <w:rsid w:val="007D59B2"/>
    <w:rsid w:val="007D5F99"/>
    <w:rsid w:val="007D632C"/>
    <w:rsid w:val="007D6B14"/>
    <w:rsid w:val="007D6C13"/>
    <w:rsid w:val="007D6E4B"/>
    <w:rsid w:val="007D6F89"/>
    <w:rsid w:val="007D7741"/>
    <w:rsid w:val="007D7DE4"/>
    <w:rsid w:val="007E1C27"/>
    <w:rsid w:val="007E2256"/>
    <w:rsid w:val="007E28BF"/>
    <w:rsid w:val="007E2BA4"/>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D5"/>
    <w:rsid w:val="007F030E"/>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DE"/>
    <w:rsid w:val="007F610F"/>
    <w:rsid w:val="007F6924"/>
    <w:rsid w:val="007F6CC1"/>
    <w:rsid w:val="007F6D8A"/>
    <w:rsid w:val="007F701C"/>
    <w:rsid w:val="007F75AF"/>
    <w:rsid w:val="0080041A"/>
    <w:rsid w:val="008004CE"/>
    <w:rsid w:val="00800D82"/>
    <w:rsid w:val="00801E33"/>
    <w:rsid w:val="00801F20"/>
    <w:rsid w:val="0080204D"/>
    <w:rsid w:val="0080272A"/>
    <w:rsid w:val="0080276C"/>
    <w:rsid w:val="00802C14"/>
    <w:rsid w:val="008031B8"/>
    <w:rsid w:val="00803346"/>
    <w:rsid w:val="0080364B"/>
    <w:rsid w:val="0080376E"/>
    <w:rsid w:val="00803E60"/>
    <w:rsid w:val="00803F52"/>
    <w:rsid w:val="0080419A"/>
    <w:rsid w:val="008045CC"/>
    <w:rsid w:val="008046EB"/>
    <w:rsid w:val="00804FE2"/>
    <w:rsid w:val="008056C7"/>
    <w:rsid w:val="008064BA"/>
    <w:rsid w:val="008072FB"/>
    <w:rsid w:val="00807C0D"/>
    <w:rsid w:val="008102AC"/>
    <w:rsid w:val="00810853"/>
    <w:rsid w:val="008108EB"/>
    <w:rsid w:val="00810EAD"/>
    <w:rsid w:val="008112E9"/>
    <w:rsid w:val="00811719"/>
    <w:rsid w:val="008120E4"/>
    <w:rsid w:val="008121D2"/>
    <w:rsid w:val="008127AD"/>
    <w:rsid w:val="008128C6"/>
    <w:rsid w:val="00812A87"/>
    <w:rsid w:val="00812E84"/>
    <w:rsid w:val="00813144"/>
    <w:rsid w:val="00813466"/>
    <w:rsid w:val="00813493"/>
    <w:rsid w:val="008135DB"/>
    <w:rsid w:val="00813974"/>
    <w:rsid w:val="00813CA1"/>
    <w:rsid w:val="00813F51"/>
    <w:rsid w:val="00814D20"/>
    <w:rsid w:val="0081550F"/>
    <w:rsid w:val="00816EEE"/>
    <w:rsid w:val="0081709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DEE"/>
    <w:rsid w:val="00825FAD"/>
    <w:rsid w:val="00826531"/>
    <w:rsid w:val="00826D9E"/>
    <w:rsid w:val="00826DCB"/>
    <w:rsid w:val="00827911"/>
    <w:rsid w:val="00827981"/>
    <w:rsid w:val="00827B7E"/>
    <w:rsid w:val="00830171"/>
    <w:rsid w:val="00830AE7"/>
    <w:rsid w:val="00830ED8"/>
    <w:rsid w:val="00831216"/>
    <w:rsid w:val="0083172C"/>
    <w:rsid w:val="00831E0A"/>
    <w:rsid w:val="0083257D"/>
    <w:rsid w:val="008325BD"/>
    <w:rsid w:val="008326AE"/>
    <w:rsid w:val="00832766"/>
    <w:rsid w:val="00833637"/>
    <w:rsid w:val="0083394B"/>
    <w:rsid w:val="00834D16"/>
    <w:rsid w:val="00834E55"/>
    <w:rsid w:val="0083503C"/>
    <w:rsid w:val="008358C1"/>
    <w:rsid w:val="00836501"/>
    <w:rsid w:val="00836AD8"/>
    <w:rsid w:val="00836D49"/>
    <w:rsid w:val="008375B7"/>
    <w:rsid w:val="008376CB"/>
    <w:rsid w:val="008401D5"/>
    <w:rsid w:val="008401F9"/>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23AB"/>
    <w:rsid w:val="00852650"/>
    <w:rsid w:val="008529FA"/>
    <w:rsid w:val="00853B07"/>
    <w:rsid w:val="00853B8D"/>
    <w:rsid w:val="008544FC"/>
    <w:rsid w:val="00855930"/>
    <w:rsid w:val="00855E51"/>
    <w:rsid w:val="008560A8"/>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9A4"/>
    <w:rsid w:val="00871182"/>
    <w:rsid w:val="008716F1"/>
    <w:rsid w:val="0087170E"/>
    <w:rsid w:val="008723FE"/>
    <w:rsid w:val="00872693"/>
    <w:rsid w:val="00872998"/>
    <w:rsid w:val="00872D6D"/>
    <w:rsid w:val="00873A4C"/>
    <w:rsid w:val="00873FD1"/>
    <w:rsid w:val="008740BA"/>
    <w:rsid w:val="00874113"/>
    <w:rsid w:val="0087435F"/>
    <w:rsid w:val="008746A9"/>
    <w:rsid w:val="0087477A"/>
    <w:rsid w:val="00874E89"/>
    <w:rsid w:val="00875043"/>
    <w:rsid w:val="00876310"/>
    <w:rsid w:val="008764E8"/>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E81"/>
    <w:rsid w:val="00896399"/>
    <w:rsid w:val="0089671E"/>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3001"/>
    <w:rsid w:val="008A30E7"/>
    <w:rsid w:val="008A373E"/>
    <w:rsid w:val="008A37C1"/>
    <w:rsid w:val="008A37D4"/>
    <w:rsid w:val="008A3907"/>
    <w:rsid w:val="008A3B3D"/>
    <w:rsid w:val="008A4256"/>
    <w:rsid w:val="008A4472"/>
    <w:rsid w:val="008A4685"/>
    <w:rsid w:val="008A4BBF"/>
    <w:rsid w:val="008A4BED"/>
    <w:rsid w:val="008A504F"/>
    <w:rsid w:val="008A51C4"/>
    <w:rsid w:val="008A5CE2"/>
    <w:rsid w:val="008A6E51"/>
    <w:rsid w:val="008A6F32"/>
    <w:rsid w:val="008A6F9D"/>
    <w:rsid w:val="008A6FC7"/>
    <w:rsid w:val="008A7144"/>
    <w:rsid w:val="008A72FF"/>
    <w:rsid w:val="008A7699"/>
    <w:rsid w:val="008A79F0"/>
    <w:rsid w:val="008A7EE8"/>
    <w:rsid w:val="008A7F7A"/>
    <w:rsid w:val="008B02A3"/>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B22"/>
    <w:rsid w:val="008B348A"/>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495"/>
    <w:rsid w:val="008C2727"/>
    <w:rsid w:val="008C2B01"/>
    <w:rsid w:val="008C2B0D"/>
    <w:rsid w:val="008C2F6B"/>
    <w:rsid w:val="008C33DF"/>
    <w:rsid w:val="008C35EF"/>
    <w:rsid w:val="008C3705"/>
    <w:rsid w:val="008C3716"/>
    <w:rsid w:val="008C3862"/>
    <w:rsid w:val="008C40D1"/>
    <w:rsid w:val="008C4261"/>
    <w:rsid w:val="008C4405"/>
    <w:rsid w:val="008C4468"/>
    <w:rsid w:val="008C4645"/>
    <w:rsid w:val="008C55F0"/>
    <w:rsid w:val="008C586A"/>
    <w:rsid w:val="008C5BBD"/>
    <w:rsid w:val="008C6365"/>
    <w:rsid w:val="008C6A00"/>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50B2"/>
    <w:rsid w:val="008D5591"/>
    <w:rsid w:val="008D5854"/>
    <w:rsid w:val="008D5944"/>
    <w:rsid w:val="008D5C49"/>
    <w:rsid w:val="008D650A"/>
    <w:rsid w:val="008D6819"/>
    <w:rsid w:val="008D6B44"/>
    <w:rsid w:val="008D7503"/>
    <w:rsid w:val="008D7725"/>
    <w:rsid w:val="008E03F6"/>
    <w:rsid w:val="008E11BB"/>
    <w:rsid w:val="008E13E3"/>
    <w:rsid w:val="008E1485"/>
    <w:rsid w:val="008E20BD"/>
    <w:rsid w:val="008E2844"/>
    <w:rsid w:val="008E3364"/>
    <w:rsid w:val="008E35BE"/>
    <w:rsid w:val="008E392E"/>
    <w:rsid w:val="008E3B98"/>
    <w:rsid w:val="008E4227"/>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A25"/>
    <w:rsid w:val="008F315B"/>
    <w:rsid w:val="008F407C"/>
    <w:rsid w:val="008F430E"/>
    <w:rsid w:val="008F4330"/>
    <w:rsid w:val="008F4416"/>
    <w:rsid w:val="008F4525"/>
    <w:rsid w:val="008F483F"/>
    <w:rsid w:val="008F4CA6"/>
    <w:rsid w:val="008F4D94"/>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3F70"/>
    <w:rsid w:val="0091413B"/>
    <w:rsid w:val="009144DA"/>
    <w:rsid w:val="00914E3B"/>
    <w:rsid w:val="009153EE"/>
    <w:rsid w:val="00916085"/>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2CC2"/>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D2"/>
    <w:rsid w:val="00930122"/>
    <w:rsid w:val="009307A3"/>
    <w:rsid w:val="00930C65"/>
    <w:rsid w:val="00930CFD"/>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E3"/>
    <w:rsid w:val="00936653"/>
    <w:rsid w:val="009369E5"/>
    <w:rsid w:val="009371A6"/>
    <w:rsid w:val="009405C1"/>
    <w:rsid w:val="0094070C"/>
    <w:rsid w:val="00940957"/>
    <w:rsid w:val="00940A54"/>
    <w:rsid w:val="00941341"/>
    <w:rsid w:val="009417C1"/>
    <w:rsid w:val="009418B1"/>
    <w:rsid w:val="00941EF7"/>
    <w:rsid w:val="00942EA9"/>
    <w:rsid w:val="0094300D"/>
    <w:rsid w:val="009433E9"/>
    <w:rsid w:val="009435CA"/>
    <w:rsid w:val="00943630"/>
    <w:rsid w:val="00943E56"/>
    <w:rsid w:val="00943E7F"/>
    <w:rsid w:val="00943F29"/>
    <w:rsid w:val="00944235"/>
    <w:rsid w:val="0094435E"/>
    <w:rsid w:val="009446B4"/>
    <w:rsid w:val="00944A3E"/>
    <w:rsid w:val="00944D08"/>
    <w:rsid w:val="00944E8A"/>
    <w:rsid w:val="009452E9"/>
    <w:rsid w:val="009456D2"/>
    <w:rsid w:val="009456E0"/>
    <w:rsid w:val="00945899"/>
    <w:rsid w:val="00945B06"/>
    <w:rsid w:val="00946254"/>
    <w:rsid w:val="009463FB"/>
    <w:rsid w:val="00946625"/>
    <w:rsid w:val="0094667B"/>
    <w:rsid w:val="009479D8"/>
    <w:rsid w:val="00947F01"/>
    <w:rsid w:val="009500D2"/>
    <w:rsid w:val="00950466"/>
    <w:rsid w:val="009505F5"/>
    <w:rsid w:val="009508D2"/>
    <w:rsid w:val="00950B19"/>
    <w:rsid w:val="00950BFF"/>
    <w:rsid w:val="009514C5"/>
    <w:rsid w:val="00951557"/>
    <w:rsid w:val="00951738"/>
    <w:rsid w:val="00951D31"/>
    <w:rsid w:val="00952962"/>
    <w:rsid w:val="00952ADB"/>
    <w:rsid w:val="009534A9"/>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775"/>
    <w:rsid w:val="0095791C"/>
    <w:rsid w:val="00957B6B"/>
    <w:rsid w:val="00957B6D"/>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C16"/>
    <w:rsid w:val="009662E1"/>
    <w:rsid w:val="00966D2E"/>
    <w:rsid w:val="00967E92"/>
    <w:rsid w:val="00970006"/>
    <w:rsid w:val="00970250"/>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B40"/>
    <w:rsid w:val="0098196C"/>
    <w:rsid w:val="00981D89"/>
    <w:rsid w:val="009826E8"/>
    <w:rsid w:val="00982CAB"/>
    <w:rsid w:val="00982FCE"/>
    <w:rsid w:val="00983258"/>
    <w:rsid w:val="00983FFB"/>
    <w:rsid w:val="009841BE"/>
    <w:rsid w:val="00984B33"/>
    <w:rsid w:val="00984CDB"/>
    <w:rsid w:val="00984E1F"/>
    <w:rsid w:val="009851F4"/>
    <w:rsid w:val="009867F7"/>
    <w:rsid w:val="0098685F"/>
    <w:rsid w:val="00987B1D"/>
    <w:rsid w:val="00990276"/>
    <w:rsid w:val="00990330"/>
    <w:rsid w:val="0099087E"/>
    <w:rsid w:val="00990AD6"/>
    <w:rsid w:val="00990CC1"/>
    <w:rsid w:val="00991981"/>
    <w:rsid w:val="00991E3F"/>
    <w:rsid w:val="00991F18"/>
    <w:rsid w:val="00991F93"/>
    <w:rsid w:val="009920AC"/>
    <w:rsid w:val="009924FF"/>
    <w:rsid w:val="00992FCE"/>
    <w:rsid w:val="00993048"/>
    <w:rsid w:val="009937CA"/>
    <w:rsid w:val="00993D8A"/>
    <w:rsid w:val="00993D9F"/>
    <w:rsid w:val="00993F77"/>
    <w:rsid w:val="0099489E"/>
    <w:rsid w:val="009961FC"/>
    <w:rsid w:val="00996294"/>
    <w:rsid w:val="00996658"/>
    <w:rsid w:val="00996A01"/>
    <w:rsid w:val="00997346"/>
    <w:rsid w:val="009A0B14"/>
    <w:rsid w:val="009A0CF2"/>
    <w:rsid w:val="009A15FD"/>
    <w:rsid w:val="009A1C56"/>
    <w:rsid w:val="009A2FA8"/>
    <w:rsid w:val="009A3561"/>
    <w:rsid w:val="009A387D"/>
    <w:rsid w:val="009A4359"/>
    <w:rsid w:val="009A4D8A"/>
    <w:rsid w:val="009A52F5"/>
    <w:rsid w:val="009A5463"/>
    <w:rsid w:val="009A5786"/>
    <w:rsid w:val="009A58A4"/>
    <w:rsid w:val="009A6D10"/>
    <w:rsid w:val="009A7770"/>
    <w:rsid w:val="009B0336"/>
    <w:rsid w:val="009B04FD"/>
    <w:rsid w:val="009B0907"/>
    <w:rsid w:val="009B0A5E"/>
    <w:rsid w:val="009B0BBC"/>
    <w:rsid w:val="009B0C15"/>
    <w:rsid w:val="009B1209"/>
    <w:rsid w:val="009B2791"/>
    <w:rsid w:val="009B2A57"/>
    <w:rsid w:val="009B2AFE"/>
    <w:rsid w:val="009B344E"/>
    <w:rsid w:val="009B373F"/>
    <w:rsid w:val="009B419C"/>
    <w:rsid w:val="009B44D5"/>
    <w:rsid w:val="009B4504"/>
    <w:rsid w:val="009B4E9C"/>
    <w:rsid w:val="009B506D"/>
    <w:rsid w:val="009B526F"/>
    <w:rsid w:val="009B54C2"/>
    <w:rsid w:val="009B6410"/>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A67"/>
    <w:rsid w:val="009C7267"/>
    <w:rsid w:val="009C7757"/>
    <w:rsid w:val="009C778D"/>
    <w:rsid w:val="009C780A"/>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64E3"/>
    <w:rsid w:val="009D65A5"/>
    <w:rsid w:val="009D65D2"/>
    <w:rsid w:val="009D6B14"/>
    <w:rsid w:val="009D6C23"/>
    <w:rsid w:val="009D74AC"/>
    <w:rsid w:val="009D74F2"/>
    <w:rsid w:val="009D75C3"/>
    <w:rsid w:val="009D7DE9"/>
    <w:rsid w:val="009E02A1"/>
    <w:rsid w:val="009E1036"/>
    <w:rsid w:val="009E1B7F"/>
    <w:rsid w:val="009E3126"/>
    <w:rsid w:val="009E316B"/>
    <w:rsid w:val="009E33E0"/>
    <w:rsid w:val="009E3CA0"/>
    <w:rsid w:val="009E40C6"/>
    <w:rsid w:val="009E49E5"/>
    <w:rsid w:val="009E5294"/>
    <w:rsid w:val="009E55F3"/>
    <w:rsid w:val="009E5D8B"/>
    <w:rsid w:val="009E67D4"/>
    <w:rsid w:val="009E6B3A"/>
    <w:rsid w:val="009E7BF0"/>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013"/>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A55"/>
    <w:rsid w:val="00A077F0"/>
    <w:rsid w:val="00A07EA1"/>
    <w:rsid w:val="00A10482"/>
    <w:rsid w:val="00A1056D"/>
    <w:rsid w:val="00A109D4"/>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F4B"/>
    <w:rsid w:val="00A35055"/>
    <w:rsid w:val="00A350C2"/>
    <w:rsid w:val="00A35AA3"/>
    <w:rsid w:val="00A35BFF"/>
    <w:rsid w:val="00A36183"/>
    <w:rsid w:val="00A369AE"/>
    <w:rsid w:val="00A36B26"/>
    <w:rsid w:val="00A37659"/>
    <w:rsid w:val="00A37C74"/>
    <w:rsid w:val="00A37F0E"/>
    <w:rsid w:val="00A40322"/>
    <w:rsid w:val="00A40F4E"/>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1B0"/>
    <w:rsid w:val="00A546A3"/>
    <w:rsid w:val="00A54734"/>
    <w:rsid w:val="00A54E29"/>
    <w:rsid w:val="00A55654"/>
    <w:rsid w:val="00A557AB"/>
    <w:rsid w:val="00A56235"/>
    <w:rsid w:val="00A6027A"/>
    <w:rsid w:val="00A603BB"/>
    <w:rsid w:val="00A604C9"/>
    <w:rsid w:val="00A60D25"/>
    <w:rsid w:val="00A62490"/>
    <w:rsid w:val="00A62672"/>
    <w:rsid w:val="00A62AA7"/>
    <w:rsid w:val="00A62B16"/>
    <w:rsid w:val="00A63054"/>
    <w:rsid w:val="00A6306A"/>
    <w:rsid w:val="00A6314E"/>
    <w:rsid w:val="00A63727"/>
    <w:rsid w:val="00A6376A"/>
    <w:rsid w:val="00A63E8E"/>
    <w:rsid w:val="00A63F3E"/>
    <w:rsid w:val="00A64384"/>
    <w:rsid w:val="00A65D4E"/>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88B"/>
    <w:rsid w:val="00A7195E"/>
    <w:rsid w:val="00A71B56"/>
    <w:rsid w:val="00A71C4F"/>
    <w:rsid w:val="00A71D40"/>
    <w:rsid w:val="00A72695"/>
    <w:rsid w:val="00A726B8"/>
    <w:rsid w:val="00A72808"/>
    <w:rsid w:val="00A72D15"/>
    <w:rsid w:val="00A7360D"/>
    <w:rsid w:val="00A737EA"/>
    <w:rsid w:val="00A73867"/>
    <w:rsid w:val="00A7425B"/>
    <w:rsid w:val="00A744DC"/>
    <w:rsid w:val="00A7457C"/>
    <w:rsid w:val="00A7491E"/>
    <w:rsid w:val="00A74C34"/>
    <w:rsid w:val="00A750D4"/>
    <w:rsid w:val="00A752B9"/>
    <w:rsid w:val="00A75836"/>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CE2"/>
    <w:rsid w:val="00A85438"/>
    <w:rsid w:val="00A854BF"/>
    <w:rsid w:val="00A8551F"/>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7E6"/>
    <w:rsid w:val="00A93AEC"/>
    <w:rsid w:val="00A944A0"/>
    <w:rsid w:val="00A94C49"/>
    <w:rsid w:val="00A94DAA"/>
    <w:rsid w:val="00A952F1"/>
    <w:rsid w:val="00A952F2"/>
    <w:rsid w:val="00A95AB9"/>
    <w:rsid w:val="00A95CF0"/>
    <w:rsid w:val="00A96148"/>
    <w:rsid w:val="00A96DAB"/>
    <w:rsid w:val="00A96E05"/>
    <w:rsid w:val="00A97A87"/>
    <w:rsid w:val="00A97C74"/>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41A6"/>
    <w:rsid w:val="00AB4B41"/>
    <w:rsid w:val="00AB4CB0"/>
    <w:rsid w:val="00AB5321"/>
    <w:rsid w:val="00AB699F"/>
    <w:rsid w:val="00AB6BBF"/>
    <w:rsid w:val="00AB6CE3"/>
    <w:rsid w:val="00AB6E1F"/>
    <w:rsid w:val="00AB7571"/>
    <w:rsid w:val="00AB765D"/>
    <w:rsid w:val="00AB77DB"/>
    <w:rsid w:val="00AB7CC9"/>
    <w:rsid w:val="00AB7D24"/>
    <w:rsid w:val="00AC0030"/>
    <w:rsid w:val="00AC0DF9"/>
    <w:rsid w:val="00AC11B5"/>
    <w:rsid w:val="00AC1811"/>
    <w:rsid w:val="00AC1831"/>
    <w:rsid w:val="00AC2657"/>
    <w:rsid w:val="00AC2DC7"/>
    <w:rsid w:val="00AC3437"/>
    <w:rsid w:val="00AC3E57"/>
    <w:rsid w:val="00AC4165"/>
    <w:rsid w:val="00AC4BF6"/>
    <w:rsid w:val="00AC4F02"/>
    <w:rsid w:val="00AC4FAD"/>
    <w:rsid w:val="00AC5215"/>
    <w:rsid w:val="00AC5244"/>
    <w:rsid w:val="00AC531F"/>
    <w:rsid w:val="00AC5324"/>
    <w:rsid w:val="00AC5765"/>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6A3"/>
    <w:rsid w:val="00AD577D"/>
    <w:rsid w:val="00AD58DB"/>
    <w:rsid w:val="00AD620B"/>
    <w:rsid w:val="00AD6503"/>
    <w:rsid w:val="00AD74AA"/>
    <w:rsid w:val="00AE0320"/>
    <w:rsid w:val="00AE050B"/>
    <w:rsid w:val="00AE099F"/>
    <w:rsid w:val="00AE0ABE"/>
    <w:rsid w:val="00AE0B33"/>
    <w:rsid w:val="00AE0B5C"/>
    <w:rsid w:val="00AE0D41"/>
    <w:rsid w:val="00AE0D7A"/>
    <w:rsid w:val="00AE0DB6"/>
    <w:rsid w:val="00AE13FB"/>
    <w:rsid w:val="00AE14A3"/>
    <w:rsid w:val="00AE14EB"/>
    <w:rsid w:val="00AE1947"/>
    <w:rsid w:val="00AE1994"/>
    <w:rsid w:val="00AE1A8A"/>
    <w:rsid w:val="00AE1D70"/>
    <w:rsid w:val="00AE2390"/>
    <w:rsid w:val="00AE2AE7"/>
    <w:rsid w:val="00AE2DF7"/>
    <w:rsid w:val="00AE3515"/>
    <w:rsid w:val="00AE363F"/>
    <w:rsid w:val="00AE3E30"/>
    <w:rsid w:val="00AE3F6C"/>
    <w:rsid w:val="00AE480B"/>
    <w:rsid w:val="00AE4907"/>
    <w:rsid w:val="00AE4A07"/>
    <w:rsid w:val="00AE52BF"/>
    <w:rsid w:val="00AE5B46"/>
    <w:rsid w:val="00AE5D37"/>
    <w:rsid w:val="00AE6C7B"/>
    <w:rsid w:val="00AE74CF"/>
    <w:rsid w:val="00AE7780"/>
    <w:rsid w:val="00AE7CC7"/>
    <w:rsid w:val="00AE7E59"/>
    <w:rsid w:val="00AF0225"/>
    <w:rsid w:val="00AF0390"/>
    <w:rsid w:val="00AF04B6"/>
    <w:rsid w:val="00AF05E6"/>
    <w:rsid w:val="00AF07BD"/>
    <w:rsid w:val="00AF0D61"/>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DDA"/>
    <w:rsid w:val="00AF6E40"/>
    <w:rsid w:val="00AF6F97"/>
    <w:rsid w:val="00AF743D"/>
    <w:rsid w:val="00AF74A2"/>
    <w:rsid w:val="00B00224"/>
    <w:rsid w:val="00B00390"/>
    <w:rsid w:val="00B00757"/>
    <w:rsid w:val="00B00832"/>
    <w:rsid w:val="00B0116C"/>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944"/>
    <w:rsid w:val="00B05F78"/>
    <w:rsid w:val="00B06230"/>
    <w:rsid w:val="00B066C6"/>
    <w:rsid w:val="00B06FA9"/>
    <w:rsid w:val="00B07124"/>
    <w:rsid w:val="00B07565"/>
    <w:rsid w:val="00B07C68"/>
    <w:rsid w:val="00B10558"/>
    <w:rsid w:val="00B10F7A"/>
    <w:rsid w:val="00B113D5"/>
    <w:rsid w:val="00B12835"/>
    <w:rsid w:val="00B12C80"/>
    <w:rsid w:val="00B12D67"/>
    <w:rsid w:val="00B13311"/>
    <w:rsid w:val="00B13823"/>
    <w:rsid w:val="00B139D3"/>
    <w:rsid w:val="00B13C1C"/>
    <w:rsid w:val="00B13DB6"/>
    <w:rsid w:val="00B13DDB"/>
    <w:rsid w:val="00B13EEC"/>
    <w:rsid w:val="00B14239"/>
    <w:rsid w:val="00B148FF"/>
    <w:rsid w:val="00B14ADF"/>
    <w:rsid w:val="00B14E18"/>
    <w:rsid w:val="00B14E91"/>
    <w:rsid w:val="00B152EA"/>
    <w:rsid w:val="00B15C47"/>
    <w:rsid w:val="00B15C67"/>
    <w:rsid w:val="00B16177"/>
    <w:rsid w:val="00B170C6"/>
    <w:rsid w:val="00B174D7"/>
    <w:rsid w:val="00B178B5"/>
    <w:rsid w:val="00B17B0E"/>
    <w:rsid w:val="00B17F46"/>
    <w:rsid w:val="00B20221"/>
    <w:rsid w:val="00B2033A"/>
    <w:rsid w:val="00B204F4"/>
    <w:rsid w:val="00B20893"/>
    <w:rsid w:val="00B20F3A"/>
    <w:rsid w:val="00B218D4"/>
    <w:rsid w:val="00B21F96"/>
    <w:rsid w:val="00B22741"/>
    <w:rsid w:val="00B22BCB"/>
    <w:rsid w:val="00B23545"/>
    <w:rsid w:val="00B2374E"/>
    <w:rsid w:val="00B23A9A"/>
    <w:rsid w:val="00B24037"/>
    <w:rsid w:val="00B240CE"/>
    <w:rsid w:val="00B242C8"/>
    <w:rsid w:val="00B244C5"/>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1BD"/>
    <w:rsid w:val="00B31C66"/>
    <w:rsid w:val="00B31D50"/>
    <w:rsid w:val="00B31DA2"/>
    <w:rsid w:val="00B32333"/>
    <w:rsid w:val="00B329CB"/>
    <w:rsid w:val="00B333FE"/>
    <w:rsid w:val="00B33443"/>
    <w:rsid w:val="00B33757"/>
    <w:rsid w:val="00B33E58"/>
    <w:rsid w:val="00B34024"/>
    <w:rsid w:val="00B3466A"/>
    <w:rsid w:val="00B34C81"/>
    <w:rsid w:val="00B34EB7"/>
    <w:rsid w:val="00B352CF"/>
    <w:rsid w:val="00B35B9F"/>
    <w:rsid w:val="00B35FE9"/>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164"/>
    <w:rsid w:val="00B4239B"/>
    <w:rsid w:val="00B42889"/>
    <w:rsid w:val="00B42CD7"/>
    <w:rsid w:val="00B42EF0"/>
    <w:rsid w:val="00B43109"/>
    <w:rsid w:val="00B43286"/>
    <w:rsid w:val="00B43331"/>
    <w:rsid w:val="00B433D6"/>
    <w:rsid w:val="00B43772"/>
    <w:rsid w:val="00B43FCD"/>
    <w:rsid w:val="00B44CB2"/>
    <w:rsid w:val="00B46195"/>
    <w:rsid w:val="00B46215"/>
    <w:rsid w:val="00B46704"/>
    <w:rsid w:val="00B46907"/>
    <w:rsid w:val="00B46A0C"/>
    <w:rsid w:val="00B4719F"/>
    <w:rsid w:val="00B472FF"/>
    <w:rsid w:val="00B4758C"/>
    <w:rsid w:val="00B47E52"/>
    <w:rsid w:val="00B5075C"/>
    <w:rsid w:val="00B509C1"/>
    <w:rsid w:val="00B50C37"/>
    <w:rsid w:val="00B50E99"/>
    <w:rsid w:val="00B5178F"/>
    <w:rsid w:val="00B521D9"/>
    <w:rsid w:val="00B52258"/>
    <w:rsid w:val="00B52FA3"/>
    <w:rsid w:val="00B53328"/>
    <w:rsid w:val="00B53401"/>
    <w:rsid w:val="00B53502"/>
    <w:rsid w:val="00B537EE"/>
    <w:rsid w:val="00B5400E"/>
    <w:rsid w:val="00B540CF"/>
    <w:rsid w:val="00B5454B"/>
    <w:rsid w:val="00B54C37"/>
    <w:rsid w:val="00B55003"/>
    <w:rsid w:val="00B55721"/>
    <w:rsid w:val="00B55887"/>
    <w:rsid w:val="00B56035"/>
    <w:rsid w:val="00B56095"/>
    <w:rsid w:val="00B565B6"/>
    <w:rsid w:val="00B5667D"/>
    <w:rsid w:val="00B56714"/>
    <w:rsid w:val="00B56C1C"/>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9"/>
    <w:rsid w:val="00B66886"/>
    <w:rsid w:val="00B66E44"/>
    <w:rsid w:val="00B67AFA"/>
    <w:rsid w:val="00B67B32"/>
    <w:rsid w:val="00B67C93"/>
    <w:rsid w:val="00B700BA"/>
    <w:rsid w:val="00B70B3D"/>
    <w:rsid w:val="00B70D42"/>
    <w:rsid w:val="00B71678"/>
    <w:rsid w:val="00B72127"/>
    <w:rsid w:val="00B72B21"/>
    <w:rsid w:val="00B73695"/>
    <w:rsid w:val="00B73AF9"/>
    <w:rsid w:val="00B744B7"/>
    <w:rsid w:val="00B7451E"/>
    <w:rsid w:val="00B74B36"/>
    <w:rsid w:val="00B75127"/>
    <w:rsid w:val="00B7556D"/>
    <w:rsid w:val="00B75A16"/>
    <w:rsid w:val="00B76207"/>
    <w:rsid w:val="00B76BB8"/>
    <w:rsid w:val="00B7789B"/>
    <w:rsid w:val="00B77924"/>
    <w:rsid w:val="00B779C8"/>
    <w:rsid w:val="00B779D3"/>
    <w:rsid w:val="00B77B9A"/>
    <w:rsid w:val="00B77F01"/>
    <w:rsid w:val="00B77FBD"/>
    <w:rsid w:val="00B8056D"/>
    <w:rsid w:val="00B8085E"/>
    <w:rsid w:val="00B80A89"/>
    <w:rsid w:val="00B80E7E"/>
    <w:rsid w:val="00B80FB2"/>
    <w:rsid w:val="00B8120C"/>
    <w:rsid w:val="00B81281"/>
    <w:rsid w:val="00B812BB"/>
    <w:rsid w:val="00B813F6"/>
    <w:rsid w:val="00B81979"/>
    <w:rsid w:val="00B81D66"/>
    <w:rsid w:val="00B820D8"/>
    <w:rsid w:val="00B831AB"/>
    <w:rsid w:val="00B83C4A"/>
    <w:rsid w:val="00B84157"/>
    <w:rsid w:val="00B84473"/>
    <w:rsid w:val="00B849B0"/>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B6A"/>
    <w:rsid w:val="00B971E7"/>
    <w:rsid w:val="00B97CE5"/>
    <w:rsid w:val="00B97DBE"/>
    <w:rsid w:val="00BA0C94"/>
    <w:rsid w:val="00BA0E70"/>
    <w:rsid w:val="00BA10DA"/>
    <w:rsid w:val="00BA177A"/>
    <w:rsid w:val="00BA177D"/>
    <w:rsid w:val="00BA18B5"/>
    <w:rsid w:val="00BA231A"/>
    <w:rsid w:val="00BA2375"/>
    <w:rsid w:val="00BA2484"/>
    <w:rsid w:val="00BA3350"/>
    <w:rsid w:val="00BA4704"/>
    <w:rsid w:val="00BA4E0D"/>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28D9"/>
    <w:rsid w:val="00BB296E"/>
    <w:rsid w:val="00BB2C78"/>
    <w:rsid w:val="00BB2CE8"/>
    <w:rsid w:val="00BB2EF9"/>
    <w:rsid w:val="00BB31FE"/>
    <w:rsid w:val="00BB33D7"/>
    <w:rsid w:val="00BB3617"/>
    <w:rsid w:val="00BB3D4B"/>
    <w:rsid w:val="00BB4B1E"/>
    <w:rsid w:val="00BB4E95"/>
    <w:rsid w:val="00BB5447"/>
    <w:rsid w:val="00BB5BC8"/>
    <w:rsid w:val="00BB62DB"/>
    <w:rsid w:val="00BB6A3E"/>
    <w:rsid w:val="00BB6D6B"/>
    <w:rsid w:val="00BB733C"/>
    <w:rsid w:val="00BB7A0F"/>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B6E"/>
    <w:rsid w:val="00BC6EA2"/>
    <w:rsid w:val="00BC7127"/>
    <w:rsid w:val="00BC7297"/>
    <w:rsid w:val="00BC787D"/>
    <w:rsid w:val="00BC7DE2"/>
    <w:rsid w:val="00BD00E5"/>
    <w:rsid w:val="00BD0190"/>
    <w:rsid w:val="00BD0D1C"/>
    <w:rsid w:val="00BD0F2B"/>
    <w:rsid w:val="00BD1290"/>
    <w:rsid w:val="00BD1843"/>
    <w:rsid w:val="00BD26DF"/>
    <w:rsid w:val="00BD2C11"/>
    <w:rsid w:val="00BD3183"/>
    <w:rsid w:val="00BD321E"/>
    <w:rsid w:val="00BD379B"/>
    <w:rsid w:val="00BD43FA"/>
    <w:rsid w:val="00BD4559"/>
    <w:rsid w:val="00BD457F"/>
    <w:rsid w:val="00BD4A8F"/>
    <w:rsid w:val="00BD4E80"/>
    <w:rsid w:val="00BD55D3"/>
    <w:rsid w:val="00BD5D5C"/>
    <w:rsid w:val="00BD5E68"/>
    <w:rsid w:val="00BD749E"/>
    <w:rsid w:val="00BD7942"/>
    <w:rsid w:val="00BD7A38"/>
    <w:rsid w:val="00BD7AEC"/>
    <w:rsid w:val="00BE004E"/>
    <w:rsid w:val="00BE0501"/>
    <w:rsid w:val="00BE0DB6"/>
    <w:rsid w:val="00BE1154"/>
    <w:rsid w:val="00BE11A0"/>
    <w:rsid w:val="00BE1BB8"/>
    <w:rsid w:val="00BE2503"/>
    <w:rsid w:val="00BE2656"/>
    <w:rsid w:val="00BE2792"/>
    <w:rsid w:val="00BE2ED7"/>
    <w:rsid w:val="00BE5E0A"/>
    <w:rsid w:val="00BE63C7"/>
    <w:rsid w:val="00BE6B84"/>
    <w:rsid w:val="00BE6C95"/>
    <w:rsid w:val="00BE70C0"/>
    <w:rsid w:val="00BE7B99"/>
    <w:rsid w:val="00BF0CB7"/>
    <w:rsid w:val="00BF0F6B"/>
    <w:rsid w:val="00BF11C9"/>
    <w:rsid w:val="00BF1BE3"/>
    <w:rsid w:val="00BF2018"/>
    <w:rsid w:val="00BF2096"/>
    <w:rsid w:val="00BF2114"/>
    <w:rsid w:val="00BF21EF"/>
    <w:rsid w:val="00BF27F5"/>
    <w:rsid w:val="00BF2D13"/>
    <w:rsid w:val="00BF3207"/>
    <w:rsid w:val="00BF343B"/>
    <w:rsid w:val="00BF3BB2"/>
    <w:rsid w:val="00BF4E0C"/>
    <w:rsid w:val="00BF59E1"/>
    <w:rsid w:val="00BF5E8A"/>
    <w:rsid w:val="00BF6055"/>
    <w:rsid w:val="00BF607B"/>
    <w:rsid w:val="00BF66E5"/>
    <w:rsid w:val="00BF778C"/>
    <w:rsid w:val="00BF78DD"/>
    <w:rsid w:val="00BF7D29"/>
    <w:rsid w:val="00C00C7E"/>
    <w:rsid w:val="00C00D1E"/>
    <w:rsid w:val="00C01513"/>
    <w:rsid w:val="00C0179C"/>
    <w:rsid w:val="00C01866"/>
    <w:rsid w:val="00C01978"/>
    <w:rsid w:val="00C01B33"/>
    <w:rsid w:val="00C01B53"/>
    <w:rsid w:val="00C02968"/>
    <w:rsid w:val="00C02BE1"/>
    <w:rsid w:val="00C02F0E"/>
    <w:rsid w:val="00C03AD0"/>
    <w:rsid w:val="00C03E08"/>
    <w:rsid w:val="00C0443B"/>
    <w:rsid w:val="00C054C2"/>
    <w:rsid w:val="00C0578D"/>
    <w:rsid w:val="00C05C3F"/>
    <w:rsid w:val="00C05EEE"/>
    <w:rsid w:val="00C06E2D"/>
    <w:rsid w:val="00C06F46"/>
    <w:rsid w:val="00C0716B"/>
    <w:rsid w:val="00C1004D"/>
    <w:rsid w:val="00C10B08"/>
    <w:rsid w:val="00C10BB8"/>
    <w:rsid w:val="00C11ED4"/>
    <w:rsid w:val="00C121E0"/>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59"/>
    <w:rsid w:val="00C1795A"/>
    <w:rsid w:val="00C209F1"/>
    <w:rsid w:val="00C21087"/>
    <w:rsid w:val="00C210D1"/>
    <w:rsid w:val="00C210E7"/>
    <w:rsid w:val="00C214B9"/>
    <w:rsid w:val="00C21678"/>
    <w:rsid w:val="00C21ADA"/>
    <w:rsid w:val="00C21D50"/>
    <w:rsid w:val="00C21FBC"/>
    <w:rsid w:val="00C22B21"/>
    <w:rsid w:val="00C22FAE"/>
    <w:rsid w:val="00C22FC3"/>
    <w:rsid w:val="00C234F0"/>
    <w:rsid w:val="00C236D7"/>
    <w:rsid w:val="00C23BDB"/>
    <w:rsid w:val="00C23EEB"/>
    <w:rsid w:val="00C23FC1"/>
    <w:rsid w:val="00C240F5"/>
    <w:rsid w:val="00C24356"/>
    <w:rsid w:val="00C24A33"/>
    <w:rsid w:val="00C24C19"/>
    <w:rsid w:val="00C24FA4"/>
    <w:rsid w:val="00C25800"/>
    <w:rsid w:val="00C258E5"/>
    <w:rsid w:val="00C262E7"/>
    <w:rsid w:val="00C267F2"/>
    <w:rsid w:val="00C26A63"/>
    <w:rsid w:val="00C26DE5"/>
    <w:rsid w:val="00C2753B"/>
    <w:rsid w:val="00C3013E"/>
    <w:rsid w:val="00C304BB"/>
    <w:rsid w:val="00C30FB8"/>
    <w:rsid w:val="00C31115"/>
    <w:rsid w:val="00C323E7"/>
    <w:rsid w:val="00C32602"/>
    <w:rsid w:val="00C32850"/>
    <w:rsid w:val="00C32BB2"/>
    <w:rsid w:val="00C3322B"/>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4A1"/>
    <w:rsid w:val="00C37EE2"/>
    <w:rsid w:val="00C37F54"/>
    <w:rsid w:val="00C4079F"/>
    <w:rsid w:val="00C40821"/>
    <w:rsid w:val="00C40ADF"/>
    <w:rsid w:val="00C421EE"/>
    <w:rsid w:val="00C42D4A"/>
    <w:rsid w:val="00C4306D"/>
    <w:rsid w:val="00C4332B"/>
    <w:rsid w:val="00C4341C"/>
    <w:rsid w:val="00C43785"/>
    <w:rsid w:val="00C44011"/>
    <w:rsid w:val="00C4439B"/>
    <w:rsid w:val="00C44FF6"/>
    <w:rsid w:val="00C4512A"/>
    <w:rsid w:val="00C451D1"/>
    <w:rsid w:val="00C45282"/>
    <w:rsid w:val="00C4547C"/>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A17"/>
    <w:rsid w:val="00C52AC8"/>
    <w:rsid w:val="00C52AC9"/>
    <w:rsid w:val="00C52C64"/>
    <w:rsid w:val="00C5331C"/>
    <w:rsid w:val="00C53612"/>
    <w:rsid w:val="00C53CDA"/>
    <w:rsid w:val="00C53CFE"/>
    <w:rsid w:val="00C549E3"/>
    <w:rsid w:val="00C555EF"/>
    <w:rsid w:val="00C5567C"/>
    <w:rsid w:val="00C562A9"/>
    <w:rsid w:val="00C56705"/>
    <w:rsid w:val="00C56750"/>
    <w:rsid w:val="00C56AD0"/>
    <w:rsid w:val="00C56F08"/>
    <w:rsid w:val="00C5741D"/>
    <w:rsid w:val="00C574FA"/>
    <w:rsid w:val="00C5779A"/>
    <w:rsid w:val="00C57945"/>
    <w:rsid w:val="00C57F3F"/>
    <w:rsid w:val="00C6027D"/>
    <w:rsid w:val="00C6046C"/>
    <w:rsid w:val="00C609C9"/>
    <w:rsid w:val="00C61895"/>
    <w:rsid w:val="00C61E60"/>
    <w:rsid w:val="00C61FCE"/>
    <w:rsid w:val="00C6227E"/>
    <w:rsid w:val="00C62BB0"/>
    <w:rsid w:val="00C63233"/>
    <w:rsid w:val="00C634A1"/>
    <w:rsid w:val="00C63801"/>
    <w:rsid w:val="00C63862"/>
    <w:rsid w:val="00C63F2C"/>
    <w:rsid w:val="00C64503"/>
    <w:rsid w:val="00C646D4"/>
    <w:rsid w:val="00C64C72"/>
    <w:rsid w:val="00C651C9"/>
    <w:rsid w:val="00C65318"/>
    <w:rsid w:val="00C6537F"/>
    <w:rsid w:val="00C66323"/>
    <w:rsid w:val="00C66B4D"/>
    <w:rsid w:val="00C66EF3"/>
    <w:rsid w:val="00C671A2"/>
    <w:rsid w:val="00C671FD"/>
    <w:rsid w:val="00C677E3"/>
    <w:rsid w:val="00C6790B"/>
    <w:rsid w:val="00C67CC3"/>
    <w:rsid w:val="00C705D6"/>
    <w:rsid w:val="00C71191"/>
    <w:rsid w:val="00C7152F"/>
    <w:rsid w:val="00C7229C"/>
    <w:rsid w:val="00C72479"/>
    <w:rsid w:val="00C72B6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CC7"/>
    <w:rsid w:val="00C82686"/>
    <w:rsid w:val="00C826B2"/>
    <w:rsid w:val="00C82774"/>
    <w:rsid w:val="00C82B4D"/>
    <w:rsid w:val="00C83544"/>
    <w:rsid w:val="00C835A5"/>
    <w:rsid w:val="00C846F6"/>
    <w:rsid w:val="00C84FDB"/>
    <w:rsid w:val="00C85850"/>
    <w:rsid w:val="00C85A3F"/>
    <w:rsid w:val="00C85C51"/>
    <w:rsid w:val="00C86A83"/>
    <w:rsid w:val="00C86B49"/>
    <w:rsid w:val="00C86EBD"/>
    <w:rsid w:val="00C8703E"/>
    <w:rsid w:val="00C8705C"/>
    <w:rsid w:val="00C8780E"/>
    <w:rsid w:val="00C9012B"/>
    <w:rsid w:val="00C905CD"/>
    <w:rsid w:val="00C90BBA"/>
    <w:rsid w:val="00C9114D"/>
    <w:rsid w:val="00C91555"/>
    <w:rsid w:val="00C921AA"/>
    <w:rsid w:val="00C9235E"/>
    <w:rsid w:val="00C929B5"/>
    <w:rsid w:val="00C932DC"/>
    <w:rsid w:val="00C938BF"/>
    <w:rsid w:val="00C93983"/>
    <w:rsid w:val="00C93B4E"/>
    <w:rsid w:val="00C93E07"/>
    <w:rsid w:val="00C94826"/>
    <w:rsid w:val="00C9485E"/>
    <w:rsid w:val="00C94C92"/>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C7E"/>
    <w:rsid w:val="00CA0D21"/>
    <w:rsid w:val="00CA0D52"/>
    <w:rsid w:val="00CA1274"/>
    <w:rsid w:val="00CA1774"/>
    <w:rsid w:val="00CA18B0"/>
    <w:rsid w:val="00CA23E7"/>
    <w:rsid w:val="00CA24F3"/>
    <w:rsid w:val="00CA289E"/>
    <w:rsid w:val="00CA29BD"/>
    <w:rsid w:val="00CA2ED7"/>
    <w:rsid w:val="00CA3ACD"/>
    <w:rsid w:val="00CA3D61"/>
    <w:rsid w:val="00CA4B13"/>
    <w:rsid w:val="00CA4FDA"/>
    <w:rsid w:val="00CA52AC"/>
    <w:rsid w:val="00CA52E4"/>
    <w:rsid w:val="00CA54F0"/>
    <w:rsid w:val="00CA55B8"/>
    <w:rsid w:val="00CA5A55"/>
    <w:rsid w:val="00CA6ED1"/>
    <w:rsid w:val="00CA7489"/>
    <w:rsid w:val="00CA748B"/>
    <w:rsid w:val="00CA78C3"/>
    <w:rsid w:val="00CA7F57"/>
    <w:rsid w:val="00CB01D6"/>
    <w:rsid w:val="00CB0DC1"/>
    <w:rsid w:val="00CB2D50"/>
    <w:rsid w:val="00CB36EC"/>
    <w:rsid w:val="00CB3889"/>
    <w:rsid w:val="00CB3D9C"/>
    <w:rsid w:val="00CB3DBC"/>
    <w:rsid w:val="00CB493E"/>
    <w:rsid w:val="00CB4CE7"/>
    <w:rsid w:val="00CB4EEA"/>
    <w:rsid w:val="00CB5265"/>
    <w:rsid w:val="00CB53E0"/>
    <w:rsid w:val="00CB563B"/>
    <w:rsid w:val="00CB5AE0"/>
    <w:rsid w:val="00CB5C42"/>
    <w:rsid w:val="00CB5DF4"/>
    <w:rsid w:val="00CB668D"/>
    <w:rsid w:val="00CB6ED2"/>
    <w:rsid w:val="00CB6F4A"/>
    <w:rsid w:val="00CB70E7"/>
    <w:rsid w:val="00CB75E6"/>
    <w:rsid w:val="00CB78C2"/>
    <w:rsid w:val="00CB79BF"/>
    <w:rsid w:val="00CB7B0E"/>
    <w:rsid w:val="00CB7DA7"/>
    <w:rsid w:val="00CB7DD9"/>
    <w:rsid w:val="00CC01D8"/>
    <w:rsid w:val="00CC040D"/>
    <w:rsid w:val="00CC06D6"/>
    <w:rsid w:val="00CC14F7"/>
    <w:rsid w:val="00CC1E6A"/>
    <w:rsid w:val="00CC2659"/>
    <w:rsid w:val="00CC26D1"/>
    <w:rsid w:val="00CC2F4D"/>
    <w:rsid w:val="00CC3178"/>
    <w:rsid w:val="00CC31CF"/>
    <w:rsid w:val="00CC3721"/>
    <w:rsid w:val="00CC3823"/>
    <w:rsid w:val="00CC44BF"/>
    <w:rsid w:val="00CC4730"/>
    <w:rsid w:val="00CC481F"/>
    <w:rsid w:val="00CC484B"/>
    <w:rsid w:val="00CC48B9"/>
    <w:rsid w:val="00CC4A3C"/>
    <w:rsid w:val="00CC4AED"/>
    <w:rsid w:val="00CC5232"/>
    <w:rsid w:val="00CC5319"/>
    <w:rsid w:val="00CC53CC"/>
    <w:rsid w:val="00CC5B6B"/>
    <w:rsid w:val="00CC5B81"/>
    <w:rsid w:val="00CC63AF"/>
    <w:rsid w:val="00CC6980"/>
    <w:rsid w:val="00CC69E0"/>
    <w:rsid w:val="00CC6B85"/>
    <w:rsid w:val="00CC6EA5"/>
    <w:rsid w:val="00CC79BC"/>
    <w:rsid w:val="00CC7A07"/>
    <w:rsid w:val="00CC7F04"/>
    <w:rsid w:val="00CD0024"/>
    <w:rsid w:val="00CD0209"/>
    <w:rsid w:val="00CD041B"/>
    <w:rsid w:val="00CD1300"/>
    <w:rsid w:val="00CD1DCB"/>
    <w:rsid w:val="00CD1DDC"/>
    <w:rsid w:val="00CD22AB"/>
    <w:rsid w:val="00CD2764"/>
    <w:rsid w:val="00CD300B"/>
    <w:rsid w:val="00CD35AE"/>
    <w:rsid w:val="00CD382B"/>
    <w:rsid w:val="00CD38B4"/>
    <w:rsid w:val="00CD394B"/>
    <w:rsid w:val="00CD3AE8"/>
    <w:rsid w:val="00CD42C7"/>
    <w:rsid w:val="00CD47BB"/>
    <w:rsid w:val="00CD4CAC"/>
    <w:rsid w:val="00CD4CB4"/>
    <w:rsid w:val="00CD51E3"/>
    <w:rsid w:val="00CD6787"/>
    <w:rsid w:val="00CD67E1"/>
    <w:rsid w:val="00CD710D"/>
    <w:rsid w:val="00CD71AA"/>
    <w:rsid w:val="00CD73E4"/>
    <w:rsid w:val="00CD7A89"/>
    <w:rsid w:val="00CD7CAD"/>
    <w:rsid w:val="00CE1E4E"/>
    <w:rsid w:val="00CE2060"/>
    <w:rsid w:val="00CE2445"/>
    <w:rsid w:val="00CE2654"/>
    <w:rsid w:val="00CE308B"/>
    <w:rsid w:val="00CE366E"/>
    <w:rsid w:val="00CE4091"/>
    <w:rsid w:val="00CE409E"/>
    <w:rsid w:val="00CE4AA8"/>
    <w:rsid w:val="00CE4C42"/>
    <w:rsid w:val="00CE512C"/>
    <w:rsid w:val="00CE5441"/>
    <w:rsid w:val="00CE555B"/>
    <w:rsid w:val="00CE5683"/>
    <w:rsid w:val="00CE5829"/>
    <w:rsid w:val="00CE58B9"/>
    <w:rsid w:val="00CE5BCC"/>
    <w:rsid w:val="00CE6546"/>
    <w:rsid w:val="00CE6801"/>
    <w:rsid w:val="00CE696A"/>
    <w:rsid w:val="00CE6B4A"/>
    <w:rsid w:val="00CE6D89"/>
    <w:rsid w:val="00CE6E63"/>
    <w:rsid w:val="00CE718E"/>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32E8"/>
    <w:rsid w:val="00CF3488"/>
    <w:rsid w:val="00CF3551"/>
    <w:rsid w:val="00CF4083"/>
    <w:rsid w:val="00CF4BD6"/>
    <w:rsid w:val="00CF4F33"/>
    <w:rsid w:val="00CF56EF"/>
    <w:rsid w:val="00CF633B"/>
    <w:rsid w:val="00CF64F4"/>
    <w:rsid w:val="00CF6734"/>
    <w:rsid w:val="00CF682A"/>
    <w:rsid w:val="00CF7163"/>
    <w:rsid w:val="00CF7B4D"/>
    <w:rsid w:val="00D00765"/>
    <w:rsid w:val="00D00DEC"/>
    <w:rsid w:val="00D0173A"/>
    <w:rsid w:val="00D01979"/>
    <w:rsid w:val="00D01FBB"/>
    <w:rsid w:val="00D021BA"/>
    <w:rsid w:val="00D022AA"/>
    <w:rsid w:val="00D02633"/>
    <w:rsid w:val="00D0317B"/>
    <w:rsid w:val="00D032B8"/>
    <w:rsid w:val="00D0348F"/>
    <w:rsid w:val="00D03CBE"/>
    <w:rsid w:val="00D051D0"/>
    <w:rsid w:val="00D0565E"/>
    <w:rsid w:val="00D058CF"/>
    <w:rsid w:val="00D06BAA"/>
    <w:rsid w:val="00D07120"/>
    <w:rsid w:val="00D079C2"/>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63CC"/>
    <w:rsid w:val="00D378AC"/>
    <w:rsid w:val="00D3797B"/>
    <w:rsid w:val="00D37D8D"/>
    <w:rsid w:val="00D4038B"/>
    <w:rsid w:val="00D40399"/>
    <w:rsid w:val="00D4077C"/>
    <w:rsid w:val="00D40881"/>
    <w:rsid w:val="00D40E0C"/>
    <w:rsid w:val="00D40FEE"/>
    <w:rsid w:val="00D4154A"/>
    <w:rsid w:val="00D4177B"/>
    <w:rsid w:val="00D41FB2"/>
    <w:rsid w:val="00D423D2"/>
    <w:rsid w:val="00D42630"/>
    <w:rsid w:val="00D42FFE"/>
    <w:rsid w:val="00D435A4"/>
    <w:rsid w:val="00D4380F"/>
    <w:rsid w:val="00D43874"/>
    <w:rsid w:val="00D439CF"/>
    <w:rsid w:val="00D43EFE"/>
    <w:rsid w:val="00D447BC"/>
    <w:rsid w:val="00D44FEC"/>
    <w:rsid w:val="00D450CA"/>
    <w:rsid w:val="00D450F1"/>
    <w:rsid w:val="00D45C26"/>
    <w:rsid w:val="00D45E89"/>
    <w:rsid w:val="00D46160"/>
    <w:rsid w:val="00D46757"/>
    <w:rsid w:val="00D4686D"/>
    <w:rsid w:val="00D470E9"/>
    <w:rsid w:val="00D4765B"/>
    <w:rsid w:val="00D47A51"/>
    <w:rsid w:val="00D47DD9"/>
    <w:rsid w:val="00D47EA9"/>
    <w:rsid w:val="00D50015"/>
    <w:rsid w:val="00D500CD"/>
    <w:rsid w:val="00D503EE"/>
    <w:rsid w:val="00D50A8C"/>
    <w:rsid w:val="00D50FF5"/>
    <w:rsid w:val="00D51458"/>
    <w:rsid w:val="00D525D6"/>
    <w:rsid w:val="00D5311D"/>
    <w:rsid w:val="00D53440"/>
    <w:rsid w:val="00D535B0"/>
    <w:rsid w:val="00D53A53"/>
    <w:rsid w:val="00D53BF7"/>
    <w:rsid w:val="00D54161"/>
    <w:rsid w:val="00D54243"/>
    <w:rsid w:val="00D54471"/>
    <w:rsid w:val="00D54B33"/>
    <w:rsid w:val="00D54F3E"/>
    <w:rsid w:val="00D55497"/>
    <w:rsid w:val="00D55949"/>
    <w:rsid w:val="00D55B9F"/>
    <w:rsid w:val="00D55DBD"/>
    <w:rsid w:val="00D56257"/>
    <w:rsid w:val="00D56380"/>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92E"/>
    <w:rsid w:val="00D66D90"/>
    <w:rsid w:val="00D705B2"/>
    <w:rsid w:val="00D719BF"/>
    <w:rsid w:val="00D72251"/>
    <w:rsid w:val="00D726C3"/>
    <w:rsid w:val="00D729CA"/>
    <w:rsid w:val="00D73AA8"/>
    <w:rsid w:val="00D73BA3"/>
    <w:rsid w:val="00D73E3F"/>
    <w:rsid w:val="00D747FE"/>
    <w:rsid w:val="00D75361"/>
    <w:rsid w:val="00D753F5"/>
    <w:rsid w:val="00D75450"/>
    <w:rsid w:val="00D755EA"/>
    <w:rsid w:val="00D75784"/>
    <w:rsid w:val="00D764DD"/>
    <w:rsid w:val="00D76537"/>
    <w:rsid w:val="00D76742"/>
    <w:rsid w:val="00D77892"/>
    <w:rsid w:val="00D77BD6"/>
    <w:rsid w:val="00D80550"/>
    <w:rsid w:val="00D809F0"/>
    <w:rsid w:val="00D80CA9"/>
    <w:rsid w:val="00D80CFD"/>
    <w:rsid w:val="00D827DD"/>
    <w:rsid w:val="00D82C50"/>
    <w:rsid w:val="00D82E16"/>
    <w:rsid w:val="00D84A58"/>
    <w:rsid w:val="00D8521D"/>
    <w:rsid w:val="00D85424"/>
    <w:rsid w:val="00D85F33"/>
    <w:rsid w:val="00D87181"/>
    <w:rsid w:val="00D871DA"/>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F31"/>
    <w:rsid w:val="00D93346"/>
    <w:rsid w:val="00D93567"/>
    <w:rsid w:val="00D942A1"/>
    <w:rsid w:val="00D943AF"/>
    <w:rsid w:val="00D94730"/>
    <w:rsid w:val="00D94C4D"/>
    <w:rsid w:val="00D95091"/>
    <w:rsid w:val="00D952A6"/>
    <w:rsid w:val="00D95CF2"/>
    <w:rsid w:val="00D95F78"/>
    <w:rsid w:val="00D97218"/>
    <w:rsid w:val="00DA07A5"/>
    <w:rsid w:val="00DA09D8"/>
    <w:rsid w:val="00DA1169"/>
    <w:rsid w:val="00DA15C1"/>
    <w:rsid w:val="00DA188A"/>
    <w:rsid w:val="00DA1E7A"/>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EAB"/>
    <w:rsid w:val="00DB2832"/>
    <w:rsid w:val="00DB2C4B"/>
    <w:rsid w:val="00DB3023"/>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452"/>
    <w:rsid w:val="00DC413E"/>
    <w:rsid w:val="00DC4302"/>
    <w:rsid w:val="00DC44F6"/>
    <w:rsid w:val="00DC4E79"/>
    <w:rsid w:val="00DC65D8"/>
    <w:rsid w:val="00DC6957"/>
    <w:rsid w:val="00DC6F1E"/>
    <w:rsid w:val="00DC6F2D"/>
    <w:rsid w:val="00DC71F6"/>
    <w:rsid w:val="00DD0579"/>
    <w:rsid w:val="00DD05D6"/>
    <w:rsid w:val="00DD0640"/>
    <w:rsid w:val="00DD0872"/>
    <w:rsid w:val="00DD08E7"/>
    <w:rsid w:val="00DD0C21"/>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7DC6"/>
    <w:rsid w:val="00DE05F6"/>
    <w:rsid w:val="00DE0894"/>
    <w:rsid w:val="00DE0915"/>
    <w:rsid w:val="00DE0C2B"/>
    <w:rsid w:val="00DE0DC1"/>
    <w:rsid w:val="00DE1014"/>
    <w:rsid w:val="00DE1603"/>
    <w:rsid w:val="00DE28C2"/>
    <w:rsid w:val="00DE2A11"/>
    <w:rsid w:val="00DE3079"/>
    <w:rsid w:val="00DE334E"/>
    <w:rsid w:val="00DE4248"/>
    <w:rsid w:val="00DE487D"/>
    <w:rsid w:val="00DE49C1"/>
    <w:rsid w:val="00DE51BF"/>
    <w:rsid w:val="00DE5702"/>
    <w:rsid w:val="00DE5733"/>
    <w:rsid w:val="00DE5B4D"/>
    <w:rsid w:val="00DE5D55"/>
    <w:rsid w:val="00DE661E"/>
    <w:rsid w:val="00DE6693"/>
    <w:rsid w:val="00DE6BC7"/>
    <w:rsid w:val="00DE714E"/>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DDB"/>
    <w:rsid w:val="00DF4EBD"/>
    <w:rsid w:val="00DF4FBD"/>
    <w:rsid w:val="00DF52D9"/>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755"/>
    <w:rsid w:val="00E07414"/>
    <w:rsid w:val="00E07EDE"/>
    <w:rsid w:val="00E1006E"/>
    <w:rsid w:val="00E102B2"/>
    <w:rsid w:val="00E10346"/>
    <w:rsid w:val="00E10699"/>
    <w:rsid w:val="00E106C0"/>
    <w:rsid w:val="00E1070C"/>
    <w:rsid w:val="00E10AF0"/>
    <w:rsid w:val="00E10B5E"/>
    <w:rsid w:val="00E10E1B"/>
    <w:rsid w:val="00E112EF"/>
    <w:rsid w:val="00E11B42"/>
    <w:rsid w:val="00E11ED1"/>
    <w:rsid w:val="00E120CA"/>
    <w:rsid w:val="00E1210E"/>
    <w:rsid w:val="00E124D4"/>
    <w:rsid w:val="00E127C9"/>
    <w:rsid w:val="00E12819"/>
    <w:rsid w:val="00E12B7D"/>
    <w:rsid w:val="00E12C88"/>
    <w:rsid w:val="00E12CD1"/>
    <w:rsid w:val="00E12DEE"/>
    <w:rsid w:val="00E13EE2"/>
    <w:rsid w:val="00E1406C"/>
    <w:rsid w:val="00E141CF"/>
    <w:rsid w:val="00E141D8"/>
    <w:rsid w:val="00E14313"/>
    <w:rsid w:val="00E1469E"/>
    <w:rsid w:val="00E14DF8"/>
    <w:rsid w:val="00E151E4"/>
    <w:rsid w:val="00E152AD"/>
    <w:rsid w:val="00E16083"/>
    <w:rsid w:val="00E17301"/>
    <w:rsid w:val="00E1757F"/>
    <w:rsid w:val="00E1762D"/>
    <w:rsid w:val="00E178A1"/>
    <w:rsid w:val="00E17A34"/>
    <w:rsid w:val="00E2015E"/>
    <w:rsid w:val="00E206F1"/>
    <w:rsid w:val="00E209FE"/>
    <w:rsid w:val="00E2179A"/>
    <w:rsid w:val="00E2313D"/>
    <w:rsid w:val="00E233F6"/>
    <w:rsid w:val="00E23408"/>
    <w:rsid w:val="00E23D45"/>
    <w:rsid w:val="00E245B2"/>
    <w:rsid w:val="00E247BD"/>
    <w:rsid w:val="00E25418"/>
    <w:rsid w:val="00E255D7"/>
    <w:rsid w:val="00E256E4"/>
    <w:rsid w:val="00E25F2E"/>
    <w:rsid w:val="00E26EC6"/>
    <w:rsid w:val="00E270BD"/>
    <w:rsid w:val="00E272DA"/>
    <w:rsid w:val="00E276F1"/>
    <w:rsid w:val="00E2785B"/>
    <w:rsid w:val="00E278A3"/>
    <w:rsid w:val="00E300C5"/>
    <w:rsid w:val="00E301B1"/>
    <w:rsid w:val="00E304D4"/>
    <w:rsid w:val="00E30507"/>
    <w:rsid w:val="00E305F1"/>
    <w:rsid w:val="00E30655"/>
    <w:rsid w:val="00E317A1"/>
    <w:rsid w:val="00E32431"/>
    <w:rsid w:val="00E32E11"/>
    <w:rsid w:val="00E34609"/>
    <w:rsid w:val="00E3469A"/>
    <w:rsid w:val="00E34A16"/>
    <w:rsid w:val="00E34A7E"/>
    <w:rsid w:val="00E35132"/>
    <w:rsid w:val="00E355B1"/>
    <w:rsid w:val="00E35AF3"/>
    <w:rsid w:val="00E35BED"/>
    <w:rsid w:val="00E35D3E"/>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A72"/>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F4C"/>
    <w:rsid w:val="00E53689"/>
    <w:rsid w:val="00E53780"/>
    <w:rsid w:val="00E53E19"/>
    <w:rsid w:val="00E5409E"/>
    <w:rsid w:val="00E544B1"/>
    <w:rsid w:val="00E54F75"/>
    <w:rsid w:val="00E55F8E"/>
    <w:rsid w:val="00E56D18"/>
    <w:rsid w:val="00E57242"/>
    <w:rsid w:val="00E57EEB"/>
    <w:rsid w:val="00E607AA"/>
    <w:rsid w:val="00E60A80"/>
    <w:rsid w:val="00E60B4A"/>
    <w:rsid w:val="00E60C4C"/>
    <w:rsid w:val="00E60E6A"/>
    <w:rsid w:val="00E61539"/>
    <w:rsid w:val="00E615F7"/>
    <w:rsid w:val="00E61DF1"/>
    <w:rsid w:val="00E62355"/>
    <w:rsid w:val="00E62508"/>
    <w:rsid w:val="00E628A0"/>
    <w:rsid w:val="00E62CFA"/>
    <w:rsid w:val="00E63C55"/>
    <w:rsid w:val="00E6489B"/>
    <w:rsid w:val="00E64C7E"/>
    <w:rsid w:val="00E6530B"/>
    <w:rsid w:val="00E65422"/>
    <w:rsid w:val="00E6576A"/>
    <w:rsid w:val="00E66139"/>
    <w:rsid w:val="00E6618B"/>
    <w:rsid w:val="00E66359"/>
    <w:rsid w:val="00E66898"/>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A46"/>
    <w:rsid w:val="00E75EBC"/>
    <w:rsid w:val="00E76069"/>
    <w:rsid w:val="00E766DD"/>
    <w:rsid w:val="00E7692D"/>
    <w:rsid w:val="00E778E1"/>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593"/>
    <w:rsid w:val="00E835C3"/>
    <w:rsid w:val="00E83ADE"/>
    <w:rsid w:val="00E83C7E"/>
    <w:rsid w:val="00E84158"/>
    <w:rsid w:val="00E844EC"/>
    <w:rsid w:val="00E84677"/>
    <w:rsid w:val="00E84759"/>
    <w:rsid w:val="00E84845"/>
    <w:rsid w:val="00E84AD5"/>
    <w:rsid w:val="00E85AC0"/>
    <w:rsid w:val="00E85BA0"/>
    <w:rsid w:val="00E85BDA"/>
    <w:rsid w:val="00E85D22"/>
    <w:rsid w:val="00E85FAE"/>
    <w:rsid w:val="00E86B2A"/>
    <w:rsid w:val="00E86B2F"/>
    <w:rsid w:val="00E86D04"/>
    <w:rsid w:val="00E876B9"/>
    <w:rsid w:val="00E877A3"/>
    <w:rsid w:val="00E87CEC"/>
    <w:rsid w:val="00E87E78"/>
    <w:rsid w:val="00E903AB"/>
    <w:rsid w:val="00E90678"/>
    <w:rsid w:val="00E909F0"/>
    <w:rsid w:val="00E90A9E"/>
    <w:rsid w:val="00E90C22"/>
    <w:rsid w:val="00E90D52"/>
    <w:rsid w:val="00E91845"/>
    <w:rsid w:val="00E91EBB"/>
    <w:rsid w:val="00E92B4F"/>
    <w:rsid w:val="00E93248"/>
    <w:rsid w:val="00E93C4F"/>
    <w:rsid w:val="00E93D7B"/>
    <w:rsid w:val="00E9415F"/>
    <w:rsid w:val="00E94B16"/>
    <w:rsid w:val="00E95039"/>
    <w:rsid w:val="00E9505A"/>
    <w:rsid w:val="00E95406"/>
    <w:rsid w:val="00E95537"/>
    <w:rsid w:val="00E957ED"/>
    <w:rsid w:val="00E95B3A"/>
    <w:rsid w:val="00E95C27"/>
    <w:rsid w:val="00E95EF3"/>
    <w:rsid w:val="00E97350"/>
    <w:rsid w:val="00E979A8"/>
    <w:rsid w:val="00E97F57"/>
    <w:rsid w:val="00EA069C"/>
    <w:rsid w:val="00EA0D1B"/>
    <w:rsid w:val="00EA10B0"/>
    <w:rsid w:val="00EA1E3D"/>
    <w:rsid w:val="00EA22B2"/>
    <w:rsid w:val="00EA23D8"/>
    <w:rsid w:val="00EA29B8"/>
    <w:rsid w:val="00EA3C56"/>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36DD"/>
    <w:rsid w:val="00EB377B"/>
    <w:rsid w:val="00EB3791"/>
    <w:rsid w:val="00EB3BB6"/>
    <w:rsid w:val="00EB3F07"/>
    <w:rsid w:val="00EB4043"/>
    <w:rsid w:val="00EB44F0"/>
    <w:rsid w:val="00EB54A7"/>
    <w:rsid w:val="00EB597F"/>
    <w:rsid w:val="00EB669C"/>
    <w:rsid w:val="00EB6DBB"/>
    <w:rsid w:val="00EB6FEF"/>
    <w:rsid w:val="00EB705C"/>
    <w:rsid w:val="00EB7419"/>
    <w:rsid w:val="00EB7C14"/>
    <w:rsid w:val="00EC01B6"/>
    <w:rsid w:val="00EC0466"/>
    <w:rsid w:val="00EC143B"/>
    <w:rsid w:val="00EC18C8"/>
    <w:rsid w:val="00EC2063"/>
    <w:rsid w:val="00EC29DF"/>
    <w:rsid w:val="00EC2A4F"/>
    <w:rsid w:val="00EC3D89"/>
    <w:rsid w:val="00EC3F91"/>
    <w:rsid w:val="00EC4404"/>
    <w:rsid w:val="00EC4765"/>
    <w:rsid w:val="00EC4EDF"/>
    <w:rsid w:val="00EC5787"/>
    <w:rsid w:val="00EC6380"/>
    <w:rsid w:val="00EC6CFE"/>
    <w:rsid w:val="00EC6DC6"/>
    <w:rsid w:val="00ED0B65"/>
    <w:rsid w:val="00ED0D36"/>
    <w:rsid w:val="00ED0DDD"/>
    <w:rsid w:val="00ED0EFA"/>
    <w:rsid w:val="00ED1789"/>
    <w:rsid w:val="00ED2BCC"/>
    <w:rsid w:val="00ED3678"/>
    <w:rsid w:val="00ED3774"/>
    <w:rsid w:val="00ED3A6B"/>
    <w:rsid w:val="00ED3CF6"/>
    <w:rsid w:val="00ED3E66"/>
    <w:rsid w:val="00ED3E6D"/>
    <w:rsid w:val="00ED48D3"/>
    <w:rsid w:val="00ED51FB"/>
    <w:rsid w:val="00ED52F1"/>
    <w:rsid w:val="00ED6012"/>
    <w:rsid w:val="00ED6D85"/>
    <w:rsid w:val="00ED7BAD"/>
    <w:rsid w:val="00EE07A2"/>
    <w:rsid w:val="00EE0EBF"/>
    <w:rsid w:val="00EE15A7"/>
    <w:rsid w:val="00EE1FA3"/>
    <w:rsid w:val="00EE21D9"/>
    <w:rsid w:val="00EE3287"/>
    <w:rsid w:val="00EE333A"/>
    <w:rsid w:val="00EE3446"/>
    <w:rsid w:val="00EE39F0"/>
    <w:rsid w:val="00EE3B51"/>
    <w:rsid w:val="00EE3D93"/>
    <w:rsid w:val="00EE3F4E"/>
    <w:rsid w:val="00EE4082"/>
    <w:rsid w:val="00EE42AC"/>
    <w:rsid w:val="00EE47D4"/>
    <w:rsid w:val="00EE4A6E"/>
    <w:rsid w:val="00EE4B6E"/>
    <w:rsid w:val="00EE5002"/>
    <w:rsid w:val="00EE50D5"/>
    <w:rsid w:val="00EE5538"/>
    <w:rsid w:val="00EE6F6A"/>
    <w:rsid w:val="00EE6F9A"/>
    <w:rsid w:val="00EE70D1"/>
    <w:rsid w:val="00EE7966"/>
    <w:rsid w:val="00EE7A6E"/>
    <w:rsid w:val="00EE7AB2"/>
    <w:rsid w:val="00EE7B56"/>
    <w:rsid w:val="00EE7D2B"/>
    <w:rsid w:val="00EF02E6"/>
    <w:rsid w:val="00EF0DD1"/>
    <w:rsid w:val="00EF19DC"/>
    <w:rsid w:val="00EF1BEC"/>
    <w:rsid w:val="00EF1C72"/>
    <w:rsid w:val="00EF2879"/>
    <w:rsid w:val="00EF295D"/>
    <w:rsid w:val="00EF3253"/>
    <w:rsid w:val="00EF340B"/>
    <w:rsid w:val="00EF3797"/>
    <w:rsid w:val="00EF38B6"/>
    <w:rsid w:val="00EF399D"/>
    <w:rsid w:val="00EF3E5F"/>
    <w:rsid w:val="00EF42F8"/>
    <w:rsid w:val="00EF496A"/>
    <w:rsid w:val="00EF4ABB"/>
    <w:rsid w:val="00EF4F73"/>
    <w:rsid w:val="00EF533A"/>
    <w:rsid w:val="00EF54A8"/>
    <w:rsid w:val="00EF5CA5"/>
    <w:rsid w:val="00EF720B"/>
    <w:rsid w:val="00EF7808"/>
    <w:rsid w:val="00EF79CD"/>
    <w:rsid w:val="00EF7C96"/>
    <w:rsid w:val="00EF7DD6"/>
    <w:rsid w:val="00F00684"/>
    <w:rsid w:val="00F00708"/>
    <w:rsid w:val="00F00918"/>
    <w:rsid w:val="00F00F81"/>
    <w:rsid w:val="00F0153C"/>
    <w:rsid w:val="00F015FF"/>
    <w:rsid w:val="00F025B2"/>
    <w:rsid w:val="00F02C65"/>
    <w:rsid w:val="00F02CEA"/>
    <w:rsid w:val="00F02FBF"/>
    <w:rsid w:val="00F0304D"/>
    <w:rsid w:val="00F03CE9"/>
    <w:rsid w:val="00F048CC"/>
    <w:rsid w:val="00F04CE1"/>
    <w:rsid w:val="00F05474"/>
    <w:rsid w:val="00F06095"/>
    <w:rsid w:val="00F063E2"/>
    <w:rsid w:val="00F06D60"/>
    <w:rsid w:val="00F07091"/>
    <w:rsid w:val="00F0798D"/>
    <w:rsid w:val="00F101CD"/>
    <w:rsid w:val="00F10914"/>
    <w:rsid w:val="00F11945"/>
    <w:rsid w:val="00F11FD4"/>
    <w:rsid w:val="00F12652"/>
    <w:rsid w:val="00F1338A"/>
    <w:rsid w:val="00F13C24"/>
    <w:rsid w:val="00F144F5"/>
    <w:rsid w:val="00F14501"/>
    <w:rsid w:val="00F1496A"/>
    <w:rsid w:val="00F15158"/>
    <w:rsid w:val="00F15D75"/>
    <w:rsid w:val="00F16002"/>
    <w:rsid w:val="00F160B3"/>
    <w:rsid w:val="00F161BC"/>
    <w:rsid w:val="00F16315"/>
    <w:rsid w:val="00F16328"/>
    <w:rsid w:val="00F1641C"/>
    <w:rsid w:val="00F1677C"/>
    <w:rsid w:val="00F16A4C"/>
    <w:rsid w:val="00F16C85"/>
    <w:rsid w:val="00F179D1"/>
    <w:rsid w:val="00F17AB0"/>
    <w:rsid w:val="00F17EE2"/>
    <w:rsid w:val="00F202D6"/>
    <w:rsid w:val="00F205BD"/>
    <w:rsid w:val="00F2084D"/>
    <w:rsid w:val="00F20F41"/>
    <w:rsid w:val="00F2138A"/>
    <w:rsid w:val="00F216D0"/>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F9E"/>
    <w:rsid w:val="00F27123"/>
    <w:rsid w:val="00F274D0"/>
    <w:rsid w:val="00F27820"/>
    <w:rsid w:val="00F278DB"/>
    <w:rsid w:val="00F3018B"/>
    <w:rsid w:val="00F3026D"/>
    <w:rsid w:val="00F30346"/>
    <w:rsid w:val="00F30554"/>
    <w:rsid w:val="00F30A42"/>
    <w:rsid w:val="00F3135F"/>
    <w:rsid w:val="00F31638"/>
    <w:rsid w:val="00F31C25"/>
    <w:rsid w:val="00F31D19"/>
    <w:rsid w:val="00F31E77"/>
    <w:rsid w:val="00F3216B"/>
    <w:rsid w:val="00F321EB"/>
    <w:rsid w:val="00F322D2"/>
    <w:rsid w:val="00F323D0"/>
    <w:rsid w:val="00F3348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EDC"/>
    <w:rsid w:val="00F401A1"/>
    <w:rsid w:val="00F402A9"/>
    <w:rsid w:val="00F404F5"/>
    <w:rsid w:val="00F407F5"/>
    <w:rsid w:val="00F413A4"/>
    <w:rsid w:val="00F41FAC"/>
    <w:rsid w:val="00F420B2"/>
    <w:rsid w:val="00F420D4"/>
    <w:rsid w:val="00F4261B"/>
    <w:rsid w:val="00F42BBE"/>
    <w:rsid w:val="00F42D14"/>
    <w:rsid w:val="00F42E0D"/>
    <w:rsid w:val="00F43988"/>
    <w:rsid w:val="00F43D57"/>
    <w:rsid w:val="00F43F59"/>
    <w:rsid w:val="00F44275"/>
    <w:rsid w:val="00F446D2"/>
    <w:rsid w:val="00F4479C"/>
    <w:rsid w:val="00F44B49"/>
    <w:rsid w:val="00F45095"/>
    <w:rsid w:val="00F45A0F"/>
    <w:rsid w:val="00F45BFB"/>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6BE"/>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9E4"/>
    <w:rsid w:val="00F63C14"/>
    <w:rsid w:val="00F63C38"/>
    <w:rsid w:val="00F64311"/>
    <w:rsid w:val="00F64414"/>
    <w:rsid w:val="00F64B09"/>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C3E"/>
    <w:rsid w:val="00F70E48"/>
    <w:rsid w:val="00F70F50"/>
    <w:rsid w:val="00F71D04"/>
    <w:rsid w:val="00F72BD3"/>
    <w:rsid w:val="00F72D0B"/>
    <w:rsid w:val="00F72E9D"/>
    <w:rsid w:val="00F72F68"/>
    <w:rsid w:val="00F73163"/>
    <w:rsid w:val="00F734CE"/>
    <w:rsid w:val="00F7377D"/>
    <w:rsid w:val="00F738BB"/>
    <w:rsid w:val="00F73B98"/>
    <w:rsid w:val="00F73C7F"/>
    <w:rsid w:val="00F7415E"/>
    <w:rsid w:val="00F7428C"/>
    <w:rsid w:val="00F74390"/>
    <w:rsid w:val="00F74585"/>
    <w:rsid w:val="00F75209"/>
    <w:rsid w:val="00F752F0"/>
    <w:rsid w:val="00F75D2A"/>
    <w:rsid w:val="00F75D7B"/>
    <w:rsid w:val="00F75EE3"/>
    <w:rsid w:val="00F7614B"/>
    <w:rsid w:val="00F76667"/>
    <w:rsid w:val="00F7735C"/>
    <w:rsid w:val="00F77677"/>
    <w:rsid w:val="00F77E3C"/>
    <w:rsid w:val="00F804C6"/>
    <w:rsid w:val="00F8085D"/>
    <w:rsid w:val="00F80A39"/>
    <w:rsid w:val="00F80D3B"/>
    <w:rsid w:val="00F82356"/>
    <w:rsid w:val="00F82505"/>
    <w:rsid w:val="00F82665"/>
    <w:rsid w:val="00F82FBE"/>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FFB"/>
    <w:rsid w:val="00F90024"/>
    <w:rsid w:val="00F90320"/>
    <w:rsid w:val="00F906F1"/>
    <w:rsid w:val="00F907AA"/>
    <w:rsid w:val="00F908EF"/>
    <w:rsid w:val="00F9095B"/>
    <w:rsid w:val="00F90C8F"/>
    <w:rsid w:val="00F91113"/>
    <w:rsid w:val="00F9134A"/>
    <w:rsid w:val="00F9156C"/>
    <w:rsid w:val="00F9164C"/>
    <w:rsid w:val="00F917A9"/>
    <w:rsid w:val="00F92648"/>
    <w:rsid w:val="00F92CE5"/>
    <w:rsid w:val="00F92DFF"/>
    <w:rsid w:val="00F92FE6"/>
    <w:rsid w:val="00F93F36"/>
    <w:rsid w:val="00F93FBF"/>
    <w:rsid w:val="00F953D4"/>
    <w:rsid w:val="00F956F3"/>
    <w:rsid w:val="00F95D59"/>
    <w:rsid w:val="00F95F02"/>
    <w:rsid w:val="00F95F90"/>
    <w:rsid w:val="00F961A7"/>
    <w:rsid w:val="00F96657"/>
    <w:rsid w:val="00F96818"/>
    <w:rsid w:val="00F96B4D"/>
    <w:rsid w:val="00F96BDB"/>
    <w:rsid w:val="00F978D5"/>
    <w:rsid w:val="00FA062F"/>
    <w:rsid w:val="00FA089E"/>
    <w:rsid w:val="00FA0E96"/>
    <w:rsid w:val="00FA18C6"/>
    <w:rsid w:val="00FA1B30"/>
    <w:rsid w:val="00FA23E1"/>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B0808"/>
    <w:rsid w:val="00FB0A5E"/>
    <w:rsid w:val="00FB0AE1"/>
    <w:rsid w:val="00FB0DE6"/>
    <w:rsid w:val="00FB0F36"/>
    <w:rsid w:val="00FB1340"/>
    <w:rsid w:val="00FB1987"/>
    <w:rsid w:val="00FB1A7D"/>
    <w:rsid w:val="00FB23A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179"/>
    <w:rsid w:val="00FD3267"/>
    <w:rsid w:val="00FD401D"/>
    <w:rsid w:val="00FD42A7"/>
    <w:rsid w:val="00FD45E9"/>
    <w:rsid w:val="00FD4E2A"/>
    <w:rsid w:val="00FD5185"/>
    <w:rsid w:val="00FD51DA"/>
    <w:rsid w:val="00FD5248"/>
    <w:rsid w:val="00FD5324"/>
    <w:rsid w:val="00FD5B03"/>
    <w:rsid w:val="00FD6B4A"/>
    <w:rsid w:val="00FD6C23"/>
    <w:rsid w:val="00FD6D9B"/>
    <w:rsid w:val="00FD7005"/>
    <w:rsid w:val="00FD76DF"/>
    <w:rsid w:val="00FD7C77"/>
    <w:rsid w:val="00FE0350"/>
    <w:rsid w:val="00FE0BBE"/>
    <w:rsid w:val="00FE115A"/>
    <w:rsid w:val="00FE1AEC"/>
    <w:rsid w:val="00FE1DAD"/>
    <w:rsid w:val="00FE239E"/>
    <w:rsid w:val="00FE31C1"/>
    <w:rsid w:val="00FE3A46"/>
    <w:rsid w:val="00FE3E5C"/>
    <w:rsid w:val="00FE43E5"/>
    <w:rsid w:val="00FE458F"/>
    <w:rsid w:val="00FE4EE7"/>
    <w:rsid w:val="00FE5354"/>
    <w:rsid w:val="00FE55E4"/>
    <w:rsid w:val="00FE587C"/>
    <w:rsid w:val="00FE589D"/>
    <w:rsid w:val="00FE6AEF"/>
    <w:rsid w:val="00FE776B"/>
    <w:rsid w:val="00FE7DE0"/>
    <w:rsid w:val="00FE7E7B"/>
    <w:rsid w:val="00FF0217"/>
    <w:rsid w:val="00FF0607"/>
    <w:rsid w:val="00FF08F0"/>
    <w:rsid w:val="00FF0A25"/>
    <w:rsid w:val="00FF0F63"/>
    <w:rsid w:val="00FF1206"/>
    <w:rsid w:val="00FF1231"/>
    <w:rsid w:val="00FF1539"/>
    <w:rsid w:val="00FF1A77"/>
    <w:rsid w:val="00FF1F0E"/>
    <w:rsid w:val="00FF21A3"/>
    <w:rsid w:val="00FF21D7"/>
    <w:rsid w:val="00FF2BCB"/>
    <w:rsid w:val="00FF36A8"/>
    <w:rsid w:val="00FF3744"/>
    <w:rsid w:val="00FF3CBF"/>
    <w:rsid w:val="00FF47D7"/>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C546F"/>
    <w:rPr>
      <w:sz w:val="24"/>
    </w:rPr>
  </w:style>
  <w:style w:type="paragraph" w:styleId="Heading1">
    <w:name w:val="heading 1"/>
    <w:basedOn w:val="Normal"/>
    <w:next w:val="BodyText"/>
    <w:autoRedefine/>
    <w:qFormat/>
    <w:rsid w:val="00DE1603"/>
    <w:pPr>
      <w:keepNext/>
      <w:keepLines/>
      <w:tabs>
        <w:tab w:val="left" w:pos="720"/>
        <w:tab w:val="left" w:pos="1440"/>
      </w:tabs>
      <w:outlineLvl w:val="0"/>
    </w:pPr>
    <w:rPr>
      <w:rFonts w:ascii="Times New Roman Bold" w:hAnsi="Times New Roman Bold"/>
      <w:b/>
      <w:kern w:val="28"/>
    </w:rPr>
  </w:style>
  <w:style w:type="paragraph" w:styleId="Heading2">
    <w:name w:val="heading 2"/>
    <w:basedOn w:val="Normal"/>
    <w:next w:val="Normal"/>
    <w:link w:val="Heading2Char"/>
    <w:qFormat/>
    <w:rsid w:val="00DE1603"/>
    <w:pPr>
      <w:keepNext/>
      <w:ind w:firstLine="720"/>
      <w:outlineLvl w:val="1"/>
    </w:pPr>
    <w:rPr>
      <w:rFonts w:ascii="Times New Roman Bold" w:hAnsi="Times New Roman Bold" w:cs="Arial"/>
      <w:b/>
      <w:bCs/>
      <w:iCs/>
      <w:szCs w:val="28"/>
    </w:rPr>
  </w:style>
  <w:style w:type="paragraph" w:styleId="Heading3">
    <w:name w:val="heading 3"/>
    <w:basedOn w:val="Normal"/>
    <w:next w:val="Normal"/>
    <w:qFormat/>
    <w:rsid w:val="00DE1603"/>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pPr>
      <w:spacing w:after="120"/>
    </w:pPr>
  </w:style>
  <w:style w:type="paragraph" w:styleId="EnvelopeAddress">
    <w:name w:val="envelope address"/>
    <w:basedOn w:val="Normal"/>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pPr>
      <w:spacing w:after="120"/>
      <w:ind w:left="360"/>
    </w:pPr>
  </w:style>
  <w:style w:type="table" w:styleId="TableGrid">
    <w:name w:val="Table Grid"/>
    <w:basedOn w:val="TableNormal"/>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emphi">
    <w:name w:val="emphi"/>
    <w:basedOn w:val="DefaultParagraphFont"/>
    <w:rsid w:val="005C546F"/>
  </w:style>
  <w:style w:type="paragraph" w:customStyle="1" w:styleId="para">
    <w:name w:val="para"/>
    <w:basedOn w:val="Normal"/>
    <w:rsid w:val="005C546F"/>
    <w:pPr>
      <w:spacing w:before="100" w:beforeAutospacing="1" w:after="100" w:afterAutospacing="1"/>
    </w:pPr>
    <w:rPr>
      <w:szCs w:val="24"/>
    </w:rPr>
  </w:style>
  <w:style w:type="character" w:customStyle="1" w:styleId="displayhltext">
    <w:name w:val="display_hl_text"/>
    <w:basedOn w:val="DefaultParagraphFont"/>
    <w:rsid w:val="005C546F"/>
  </w:style>
  <w:style w:type="paragraph" w:styleId="BlockText">
    <w:name w:val="Block Text"/>
    <w:basedOn w:val="Normal"/>
    <w:rsid w:val="005C546F"/>
    <w:pPr>
      <w:ind w:left="720" w:right="720" w:firstLine="720"/>
      <w:jc w:val="both"/>
    </w:pPr>
  </w:style>
  <w:style w:type="character" w:styleId="Hyperlink">
    <w:name w:val="Hyperlink"/>
    <w:uiPriority w:val="99"/>
    <w:rsid w:val="005C546F"/>
    <w:rPr>
      <w:color w:val="0000FF"/>
      <w:u w:val="single"/>
    </w:rPr>
  </w:style>
  <w:style w:type="character" w:customStyle="1" w:styleId="case-name">
    <w:name w:val="case-name"/>
    <w:basedOn w:val="DefaultParagraphFont"/>
    <w:rsid w:val="005C546F"/>
  </w:style>
  <w:style w:type="paragraph" w:styleId="Header">
    <w:name w:val="header"/>
    <w:basedOn w:val="Normal"/>
    <w:rsid w:val="005C546F"/>
    <w:pPr>
      <w:tabs>
        <w:tab w:val="center" w:pos="4320"/>
        <w:tab w:val="right" w:pos="8640"/>
      </w:tabs>
    </w:pPr>
  </w:style>
  <w:style w:type="paragraph" w:styleId="TOAHeading">
    <w:name w:val="toa heading"/>
    <w:basedOn w:val="Normal"/>
    <w:next w:val="Normal"/>
    <w:semiHidden/>
    <w:rsid w:val="005C546F"/>
    <w:pPr>
      <w:spacing w:before="240" w:after="120"/>
    </w:pPr>
    <w:rPr>
      <w:b/>
      <w:bCs/>
      <w:caps/>
      <w:sz w:val="20"/>
    </w:rPr>
  </w:style>
  <w:style w:type="paragraph" w:styleId="TableofAuthorities">
    <w:name w:val="table of authorities"/>
    <w:basedOn w:val="Normal"/>
    <w:next w:val="Normal"/>
    <w:semiHidden/>
    <w:rsid w:val="005C546F"/>
    <w:pPr>
      <w:ind w:left="240" w:hanging="240"/>
    </w:pPr>
    <w:rPr>
      <w:sz w:val="20"/>
    </w:rPr>
  </w:style>
  <w:style w:type="character" w:styleId="PageNumber">
    <w:name w:val="page number"/>
    <w:basedOn w:val="DefaultParagraphFont"/>
    <w:rsid w:val="005C546F"/>
  </w:style>
  <w:style w:type="paragraph" w:styleId="Footer">
    <w:name w:val="footer"/>
    <w:basedOn w:val="Normal"/>
    <w:rsid w:val="005C546F"/>
    <w:pPr>
      <w:tabs>
        <w:tab w:val="center" w:pos="4320"/>
        <w:tab w:val="right" w:pos="8640"/>
      </w:tabs>
    </w:pPr>
  </w:style>
  <w:style w:type="paragraph" w:styleId="TOC2">
    <w:name w:val="toc 2"/>
    <w:basedOn w:val="Normal"/>
    <w:next w:val="Normal"/>
    <w:autoRedefine/>
    <w:semiHidden/>
    <w:rsid w:val="00E32E11"/>
    <w:pPr>
      <w:tabs>
        <w:tab w:val="left" w:pos="720"/>
        <w:tab w:val="left" w:pos="1440"/>
        <w:tab w:val="right" w:leader="dot" w:pos="9360"/>
      </w:tabs>
      <w:spacing w:after="120"/>
      <w:ind w:left="720"/>
    </w:pPr>
  </w:style>
  <w:style w:type="paragraph" w:styleId="TOC1">
    <w:name w:val="toc 1"/>
    <w:basedOn w:val="Normal"/>
    <w:next w:val="Normal"/>
    <w:autoRedefine/>
    <w:semiHidden/>
    <w:rsid w:val="00E32E11"/>
    <w:pPr>
      <w:tabs>
        <w:tab w:val="right" w:leader="dot" w:pos="9360"/>
      </w:tabs>
      <w:spacing w:after="120"/>
    </w:pPr>
  </w:style>
  <w:style w:type="character" w:customStyle="1" w:styleId="Heading2Char">
    <w:name w:val="Heading 2 Char"/>
    <w:link w:val="Heading2"/>
    <w:rsid w:val="00DE1603"/>
    <w:rPr>
      <w:rFonts w:ascii="Times New Roman Bold" w:hAnsi="Times New Roman Bold" w:cs="Arial"/>
      <w:b/>
      <w:bCs/>
      <w:iCs/>
      <w:sz w:val="24"/>
      <w:szCs w:val="28"/>
      <w:lang w:val="en-US" w:eastAsia="en-US" w:bidi="ar-SA"/>
    </w:rPr>
  </w:style>
  <w:style w:type="paragraph" w:styleId="TOC3">
    <w:name w:val="toc 3"/>
    <w:basedOn w:val="Normal"/>
    <w:next w:val="Normal"/>
    <w:autoRedefine/>
    <w:semiHidden/>
    <w:rsid w:val="00615694"/>
    <w:pPr>
      <w:spacing w:after="120"/>
      <w:ind w:left="1440"/>
    </w:pPr>
  </w:style>
  <w:style w:type="character" w:styleId="FollowedHyperlink">
    <w:name w:val="FollowedHyperlink"/>
    <w:rsid w:val="00E53689"/>
    <w:rPr>
      <w:color w:val="800080"/>
      <w:u w:val="single"/>
    </w:rPr>
  </w:style>
  <w:style w:type="character" w:styleId="Emphasis">
    <w:name w:val="Emphasis"/>
    <w:qFormat/>
    <w:rsid w:val="00C03AD0"/>
    <w:rPr>
      <w:i/>
      <w:iCs/>
    </w:rPr>
  </w:style>
  <w:style w:type="paragraph" w:styleId="BalloonText">
    <w:name w:val="Balloon Text"/>
    <w:basedOn w:val="Normal"/>
    <w:semiHidden/>
    <w:rsid w:val="005B4608"/>
    <w:rPr>
      <w:rFonts w:ascii="Tahoma" w:hAnsi="Tahoma" w:cs="Tahoma"/>
      <w:sz w:val="16"/>
      <w:szCs w:val="16"/>
    </w:rPr>
  </w:style>
  <w:style w:type="paragraph" w:customStyle="1" w:styleId="bodytext0">
    <w:name w:val="bodytext"/>
    <w:basedOn w:val="Normal"/>
    <w:rsid w:val="00007B9E"/>
    <w:pPr>
      <w:spacing w:before="100" w:beforeAutospacing="1" w:after="100" w:afterAutospacing="1"/>
    </w:pPr>
    <w:rPr>
      <w:szCs w:val="24"/>
    </w:rPr>
  </w:style>
  <w:style w:type="character" w:styleId="FootnoteReference">
    <w:name w:val="footnote reference"/>
    <w:rsid w:val="00007B9E"/>
    <w:rPr>
      <w:vertAlign w:val="superscript"/>
    </w:rPr>
  </w:style>
  <w:style w:type="character" w:customStyle="1" w:styleId="apple-converted-space">
    <w:name w:val="apple-converted-space"/>
    <w:rsid w:val="00007B9E"/>
  </w:style>
  <w:style w:type="paragraph" w:styleId="FootnoteText">
    <w:name w:val="footnote text"/>
    <w:basedOn w:val="Normal"/>
    <w:link w:val="FootnoteTextChar"/>
    <w:rsid w:val="00007B9E"/>
    <w:rPr>
      <w:sz w:val="20"/>
    </w:rPr>
  </w:style>
  <w:style w:type="character" w:customStyle="1" w:styleId="FootnoteTextChar">
    <w:name w:val="Footnote Text Char"/>
    <w:basedOn w:val="DefaultParagraphFont"/>
    <w:link w:val="FootnoteText"/>
    <w:rsid w:val="00007B9E"/>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C546F"/>
    <w:rPr>
      <w:sz w:val="24"/>
    </w:rPr>
  </w:style>
  <w:style w:type="paragraph" w:styleId="Heading1">
    <w:name w:val="heading 1"/>
    <w:basedOn w:val="Normal"/>
    <w:next w:val="BodyText"/>
    <w:autoRedefine/>
    <w:qFormat/>
    <w:rsid w:val="00DE1603"/>
    <w:pPr>
      <w:keepNext/>
      <w:keepLines/>
      <w:tabs>
        <w:tab w:val="left" w:pos="720"/>
        <w:tab w:val="left" w:pos="1440"/>
      </w:tabs>
      <w:outlineLvl w:val="0"/>
    </w:pPr>
    <w:rPr>
      <w:rFonts w:ascii="Times New Roman Bold" w:hAnsi="Times New Roman Bold"/>
      <w:b/>
      <w:kern w:val="28"/>
    </w:rPr>
  </w:style>
  <w:style w:type="paragraph" w:styleId="Heading2">
    <w:name w:val="heading 2"/>
    <w:basedOn w:val="Normal"/>
    <w:next w:val="Normal"/>
    <w:link w:val="Heading2Char"/>
    <w:qFormat/>
    <w:rsid w:val="00DE1603"/>
    <w:pPr>
      <w:keepNext/>
      <w:ind w:firstLine="720"/>
      <w:outlineLvl w:val="1"/>
    </w:pPr>
    <w:rPr>
      <w:rFonts w:ascii="Times New Roman Bold" w:hAnsi="Times New Roman Bold" w:cs="Arial"/>
      <w:b/>
      <w:bCs/>
      <w:iCs/>
      <w:szCs w:val="28"/>
    </w:rPr>
  </w:style>
  <w:style w:type="paragraph" w:styleId="Heading3">
    <w:name w:val="heading 3"/>
    <w:basedOn w:val="Normal"/>
    <w:next w:val="Normal"/>
    <w:qFormat/>
    <w:rsid w:val="00DE1603"/>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pPr>
      <w:spacing w:after="120"/>
    </w:pPr>
  </w:style>
  <w:style w:type="paragraph" w:styleId="EnvelopeAddress">
    <w:name w:val="envelope address"/>
    <w:basedOn w:val="Normal"/>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pPr>
      <w:spacing w:after="120"/>
      <w:ind w:left="360"/>
    </w:pPr>
  </w:style>
  <w:style w:type="table" w:styleId="TableGrid">
    <w:name w:val="Table Grid"/>
    <w:basedOn w:val="TableNormal"/>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emphi">
    <w:name w:val="emphi"/>
    <w:basedOn w:val="DefaultParagraphFont"/>
    <w:rsid w:val="005C546F"/>
  </w:style>
  <w:style w:type="paragraph" w:customStyle="1" w:styleId="para">
    <w:name w:val="para"/>
    <w:basedOn w:val="Normal"/>
    <w:rsid w:val="005C546F"/>
    <w:pPr>
      <w:spacing w:before="100" w:beforeAutospacing="1" w:after="100" w:afterAutospacing="1"/>
    </w:pPr>
    <w:rPr>
      <w:szCs w:val="24"/>
    </w:rPr>
  </w:style>
  <w:style w:type="character" w:customStyle="1" w:styleId="displayhltext">
    <w:name w:val="display_hl_text"/>
    <w:basedOn w:val="DefaultParagraphFont"/>
    <w:rsid w:val="005C546F"/>
  </w:style>
  <w:style w:type="paragraph" w:styleId="BlockText">
    <w:name w:val="Block Text"/>
    <w:basedOn w:val="Normal"/>
    <w:rsid w:val="005C546F"/>
    <w:pPr>
      <w:ind w:left="720" w:right="720" w:firstLine="720"/>
      <w:jc w:val="both"/>
    </w:pPr>
  </w:style>
  <w:style w:type="character" w:styleId="Hyperlink">
    <w:name w:val="Hyperlink"/>
    <w:uiPriority w:val="99"/>
    <w:rsid w:val="005C546F"/>
    <w:rPr>
      <w:color w:val="0000FF"/>
      <w:u w:val="single"/>
    </w:rPr>
  </w:style>
  <w:style w:type="character" w:customStyle="1" w:styleId="case-name">
    <w:name w:val="case-name"/>
    <w:basedOn w:val="DefaultParagraphFont"/>
    <w:rsid w:val="005C546F"/>
  </w:style>
  <w:style w:type="paragraph" w:styleId="Header">
    <w:name w:val="header"/>
    <w:basedOn w:val="Normal"/>
    <w:rsid w:val="005C546F"/>
    <w:pPr>
      <w:tabs>
        <w:tab w:val="center" w:pos="4320"/>
        <w:tab w:val="right" w:pos="8640"/>
      </w:tabs>
    </w:pPr>
  </w:style>
  <w:style w:type="paragraph" w:styleId="TOAHeading">
    <w:name w:val="toa heading"/>
    <w:basedOn w:val="Normal"/>
    <w:next w:val="Normal"/>
    <w:semiHidden/>
    <w:rsid w:val="005C546F"/>
    <w:pPr>
      <w:spacing w:before="240" w:after="120"/>
    </w:pPr>
    <w:rPr>
      <w:b/>
      <w:bCs/>
      <w:caps/>
      <w:sz w:val="20"/>
    </w:rPr>
  </w:style>
  <w:style w:type="paragraph" w:styleId="TableofAuthorities">
    <w:name w:val="table of authorities"/>
    <w:basedOn w:val="Normal"/>
    <w:next w:val="Normal"/>
    <w:semiHidden/>
    <w:rsid w:val="005C546F"/>
    <w:pPr>
      <w:ind w:left="240" w:hanging="240"/>
    </w:pPr>
    <w:rPr>
      <w:sz w:val="20"/>
    </w:rPr>
  </w:style>
  <w:style w:type="character" w:styleId="PageNumber">
    <w:name w:val="page number"/>
    <w:basedOn w:val="DefaultParagraphFont"/>
    <w:rsid w:val="005C546F"/>
  </w:style>
  <w:style w:type="paragraph" w:styleId="Footer">
    <w:name w:val="footer"/>
    <w:basedOn w:val="Normal"/>
    <w:rsid w:val="005C546F"/>
    <w:pPr>
      <w:tabs>
        <w:tab w:val="center" w:pos="4320"/>
        <w:tab w:val="right" w:pos="8640"/>
      </w:tabs>
    </w:pPr>
  </w:style>
  <w:style w:type="paragraph" w:styleId="TOC2">
    <w:name w:val="toc 2"/>
    <w:basedOn w:val="Normal"/>
    <w:next w:val="Normal"/>
    <w:autoRedefine/>
    <w:semiHidden/>
    <w:rsid w:val="00E32E11"/>
    <w:pPr>
      <w:tabs>
        <w:tab w:val="left" w:pos="720"/>
        <w:tab w:val="left" w:pos="1440"/>
        <w:tab w:val="right" w:leader="dot" w:pos="9360"/>
      </w:tabs>
      <w:spacing w:after="120"/>
      <w:ind w:left="720"/>
    </w:pPr>
  </w:style>
  <w:style w:type="paragraph" w:styleId="TOC1">
    <w:name w:val="toc 1"/>
    <w:basedOn w:val="Normal"/>
    <w:next w:val="Normal"/>
    <w:autoRedefine/>
    <w:semiHidden/>
    <w:rsid w:val="00E32E11"/>
    <w:pPr>
      <w:tabs>
        <w:tab w:val="right" w:leader="dot" w:pos="9360"/>
      </w:tabs>
      <w:spacing w:after="120"/>
    </w:pPr>
  </w:style>
  <w:style w:type="character" w:customStyle="1" w:styleId="Heading2Char">
    <w:name w:val="Heading 2 Char"/>
    <w:link w:val="Heading2"/>
    <w:rsid w:val="00DE1603"/>
    <w:rPr>
      <w:rFonts w:ascii="Times New Roman Bold" w:hAnsi="Times New Roman Bold" w:cs="Arial"/>
      <w:b/>
      <w:bCs/>
      <w:iCs/>
      <w:sz w:val="24"/>
      <w:szCs w:val="28"/>
      <w:lang w:val="en-US" w:eastAsia="en-US" w:bidi="ar-SA"/>
    </w:rPr>
  </w:style>
  <w:style w:type="paragraph" w:styleId="TOC3">
    <w:name w:val="toc 3"/>
    <w:basedOn w:val="Normal"/>
    <w:next w:val="Normal"/>
    <w:autoRedefine/>
    <w:semiHidden/>
    <w:rsid w:val="00615694"/>
    <w:pPr>
      <w:spacing w:after="120"/>
      <w:ind w:left="1440"/>
    </w:pPr>
  </w:style>
  <w:style w:type="character" w:styleId="FollowedHyperlink">
    <w:name w:val="FollowedHyperlink"/>
    <w:rsid w:val="00E53689"/>
    <w:rPr>
      <w:color w:val="800080"/>
      <w:u w:val="single"/>
    </w:rPr>
  </w:style>
  <w:style w:type="character" w:styleId="Emphasis">
    <w:name w:val="Emphasis"/>
    <w:qFormat/>
    <w:rsid w:val="00C03AD0"/>
    <w:rPr>
      <w:i/>
      <w:iCs/>
    </w:rPr>
  </w:style>
  <w:style w:type="paragraph" w:styleId="BalloonText">
    <w:name w:val="Balloon Text"/>
    <w:basedOn w:val="Normal"/>
    <w:semiHidden/>
    <w:rsid w:val="005B4608"/>
    <w:rPr>
      <w:rFonts w:ascii="Tahoma" w:hAnsi="Tahoma" w:cs="Tahoma"/>
      <w:sz w:val="16"/>
      <w:szCs w:val="16"/>
    </w:rPr>
  </w:style>
  <w:style w:type="paragraph" w:customStyle="1" w:styleId="bodytext0">
    <w:name w:val="bodytext"/>
    <w:basedOn w:val="Normal"/>
    <w:rsid w:val="00007B9E"/>
    <w:pPr>
      <w:spacing w:before="100" w:beforeAutospacing="1" w:after="100" w:afterAutospacing="1"/>
    </w:pPr>
    <w:rPr>
      <w:szCs w:val="24"/>
    </w:rPr>
  </w:style>
  <w:style w:type="character" w:styleId="FootnoteReference">
    <w:name w:val="footnote reference"/>
    <w:rsid w:val="00007B9E"/>
    <w:rPr>
      <w:vertAlign w:val="superscript"/>
    </w:rPr>
  </w:style>
  <w:style w:type="character" w:customStyle="1" w:styleId="apple-converted-space">
    <w:name w:val="apple-converted-space"/>
    <w:rsid w:val="00007B9E"/>
  </w:style>
  <w:style w:type="paragraph" w:styleId="FootnoteText">
    <w:name w:val="footnote text"/>
    <w:basedOn w:val="Normal"/>
    <w:link w:val="FootnoteTextChar"/>
    <w:rsid w:val="00007B9E"/>
    <w:rPr>
      <w:sz w:val="20"/>
    </w:rPr>
  </w:style>
  <w:style w:type="character" w:customStyle="1" w:styleId="FootnoteTextChar">
    <w:name w:val="Footnote Text Char"/>
    <w:basedOn w:val="DefaultParagraphFont"/>
    <w:link w:val="FootnoteText"/>
    <w:rsid w:val="00007B9E"/>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yperlink" Target="javascript:top.docjs.prev_hit(19)" TargetMode="Externa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yperlink" Target="javascript:top.docjs.next_hit(20)"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javascript:top.docjs.next_hit(12)" TargetMode="External"/><Relationship Id="rId25"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image" Target="media/image1.png"/><Relationship Id="rId20" Type="http://schemas.openxmlformats.org/officeDocument/2006/relationships/hyperlink" Target="javascript:top.docjs.prev_hit(20)"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4.xml"/><Relationship Id="rId5" Type="http://schemas.openxmlformats.org/officeDocument/2006/relationships/settings" Target="settings.xml"/><Relationship Id="rId15" Type="http://schemas.openxmlformats.org/officeDocument/2006/relationships/hyperlink" Target="javascript:top.docjs.prev_hit(12)" TargetMode="External"/><Relationship Id="rId23" Type="http://schemas.openxmlformats.org/officeDocument/2006/relationships/hyperlink" Target="javascript:top.docjs.next_hit(13)" TargetMode="External"/><Relationship Id="rId10" Type="http://schemas.openxmlformats.org/officeDocument/2006/relationships/header" Target="header2.xml"/><Relationship Id="rId19" Type="http://schemas.openxmlformats.org/officeDocument/2006/relationships/hyperlink" Target="javascript:top.docjs.next_hit(19)" TargetMode="Externa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javascript:top.docjs.prev_hit(13)" TargetMode="External"/><Relationship Id="rId27"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2943546-00C6-4A7A-B229-27537B158AB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CO001US.dotm</Template>
  <TotalTime>0</TotalTime>
  <Pages>1</Pages>
  <Words>12122</Words>
  <Characters>69102</Characters>
  <DocSecurity>0</DocSecurity>
  <Lines>575</Lines>
  <Paragraphs>162</Paragraphs>
  <ScaleCrop>false</ScaleCrop>
  <HeadingPairs>
    <vt:vector size="2" baseType="variant">
      <vt:variant>
        <vt:lpstr>Title</vt:lpstr>
      </vt:variant>
      <vt:variant>
        <vt:i4>1</vt:i4>
      </vt:variant>
    </vt:vector>
  </HeadingPairs>
  <TitlesOfParts>
    <vt:vector size="1" baseType="lpstr">
      <vt:lpstr>Exhibit A</vt:lpstr>
    </vt:vector>
  </TitlesOfParts>
  <LinksUpToDate>false</LinksUpToDate>
  <CharactersWithSpaces>81062</CharactersWithSpaces>
  <SharedDoc>false</SharedDoc>
  <HLinks>
    <vt:vector size="240" baseType="variant">
      <vt:variant>
        <vt:i4>3473409</vt:i4>
      </vt:variant>
      <vt:variant>
        <vt:i4>189</vt:i4>
      </vt:variant>
      <vt:variant>
        <vt:i4>0</vt:i4>
      </vt:variant>
      <vt:variant>
        <vt:i4>5</vt:i4>
      </vt:variant>
      <vt:variant>
        <vt:lpwstr>javascript:top.docjs.next_hit(13)</vt:lpwstr>
      </vt:variant>
      <vt:variant>
        <vt:lpwstr/>
      </vt:variant>
      <vt:variant>
        <vt:i4>3538964</vt:i4>
      </vt:variant>
      <vt:variant>
        <vt:i4>183</vt:i4>
      </vt:variant>
      <vt:variant>
        <vt:i4>0</vt:i4>
      </vt:variant>
      <vt:variant>
        <vt:i4>5</vt:i4>
      </vt:variant>
      <vt:variant>
        <vt:lpwstr>javascript:top.docjs.prev_hit(13)</vt:lpwstr>
      </vt:variant>
      <vt:variant>
        <vt:lpwstr/>
      </vt:variant>
      <vt:variant>
        <vt:i4>3538946</vt:i4>
      </vt:variant>
      <vt:variant>
        <vt:i4>177</vt:i4>
      </vt:variant>
      <vt:variant>
        <vt:i4>0</vt:i4>
      </vt:variant>
      <vt:variant>
        <vt:i4>5</vt:i4>
      </vt:variant>
      <vt:variant>
        <vt:lpwstr>javascript:top.docjs.next_hit(20)</vt:lpwstr>
      </vt:variant>
      <vt:variant>
        <vt:lpwstr/>
      </vt:variant>
      <vt:variant>
        <vt:i4>3473431</vt:i4>
      </vt:variant>
      <vt:variant>
        <vt:i4>171</vt:i4>
      </vt:variant>
      <vt:variant>
        <vt:i4>0</vt:i4>
      </vt:variant>
      <vt:variant>
        <vt:i4>5</vt:i4>
      </vt:variant>
      <vt:variant>
        <vt:lpwstr>javascript:top.docjs.prev_hit(20)</vt:lpwstr>
      </vt:variant>
      <vt:variant>
        <vt:lpwstr/>
      </vt:variant>
      <vt:variant>
        <vt:i4>4128769</vt:i4>
      </vt:variant>
      <vt:variant>
        <vt:i4>165</vt:i4>
      </vt:variant>
      <vt:variant>
        <vt:i4>0</vt:i4>
      </vt:variant>
      <vt:variant>
        <vt:i4>5</vt:i4>
      </vt:variant>
      <vt:variant>
        <vt:lpwstr>javascript:top.docjs.next_hit(19)</vt:lpwstr>
      </vt:variant>
      <vt:variant>
        <vt:lpwstr/>
      </vt:variant>
      <vt:variant>
        <vt:i4>3932180</vt:i4>
      </vt:variant>
      <vt:variant>
        <vt:i4>159</vt:i4>
      </vt:variant>
      <vt:variant>
        <vt:i4>0</vt:i4>
      </vt:variant>
      <vt:variant>
        <vt:i4>5</vt:i4>
      </vt:variant>
      <vt:variant>
        <vt:lpwstr>javascript:top.docjs.prev_hit(19)</vt:lpwstr>
      </vt:variant>
      <vt:variant>
        <vt:lpwstr/>
      </vt:variant>
      <vt:variant>
        <vt:i4>3407873</vt:i4>
      </vt:variant>
      <vt:variant>
        <vt:i4>153</vt:i4>
      </vt:variant>
      <vt:variant>
        <vt:i4>0</vt:i4>
      </vt:variant>
      <vt:variant>
        <vt:i4>5</vt:i4>
      </vt:variant>
      <vt:variant>
        <vt:lpwstr>javascript:top.docjs.next_hit(12)</vt:lpwstr>
      </vt:variant>
      <vt:variant>
        <vt:lpwstr/>
      </vt:variant>
      <vt:variant>
        <vt:i4>3604500</vt:i4>
      </vt:variant>
      <vt:variant>
        <vt:i4>147</vt:i4>
      </vt:variant>
      <vt:variant>
        <vt:i4>0</vt:i4>
      </vt:variant>
      <vt:variant>
        <vt:i4>5</vt:i4>
      </vt:variant>
      <vt:variant>
        <vt:lpwstr>javascript:top.docjs.prev_hit(12)</vt:lpwstr>
      </vt:variant>
      <vt:variant>
        <vt:lpwstr/>
      </vt:variant>
      <vt:variant>
        <vt:i4>1703989</vt:i4>
      </vt:variant>
      <vt:variant>
        <vt:i4>140</vt:i4>
      </vt:variant>
      <vt:variant>
        <vt:i4>0</vt:i4>
      </vt:variant>
      <vt:variant>
        <vt:i4>5</vt:i4>
      </vt:variant>
      <vt:variant>
        <vt:lpwstr/>
      </vt:variant>
      <vt:variant>
        <vt:lpwstr>_Toc290548398</vt:lpwstr>
      </vt:variant>
      <vt:variant>
        <vt:i4>1703989</vt:i4>
      </vt:variant>
      <vt:variant>
        <vt:i4>134</vt:i4>
      </vt:variant>
      <vt:variant>
        <vt:i4>0</vt:i4>
      </vt:variant>
      <vt:variant>
        <vt:i4>5</vt:i4>
      </vt:variant>
      <vt:variant>
        <vt:lpwstr/>
      </vt:variant>
      <vt:variant>
        <vt:lpwstr>_Toc290548397</vt:lpwstr>
      </vt:variant>
      <vt:variant>
        <vt:i4>1703989</vt:i4>
      </vt:variant>
      <vt:variant>
        <vt:i4>128</vt:i4>
      </vt:variant>
      <vt:variant>
        <vt:i4>0</vt:i4>
      </vt:variant>
      <vt:variant>
        <vt:i4>5</vt:i4>
      </vt:variant>
      <vt:variant>
        <vt:lpwstr/>
      </vt:variant>
      <vt:variant>
        <vt:lpwstr>_Toc290548396</vt:lpwstr>
      </vt:variant>
      <vt:variant>
        <vt:i4>1703989</vt:i4>
      </vt:variant>
      <vt:variant>
        <vt:i4>122</vt:i4>
      </vt:variant>
      <vt:variant>
        <vt:i4>0</vt:i4>
      </vt:variant>
      <vt:variant>
        <vt:i4>5</vt:i4>
      </vt:variant>
      <vt:variant>
        <vt:lpwstr/>
      </vt:variant>
      <vt:variant>
        <vt:lpwstr>_Toc290548395</vt:lpwstr>
      </vt:variant>
      <vt:variant>
        <vt:i4>1703989</vt:i4>
      </vt:variant>
      <vt:variant>
        <vt:i4>116</vt:i4>
      </vt:variant>
      <vt:variant>
        <vt:i4>0</vt:i4>
      </vt:variant>
      <vt:variant>
        <vt:i4>5</vt:i4>
      </vt:variant>
      <vt:variant>
        <vt:lpwstr/>
      </vt:variant>
      <vt:variant>
        <vt:lpwstr>_Toc290548394</vt:lpwstr>
      </vt:variant>
      <vt:variant>
        <vt:i4>1703989</vt:i4>
      </vt:variant>
      <vt:variant>
        <vt:i4>110</vt:i4>
      </vt:variant>
      <vt:variant>
        <vt:i4>0</vt:i4>
      </vt:variant>
      <vt:variant>
        <vt:i4>5</vt:i4>
      </vt:variant>
      <vt:variant>
        <vt:lpwstr/>
      </vt:variant>
      <vt:variant>
        <vt:lpwstr>_Toc290548393</vt:lpwstr>
      </vt:variant>
      <vt:variant>
        <vt:i4>1703989</vt:i4>
      </vt:variant>
      <vt:variant>
        <vt:i4>104</vt:i4>
      </vt:variant>
      <vt:variant>
        <vt:i4>0</vt:i4>
      </vt:variant>
      <vt:variant>
        <vt:i4>5</vt:i4>
      </vt:variant>
      <vt:variant>
        <vt:lpwstr/>
      </vt:variant>
      <vt:variant>
        <vt:lpwstr>_Toc290548392</vt:lpwstr>
      </vt:variant>
      <vt:variant>
        <vt:i4>1703989</vt:i4>
      </vt:variant>
      <vt:variant>
        <vt:i4>98</vt:i4>
      </vt:variant>
      <vt:variant>
        <vt:i4>0</vt:i4>
      </vt:variant>
      <vt:variant>
        <vt:i4>5</vt:i4>
      </vt:variant>
      <vt:variant>
        <vt:lpwstr/>
      </vt:variant>
      <vt:variant>
        <vt:lpwstr>_Toc290548391</vt:lpwstr>
      </vt:variant>
      <vt:variant>
        <vt:i4>1703989</vt:i4>
      </vt:variant>
      <vt:variant>
        <vt:i4>92</vt:i4>
      </vt:variant>
      <vt:variant>
        <vt:i4>0</vt:i4>
      </vt:variant>
      <vt:variant>
        <vt:i4>5</vt:i4>
      </vt:variant>
      <vt:variant>
        <vt:lpwstr/>
      </vt:variant>
      <vt:variant>
        <vt:lpwstr>_Toc290548390</vt:lpwstr>
      </vt:variant>
      <vt:variant>
        <vt:i4>1769525</vt:i4>
      </vt:variant>
      <vt:variant>
        <vt:i4>86</vt:i4>
      </vt:variant>
      <vt:variant>
        <vt:i4>0</vt:i4>
      </vt:variant>
      <vt:variant>
        <vt:i4>5</vt:i4>
      </vt:variant>
      <vt:variant>
        <vt:lpwstr/>
      </vt:variant>
      <vt:variant>
        <vt:lpwstr>_Toc290548389</vt:lpwstr>
      </vt:variant>
      <vt:variant>
        <vt:i4>1769525</vt:i4>
      </vt:variant>
      <vt:variant>
        <vt:i4>80</vt:i4>
      </vt:variant>
      <vt:variant>
        <vt:i4>0</vt:i4>
      </vt:variant>
      <vt:variant>
        <vt:i4>5</vt:i4>
      </vt:variant>
      <vt:variant>
        <vt:lpwstr/>
      </vt:variant>
      <vt:variant>
        <vt:lpwstr>_Toc290548388</vt:lpwstr>
      </vt:variant>
      <vt:variant>
        <vt:i4>1769525</vt:i4>
      </vt:variant>
      <vt:variant>
        <vt:i4>74</vt:i4>
      </vt:variant>
      <vt:variant>
        <vt:i4>0</vt:i4>
      </vt:variant>
      <vt:variant>
        <vt:i4>5</vt:i4>
      </vt:variant>
      <vt:variant>
        <vt:lpwstr/>
      </vt:variant>
      <vt:variant>
        <vt:lpwstr>_Toc290548387</vt:lpwstr>
      </vt:variant>
      <vt:variant>
        <vt:i4>1769525</vt:i4>
      </vt:variant>
      <vt:variant>
        <vt:i4>68</vt:i4>
      </vt:variant>
      <vt:variant>
        <vt:i4>0</vt:i4>
      </vt:variant>
      <vt:variant>
        <vt:i4>5</vt:i4>
      </vt:variant>
      <vt:variant>
        <vt:lpwstr/>
      </vt:variant>
      <vt:variant>
        <vt:lpwstr>_Toc290548386</vt:lpwstr>
      </vt:variant>
      <vt:variant>
        <vt:i4>1769525</vt:i4>
      </vt:variant>
      <vt:variant>
        <vt:i4>62</vt:i4>
      </vt:variant>
      <vt:variant>
        <vt:i4>0</vt:i4>
      </vt:variant>
      <vt:variant>
        <vt:i4>5</vt:i4>
      </vt:variant>
      <vt:variant>
        <vt:lpwstr/>
      </vt:variant>
      <vt:variant>
        <vt:lpwstr>_Toc290548385</vt:lpwstr>
      </vt:variant>
      <vt:variant>
        <vt:i4>1769525</vt:i4>
      </vt:variant>
      <vt:variant>
        <vt:i4>56</vt:i4>
      </vt:variant>
      <vt:variant>
        <vt:i4>0</vt:i4>
      </vt:variant>
      <vt:variant>
        <vt:i4>5</vt:i4>
      </vt:variant>
      <vt:variant>
        <vt:lpwstr/>
      </vt:variant>
      <vt:variant>
        <vt:lpwstr>_Toc290548384</vt:lpwstr>
      </vt:variant>
      <vt:variant>
        <vt:i4>1769525</vt:i4>
      </vt:variant>
      <vt:variant>
        <vt:i4>50</vt:i4>
      </vt:variant>
      <vt:variant>
        <vt:i4>0</vt:i4>
      </vt:variant>
      <vt:variant>
        <vt:i4>5</vt:i4>
      </vt:variant>
      <vt:variant>
        <vt:lpwstr/>
      </vt:variant>
      <vt:variant>
        <vt:lpwstr>_Toc290548383</vt:lpwstr>
      </vt:variant>
      <vt:variant>
        <vt:i4>1769525</vt:i4>
      </vt:variant>
      <vt:variant>
        <vt:i4>44</vt:i4>
      </vt:variant>
      <vt:variant>
        <vt:i4>0</vt:i4>
      </vt:variant>
      <vt:variant>
        <vt:i4>5</vt:i4>
      </vt:variant>
      <vt:variant>
        <vt:lpwstr/>
      </vt:variant>
      <vt:variant>
        <vt:lpwstr>_Toc290548382</vt:lpwstr>
      </vt:variant>
      <vt:variant>
        <vt:i4>1769525</vt:i4>
      </vt:variant>
      <vt:variant>
        <vt:i4>38</vt:i4>
      </vt:variant>
      <vt:variant>
        <vt:i4>0</vt:i4>
      </vt:variant>
      <vt:variant>
        <vt:i4>5</vt:i4>
      </vt:variant>
      <vt:variant>
        <vt:lpwstr/>
      </vt:variant>
      <vt:variant>
        <vt:lpwstr>_Toc290548381</vt:lpwstr>
      </vt:variant>
      <vt:variant>
        <vt:i4>1769525</vt:i4>
      </vt:variant>
      <vt:variant>
        <vt:i4>32</vt:i4>
      </vt:variant>
      <vt:variant>
        <vt:i4>0</vt:i4>
      </vt:variant>
      <vt:variant>
        <vt:i4>5</vt:i4>
      </vt:variant>
      <vt:variant>
        <vt:lpwstr/>
      </vt:variant>
      <vt:variant>
        <vt:lpwstr>_Toc290548380</vt:lpwstr>
      </vt:variant>
      <vt:variant>
        <vt:i4>1310773</vt:i4>
      </vt:variant>
      <vt:variant>
        <vt:i4>26</vt:i4>
      </vt:variant>
      <vt:variant>
        <vt:i4>0</vt:i4>
      </vt:variant>
      <vt:variant>
        <vt:i4>5</vt:i4>
      </vt:variant>
      <vt:variant>
        <vt:lpwstr/>
      </vt:variant>
      <vt:variant>
        <vt:lpwstr>_Toc290548379</vt:lpwstr>
      </vt:variant>
      <vt:variant>
        <vt:i4>1310773</vt:i4>
      </vt:variant>
      <vt:variant>
        <vt:i4>20</vt:i4>
      </vt:variant>
      <vt:variant>
        <vt:i4>0</vt:i4>
      </vt:variant>
      <vt:variant>
        <vt:i4>5</vt:i4>
      </vt:variant>
      <vt:variant>
        <vt:lpwstr/>
      </vt:variant>
      <vt:variant>
        <vt:lpwstr>_Toc290548378</vt:lpwstr>
      </vt:variant>
      <vt:variant>
        <vt:i4>1310773</vt:i4>
      </vt:variant>
      <vt:variant>
        <vt:i4>14</vt:i4>
      </vt:variant>
      <vt:variant>
        <vt:i4>0</vt:i4>
      </vt:variant>
      <vt:variant>
        <vt:i4>5</vt:i4>
      </vt:variant>
      <vt:variant>
        <vt:lpwstr/>
      </vt:variant>
      <vt:variant>
        <vt:lpwstr>_Toc290548377</vt:lpwstr>
      </vt:variant>
      <vt:variant>
        <vt:i4>1310773</vt:i4>
      </vt:variant>
      <vt:variant>
        <vt:i4>8</vt:i4>
      </vt:variant>
      <vt:variant>
        <vt:i4>0</vt:i4>
      </vt:variant>
      <vt:variant>
        <vt:i4>5</vt:i4>
      </vt:variant>
      <vt:variant>
        <vt:lpwstr/>
      </vt:variant>
      <vt:variant>
        <vt:lpwstr>_Toc290548376</vt:lpwstr>
      </vt:variant>
      <vt:variant>
        <vt:i4>1310773</vt:i4>
      </vt:variant>
      <vt:variant>
        <vt:i4>2</vt:i4>
      </vt:variant>
      <vt:variant>
        <vt:i4>0</vt:i4>
      </vt:variant>
      <vt:variant>
        <vt:i4>5</vt:i4>
      </vt:variant>
      <vt:variant>
        <vt:lpwstr/>
      </vt:variant>
      <vt:variant>
        <vt:lpwstr>_Toc290548375</vt:lpwstr>
      </vt:variant>
      <vt:variant>
        <vt:i4>3604500</vt:i4>
      </vt:variant>
      <vt:variant>
        <vt:i4>60032</vt:i4>
      </vt:variant>
      <vt:variant>
        <vt:i4>1025</vt:i4>
      </vt:variant>
      <vt:variant>
        <vt:i4>4</vt:i4>
      </vt:variant>
      <vt:variant>
        <vt:lpwstr>javascript:top.docjs.prev_hit(12)</vt:lpwstr>
      </vt:variant>
      <vt:variant>
        <vt:lpwstr/>
      </vt:variant>
      <vt:variant>
        <vt:i4>3407873</vt:i4>
      </vt:variant>
      <vt:variant>
        <vt:i4>60179</vt:i4>
      </vt:variant>
      <vt:variant>
        <vt:i4>1026</vt:i4>
      </vt:variant>
      <vt:variant>
        <vt:i4>4</vt:i4>
      </vt:variant>
      <vt:variant>
        <vt:lpwstr>javascript:top.docjs.next_hit(12)</vt:lpwstr>
      </vt:variant>
      <vt:variant>
        <vt:lpwstr/>
      </vt:variant>
      <vt:variant>
        <vt:i4>3932180</vt:i4>
      </vt:variant>
      <vt:variant>
        <vt:i4>60767</vt:i4>
      </vt:variant>
      <vt:variant>
        <vt:i4>1027</vt:i4>
      </vt:variant>
      <vt:variant>
        <vt:i4>4</vt:i4>
      </vt:variant>
      <vt:variant>
        <vt:lpwstr>javascript:top.docjs.prev_hit(19)</vt:lpwstr>
      </vt:variant>
      <vt:variant>
        <vt:lpwstr/>
      </vt:variant>
      <vt:variant>
        <vt:i4>4128769</vt:i4>
      </vt:variant>
      <vt:variant>
        <vt:i4>60914</vt:i4>
      </vt:variant>
      <vt:variant>
        <vt:i4>1028</vt:i4>
      </vt:variant>
      <vt:variant>
        <vt:i4>4</vt:i4>
      </vt:variant>
      <vt:variant>
        <vt:lpwstr>javascript:top.docjs.next_hit(19)</vt:lpwstr>
      </vt:variant>
      <vt:variant>
        <vt:lpwstr/>
      </vt:variant>
      <vt:variant>
        <vt:i4>3473431</vt:i4>
      </vt:variant>
      <vt:variant>
        <vt:i4>61166</vt:i4>
      </vt:variant>
      <vt:variant>
        <vt:i4>1029</vt:i4>
      </vt:variant>
      <vt:variant>
        <vt:i4>4</vt:i4>
      </vt:variant>
      <vt:variant>
        <vt:lpwstr>javascript:top.docjs.prev_hit(20)</vt:lpwstr>
      </vt:variant>
      <vt:variant>
        <vt:lpwstr/>
      </vt:variant>
      <vt:variant>
        <vt:i4>3538946</vt:i4>
      </vt:variant>
      <vt:variant>
        <vt:i4>61313</vt:i4>
      </vt:variant>
      <vt:variant>
        <vt:i4>1030</vt:i4>
      </vt:variant>
      <vt:variant>
        <vt:i4>4</vt:i4>
      </vt:variant>
      <vt:variant>
        <vt:lpwstr>javascript:top.docjs.next_hit(20)</vt:lpwstr>
      </vt:variant>
      <vt:variant>
        <vt:lpwstr/>
      </vt:variant>
      <vt:variant>
        <vt:i4>3538964</vt:i4>
      </vt:variant>
      <vt:variant>
        <vt:i4>62031</vt:i4>
      </vt:variant>
      <vt:variant>
        <vt:i4>1031</vt:i4>
      </vt:variant>
      <vt:variant>
        <vt:i4>4</vt:i4>
      </vt:variant>
      <vt:variant>
        <vt:lpwstr>javascript:top.docjs.prev_hit(13)</vt:lpwstr>
      </vt:variant>
      <vt:variant>
        <vt:lpwstr/>
      </vt:variant>
      <vt:variant>
        <vt:i4>3473409</vt:i4>
      </vt:variant>
      <vt:variant>
        <vt:i4>62178</vt:i4>
      </vt:variant>
      <vt:variant>
        <vt:i4>1032</vt:i4>
      </vt:variant>
      <vt:variant>
        <vt:i4>4</vt:i4>
      </vt:variant>
      <vt:variant>
        <vt:lpwstr>javascript:top.docjs.next_hit(13)</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Printed>2015-12-17T16:49:00Z</cp:lastPrinted>
  <dcterms:created xsi:type="dcterms:W3CDTF">2016-06-02T14:10:00Z</dcterms:created>
  <dcterms:modified xsi:type="dcterms:W3CDTF">2018-08-07T13:59:00Z</dcterms:modified>
</cp:coreProperties>
</file>