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Ex1.xml" ContentType="application/vnd.ms-office.chartex+xml"/>
  <Override PartName="/word/charts/style1.xml" ContentType="application/vnd.ms-office.chartstyle+xml"/>
  <Override PartName="/word/charts/colors1.xml" ContentType="application/vnd.ms-office.chartcolorstyle+xml"/>
  <Override PartName="/word/charts/chartEx2.xml" ContentType="application/vnd.ms-office.chartex+xml"/>
  <Override PartName="/word/charts/style2.xml" ContentType="application/vnd.ms-office.chartstyle+xml"/>
  <Override PartName="/word/charts/colors2.xml" ContentType="application/vnd.ms-office.chartcolorstyle+xml"/>
  <Override PartName="/word/charts/chart1.xml" ContentType="application/vnd.openxmlformats-officedocument.drawingml.chart+xml"/>
  <Override PartName="/word/charts/style3.xml" ContentType="application/vnd.ms-office.chartstyle+xml"/>
  <Override PartName="/word/charts/colors3.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6A09FC" w14:textId="77777777" w:rsidR="006127F8" w:rsidRDefault="00000000">
      <w:pPr>
        <w:jc w:val="center"/>
      </w:pPr>
      <w:r>
        <w:rPr>
          <w:b/>
          <w:color w:val="17365D"/>
          <w:sz w:val="46"/>
        </w:rPr>
        <w:t>PART C – DESCRIPTIVE STATISTICS</w:t>
      </w:r>
    </w:p>
    <w:p w14:paraId="5FEE2BDC" w14:textId="5786E320" w:rsidR="006127F8" w:rsidRDefault="00000000" w:rsidP="007F6366">
      <w:pPr>
        <w:jc w:val="center"/>
      </w:pPr>
      <w:r>
        <w:t>Describing commute time, comparing branches, measuring variability, and identifying outliers</w:t>
      </w:r>
    </w:p>
    <w:p w14:paraId="4F157B66" w14:textId="77777777" w:rsidR="006127F8" w:rsidRDefault="00000000">
      <w:pPr>
        <w:pStyle w:val="Heading1"/>
      </w:pPr>
      <w:r>
        <w:t>1. Executive Summary</w:t>
      </w:r>
    </w:p>
    <w:p w14:paraId="062BE827" w14:textId="04743F4F" w:rsidR="006127F8" w:rsidRDefault="00000000" w:rsidP="0000503C">
      <w:r>
        <w:t xml:space="preserve">The descriptive analysis shows that commute time varies substantially across students. The average commute is 45.92 minutes, while the median is lower at 33.20 minutes, indicating </w:t>
      </w:r>
      <w:r w:rsidRPr="007F6366">
        <w:rPr>
          <w:b/>
          <w:bCs/>
        </w:rPr>
        <w:t xml:space="preserve">a right-skewed distribution. </w:t>
      </w:r>
      <w:r>
        <w:t>A small group of students has very long commute times, producing 14 observations above the upper IQR fence of 118.70 minutes</w:t>
      </w:r>
      <w:r w:rsidR="00E34895">
        <w:t xml:space="preserve"> </w:t>
      </w:r>
      <w:r w:rsidR="00E34895" w:rsidRPr="00E34895">
        <w:rPr>
          <w:b/>
          <w:bCs/>
        </w:rPr>
        <w:t>(outliers)</w:t>
      </w:r>
      <w:r w:rsidR="00912010">
        <w:rPr>
          <w:b/>
          <w:bCs/>
        </w:rPr>
        <w:t>,</w:t>
      </w:r>
      <w:r w:rsidR="0000503C">
        <w:rPr>
          <w:b/>
          <w:bCs/>
        </w:rPr>
        <w:t xml:space="preserve"> </w:t>
      </w:r>
      <w:r w:rsidR="0000503C" w:rsidRPr="0000503C">
        <w:rPr>
          <w:b/>
          <w:bCs/>
        </w:rPr>
        <w:t xml:space="preserve">Most of the extreme commute observations are concentrated </w:t>
      </w:r>
      <w:r w:rsidR="0000503C" w:rsidRPr="006655ED">
        <w:t>in Cairo</w:t>
      </w:r>
      <w:r w:rsidR="00912010">
        <w:t xml:space="preserve"> </w:t>
      </w:r>
      <w:r w:rsidR="00912010" w:rsidRPr="00880039">
        <w:rPr>
          <w:b/>
          <w:bCs/>
        </w:rPr>
        <w:t xml:space="preserve">(10 / </w:t>
      </w:r>
      <w:proofErr w:type="gramStart"/>
      <w:r w:rsidR="00912010" w:rsidRPr="00880039">
        <w:rPr>
          <w:b/>
          <w:bCs/>
        </w:rPr>
        <w:t>14</w:t>
      </w:r>
      <w:r w:rsidR="00912010">
        <w:t xml:space="preserve"> )</w:t>
      </w:r>
      <w:proofErr w:type="gramEnd"/>
      <w:r w:rsidR="00880039">
        <w:t xml:space="preserve"> </w:t>
      </w:r>
      <w:r w:rsidR="0000503C" w:rsidRPr="0000503C">
        <w:rPr>
          <w:b/>
          <w:bCs/>
        </w:rPr>
        <w:t xml:space="preserve">, suggesting substantially greater commuting variability in this </w:t>
      </w:r>
      <w:proofErr w:type="gramStart"/>
      <w:r w:rsidR="0000503C" w:rsidRPr="0000503C">
        <w:rPr>
          <w:b/>
          <w:bCs/>
        </w:rPr>
        <w:t>branch.</w:t>
      </w:r>
      <w:r w:rsidRPr="00E34895">
        <w:rPr>
          <w:b/>
          <w:bCs/>
        </w:rPr>
        <w:t>.</w:t>
      </w:r>
      <w:proofErr w:type="gramEnd"/>
    </w:p>
    <w:p w14:paraId="5D75C974" w14:textId="77777777" w:rsidR="006127F8" w:rsidRDefault="00000000">
      <w:r>
        <w:t>Branch-level results also show meaningful differences. Cairo has the highest average commute time at about 61.4 minutes, while Assiut has the lowest at about 26.0 minutes. In contrast, final scores are much less variable than commute times: the coefficient of variation is approximately 12.28% for final score versus 87.69% for commute time.</w:t>
      </w:r>
    </w:p>
    <w:p w14:paraId="0ABE4435" w14:textId="09B14ED1" w:rsidR="006127F8" w:rsidRDefault="00000000">
      <w:pPr>
        <w:pStyle w:val="Heading1"/>
      </w:pPr>
      <w:r>
        <w:t xml:space="preserve">2. </w:t>
      </w:r>
      <w:r w:rsidR="007F6366">
        <w:t xml:space="preserve">All </w:t>
      </w:r>
      <w:r w:rsidR="006655ED">
        <w:t>D</w:t>
      </w:r>
      <w:r w:rsidR="007F6366">
        <w:t>escriptiv</w:t>
      </w:r>
      <w:r w:rsidR="006655ED">
        <w:t>es</w:t>
      </w:r>
      <w:r w:rsidR="007F6366">
        <w:t xml:space="preserve"> </w:t>
      </w:r>
      <w:r w:rsidR="00880039">
        <w:t>S</w:t>
      </w:r>
      <w:r w:rsidR="007F6366">
        <w:t xml:space="preserve">tats </w:t>
      </w:r>
    </w:p>
    <w:p w14:paraId="3AB64B54" w14:textId="77777777" w:rsidR="007F6366" w:rsidRPr="007F6366" w:rsidRDefault="007F6366" w:rsidP="007F6366"/>
    <w:tbl>
      <w:tblPr>
        <w:tblStyle w:val="TableGrid"/>
        <w:tblW w:w="0" w:type="auto"/>
        <w:jc w:val="center"/>
        <w:tblLook w:val="04A0" w:firstRow="1" w:lastRow="0" w:firstColumn="1" w:lastColumn="0" w:noHBand="0" w:noVBand="1"/>
      </w:tblPr>
      <w:tblGrid>
        <w:gridCol w:w="2556"/>
        <w:gridCol w:w="2556"/>
        <w:gridCol w:w="2556"/>
      </w:tblGrid>
      <w:tr w:rsidR="007F6366" w14:paraId="15FDAE5B" w14:textId="77777777">
        <w:trPr>
          <w:jc w:val="center"/>
        </w:trPr>
        <w:tc>
          <w:tcPr>
            <w:tcW w:w="2556" w:type="dxa"/>
            <w:shd w:val="clear" w:color="auto" w:fill="17365D"/>
            <w:vAlign w:val="center"/>
          </w:tcPr>
          <w:p w14:paraId="404B494B" w14:textId="77777777" w:rsidR="007F6366" w:rsidRDefault="007F6366">
            <w:pPr>
              <w:jc w:val="center"/>
            </w:pPr>
            <w:r>
              <w:rPr>
                <w:b/>
                <w:color w:val="FFFFFF"/>
                <w:sz w:val="19"/>
              </w:rPr>
              <w:t>Measure</w:t>
            </w:r>
          </w:p>
        </w:tc>
        <w:tc>
          <w:tcPr>
            <w:tcW w:w="2556" w:type="dxa"/>
            <w:shd w:val="clear" w:color="auto" w:fill="17365D"/>
            <w:vAlign w:val="center"/>
          </w:tcPr>
          <w:p w14:paraId="2347AA40" w14:textId="77777777" w:rsidR="007F6366" w:rsidRDefault="007F6366">
            <w:pPr>
              <w:jc w:val="center"/>
            </w:pPr>
            <w:r>
              <w:rPr>
                <w:b/>
                <w:color w:val="FFFFFF"/>
                <w:sz w:val="19"/>
              </w:rPr>
              <w:t>Commute Minutes</w:t>
            </w:r>
          </w:p>
        </w:tc>
        <w:tc>
          <w:tcPr>
            <w:tcW w:w="2556" w:type="dxa"/>
            <w:shd w:val="clear" w:color="auto" w:fill="17365D"/>
            <w:vAlign w:val="center"/>
          </w:tcPr>
          <w:p w14:paraId="0F5B113A" w14:textId="77777777" w:rsidR="007F6366" w:rsidRDefault="007F6366">
            <w:pPr>
              <w:jc w:val="center"/>
            </w:pPr>
            <w:r>
              <w:rPr>
                <w:b/>
                <w:color w:val="FFFFFF"/>
                <w:sz w:val="19"/>
              </w:rPr>
              <w:t>Final Score</w:t>
            </w:r>
          </w:p>
        </w:tc>
      </w:tr>
      <w:tr w:rsidR="007F6366" w14:paraId="7402260C" w14:textId="77777777">
        <w:trPr>
          <w:jc w:val="center"/>
        </w:trPr>
        <w:tc>
          <w:tcPr>
            <w:tcW w:w="2556" w:type="dxa"/>
            <w:vAlign w:val="center"/>
          </w:tcPr>
          <w:p w14:paraId="40169766" w14:textId="77777777" w:rsidR="007F6366" w:rsidRDefault="007F6366">
            <w:pPr>
              <w:jc w:val="center"/>
            </w:pPr>
            <w:r>
              <w:rPr>
                <w:sz w:val="18"/>
              </w:rPr>
              <w:t>Valid observations (N)</w:t>
            </w:r>
          </w:p>
        </w:tc>
        <w:tc>
          <w:tcPr>
            <w:tcW w:w="2556" w:type="dxa"/>
            <w:vAlign w:val="center"/>
          </w:tcPr>
          <w:p w14:paraId="3DBB02B1" w14:textId="77777777" w:rsidR="007F6366" w:rsidRDefault="007F6366">
            <w:pPr>
              <w:jc w:val="center"/>
            </w:pPr>
            <w:r>
              <w:rPr>
                <w:sz w:val="18"/>
              </w:rPr>
              <w:t>243</w:t>
            </w:r>
          </w:p>
        </w:tc>
        <w:tc>
          <w:tcPr>
            <w:tcW w:w="2556" w:type="dxa"/>
            <w:vAlign w:val="center"/>
          </w:tcPr>
          <w:p w14:paraId="4A630396" w14:textId="77777777" w:rsidR="007F6366" w:rsidRDefault="007F6366">
            <w:pPr>
              <w:jc w:val="center"/>
            </w:pPr>
            <w:r>
              <w:rPr>
                <w:sz w:val="18"/>
              </w:rPr>
              <w:t>241</w:t>
            </w:r>
          </w:p>
        </w:tc>
      </w:tr>
      <w:tr w:rsidR="007F6366" w14:paraId="21006CB6" w14:textId="77777777">
        <w:trPr>
          <w:jc w:val="center"/>
        </w:trPr>
        <w:tc>
          <w:tcPr>
            <w:tcW w:w="2556" w:type="dxa"/>
            <w:vAlign w:val="center"/>
          </w:tcPr>
          <w:p w14:paraId="117A9146" w14:textId="77777777" w:rsidR="007F6366" w:rsidRDefault="007F6366">
            <w:pPr>
              <w:jc w:val="center"/>
            </w:pPr>
            <w:r>
              <w:rPr>
                <w:sz w:val="18"/>
              </w:rPr>
              <w:t>Mean</w:t>
            </w:r>
          </w:p>
        </w:tc>
        <w:tc>
          <w:tcPr>
            <w:tcW w:w="2556" w:type="dxa"/>
            <w:vAlign w:val="center"/>
          </w:tcPr>
          <w:p w14:paraId="2623E819" w14:textId="77777777" w:rsidR="007F6366" w:rsidRDefault="007F6366">
            <w:pPr>
              <w:jc w:val="center"/>
            </w:pPr>
            <w:r>
              <w:rPr>
                <w:sz w:val="18"/>
              </w:rPr>
              <w:t>45.92 min</w:t>
            </w:r>
          </w:p>
        </w:tc>
        <w:tc>
          <w:tcPr>
            <w:tcW w:w="2556" w:type="dxa"/>
            <w:vAlign w:val="center"/>
          </w:tcPr>
          <w:p w14:paraId="4A8BCD5D" w14:textId="77777777" w:rsidR="007F6366" w:rsidRDefault="007F6366">
            <w:pPr>
              <w:jc w:val="center"/>
            </w:pPr>
            <w:r>
              <w:rPr>
                <w:sz w:val="18"/>
              </w:rPr>
              <w:t>79.25</w:t>
            </w:r>
          </w:p>
        </w:tc>
      </w:tr>
      <w:tr w:rsidR="007F6366" w14:paraId="5CD727D5" w14:textId="77777777">
        <w:trPr>
          <w:jc w:val="center"/>
        </w:trPr>
        <w:tc>
          <w:tcPr>
            <w:tcW w:w="2556" w:type="dxa"/>
            <w:vAlign w:val="center"/>
          </w:tcPr>
          <w:p w14:paraId="28573B4A" w14:textId="77777777" w:rsidR="007F6366" w:rsidRDefault="007F6366">
            <w:pPr>
              <w:jc w:val="center"/>
            </w:pPr>
            <w:r>
              <w:rPr>
                <w:sz w:val="18"/>
              </w:rPr>
              <w:t>Median</w:t>
            </w:r>
          </w:p>
        </w:tc>
        <w:tc>
          <w:tcPr>
            <w:tcW w:w="2556" w:type="dxa"/>
            <w:vAlign w:val="center"/>
          </w:tcPr>
          <w:p w14:paraId="358A5010" w14:textId="77777777" w:rsidR="007F6366" w:rsidRDefault="007F6366">
            <w:pPr>
              <w:jc w:val="center"/>
            </w:pPr>
            <w:r>
              <w:rPr>
                <w:sz w:val="18"/>
              </w:rPr>
              <w:t>33.20 min</w:t>
            </w:r>
          </w:p>
        </w:tc>
        <w:tc>
          <w:tcPr>
            <w:tcW w:w="2556" w:type="dxa"/>
            <w:vAlign w:val="center"/>
          </w:tcPr>
          <w:p w14:paraId="162E48E9" w14:textId="77777777" w:rsidR="007F6366" w:rsidRDefault="007F6366">
            <w:pPr>
              <w:jc w:val="center"/>
            </w:pPr>
            <w:r>
              <w:rPr>
                <w:sz w:val="18"/>
              </w:rPr>
              <w:t>78.60</w:t>
            </w:r>
          </w:p>
        </w:tc>
      </w:tr>
      <w:tr w:rsidR="007F6366" w14:paraId="254E741A" w14:textId="77777777">
        <w:trPr>
          <w:jc w:val="center"/>
        </w:trPr>
        <w:tc>
          <w:tcPr>
            <w:tcW w:w="2556" w:type="dxa"/>
            <w:vAlign w:val="center"/>
          </w:tcPr>
          <w:p w14:paraId="45200F9D" w14:textId="77777777" w:rsidR="007F6366" w:rsidRDefault="007F6366">
            <w:pPr>
              <w:jc w:val="center"/>
            </w:pPr>
            <w:r>
              <w:rPr>
                <w:sz w:val="18"/>
              </w:rPr>
              <w:t>Standard deviation</w:t>
            </w:r>
          </w:p>
        </w:tc>
        <w:tc>
          <w:tcPr>
            <w:tcW w:w="2556" w:type="dxa"/>
            <w:vAlign w:val="center"/>
          </w:tcPr>
          <w:p w14:paraId="7A03CFD3" w14:textId="77777777" w:rsidR="007F6366" w:rsidRDefault="007F6366">
            <w:pPr>
              <w:jc w:val="center"/>
            </w:pPr>
            <w:r>
              <w:rPr>
                <w:sz w:val="18"/>
              </w:rPr>
              <w:t>40.27 min</w:t>
            </w:r>
          </w:p>
        </w:tc>
        <w:tc>
          <w:tcPr>
            <w:tcW w:w="2556" w:type="dxa"/>
            <w:vAlign w:val="center"/>
          </w:tcPr>
          <w:p w14:paraId="7F48D107" w14:textId="77777777" w:rsidR="007F6366" w:rsidRDefault="007F6366">
            <w:pPr>
              <w:jc w:val="center"/>
            </w:pPr>
            <w:r>
              <w:rPr>
                <w:sz w:val="18"/>
              </w:rPr>
              <w:t>9.73</w:t>
            </w:r>
          </w:p>
        </w:tc>
      </w:tr>
      <w:tr w:rsidR="007F6366" w14:paraId="52E5CE1F" w14:textId="77777777">
        <w:trPr>
          <w:jc w:val="center"/>
        </w:trPr>
        <w:tc>
          <w:tcPr>
            <w:tcW w:w="2556" w:type="dxa"/>
            <w:vAlign w:val="center"/>
          </w:tcPr>
          <w:p w14:paraId="4DC8DA84" w14:textId="77777777" w:rsidR="007F6366" w:rsidRDefault="007F6366">
            <w:pPr>
              <w:jc w:val="center"/>
            </w:pPr>
            <w:r>
              <w:rPr>
                <w:sz w:val="18"/>
              </w:rPr>
              <w:t>Minimum</w:t>
            </w:r>
          </w:p>
        </w:tc>
        <w:tc>
          <w:tcPr>
            <w:tcW w:w="2556" w:type="dxa"/>
            <w:vAlign w:val="center"/>
          </w:tcPr>
          <w:p w14:paraId="2D73E853" w14:textId="77777777" w:rsidR="007F6366" w:rsidRDefault="007F6366">
            <w:pPr>
              <w:jc w:val="center"/>
            </w:pPr>
            <w:r>
              <w:rPr>
                <w:sz w:val="18"/>
              </w:rPr>
              <w:t>5.0 min</w:t>
            </w:r>
          </w:p>
        </w:tc>
        <w:tc>
          <w:tcPr>
            <w:tcW w:w="2556" w:type="dxa"/>
            <w:vAlign w:val="center"/>
          </w:tcPr>
          <w:p w14:paraId="52A480FB" w14:textId="77777777" w:rsidR="007F6366" w:rsidRDefault="007F6366">
            <w:pPr>
              <w:jc w:val="center"/>
            </w:pPr>
            <w:r>
              <w:rPr>
                <w:sz w:val="18"/>
              </w:rPr>
              <w:t>50.4</w:t>
            </w:r>
          </w:p>
        </w:tc>
      </w:tr>
      <w:tr w:rsidR="007F6366" w14:paraId="089A1392" w14:textId="77777777">
        <w:trPr>
          <w:jc w:val="center"/>
        </w:trPr>
        <w:tc>
          <w:tcPr>
            <w:tcW w:w="2556" w:type="dxa"/>
            <w:vAlign w:val="center"/>
          </w:tcPr>
          <w:p w14:paraId="55216788" w14:textId="77777777" w:rsidR="007F6366" w:rsidRDefault="007F6366">
            <w:pPr>
              <w:jc w:val="center"/>
            </w:pPr>
            <w:r>
              <w:rPr>
                <w:sz w:val="18"/>
              </w:rPr>
              <w:t>Maximum</w:t>
            </w:r>
          </w:p>
        </w:tc>
        <w:tc>
          <w:tcPr>
            <w:tcW w:w="2556" w:type="dxa"/>
            <w:vAlign w:val="center"/>
          </w:tcPr>
          <w:p w14:paraId="7D8DB84D" w14:textId="77777777" w:rsidR="007F6366" w:rsidRDefault="007F6366">
            <w:pPr>
              <w:jc w:val="center"/>
            </w:pPr>
            <w:r>
              <w:rPr>
                <w:sz w:val="18"/>
              </w:rPr>
              <w:t>256.5 min</w:t>
            </w:r>
          </w:p>
        </w:tc>
        <w:tc>
          <w:tcPr>
            <w:tcW w:w="2556" w:type="dxa"/>
            <w:vAlign w:val="center"/>
          </w:tcPr>
          <w:p w14:paraId="40E45164" w14:textId="77777777" w:rsidR="007F6366" w:rsidRDefault="007F6366">
            <w:pPr>
              <w:jc w:val="center"/>
            </w:pPr>
            <w:r>
              <w:rPr>
                <w:sz w:val="18"/>
              </w:rPr>
              <w:t>100.0</w:t>
            </w:r>
          </w:p>
        </w:tc>
      </w:tr>
      <w:tr w:rsidR="007F6366" w14:paraId="3FD58FA0" w14:textId="77777777">
        <w:trPr>
          <w:jc w:val="center"/>
        </w:trPr>
        <w:tc>
          <w:tcPr>
            <w:tcW w:w="2556" w:type="dxa"/>
            <w:vAlign w:val="center"/>
          </w:tcPr>
          <w:p w14:paraId="19ED8AF4" w14:textId="77777777" w:rsidR="007F6366" w:rsidRDefault="007F6366">
            <w:pPr>
              <w:jc w:val="center"/>
            </w:pPr>
            <w:r>
              <w:rPr>
                <w:sz w:val="18"/>
              </w:rPr>
              <w:t>Range</w:t>
            </w:r>
          </w:p>
        </w:tc>
        <w:tc>
          <w:tcPr>
            <w:tcW w:w="2556" w:type="dxa"/>
            <w:vAlign w:val="center"/>
          </w:tcPr>
          <w:p w14:paraId="48F86DFC" w14:textId="77777777" w:rsidR="007F6366" w:rsidRDefault="007F6366">
            <w:pPr>
              <w:jc w:val="center"/>
            </w:pPr>
            <w:r>
              <w:rPr>
                <w:sz w:val="18"/>
              </w:rPr>
              <w:t>251.5 min</w:t>
            </w:r>
          </w:p>
        </w:tc>
        <w:tc>
          <w:tcPr>
            <w:tcW w:w="2556" w:type="dxa"/>
            <w:vAlign w:val="center"/>
          </w:tcPr>
          <w:p w14:paraId="7DA030FD" w14:textId="77777777" w:rsidR="007F6366" w:rsidRDefault="007F6366">
            <w:pPr>
              <w:jc w:val="center"/>
            </w:pPr>
            <w:r>
              <w:rPr>
                <w:sz w:val="18"/>
              </w:rPr>
              <w:t>49.6</w:t>
            </w:r>
          </w:p>
        </w:tc>
      </w:tr>
      <w:tr w:rsidR="007F6366" w14:paraId="080A5DA4" w14:textId="77777777">
        <w:trPr>
          <w:jc w:val="center"/>
        </w:trPr>
        <w:tc>
          <w:tcPr>
            <w:tcW w:w="2556" w:type="dxa"/>
            <w:vAlign w:val="center"/>
          </w:tcPr>
          <w:p w14:paraId="7EF3D4AC" w14:textId="77777777" w:rsidR="007F6366" w:rsidRDefault="007F6366">
            <w:pPr>
              <w:jc w:val="center"/>
            </w:pPr>
            <w:r>
              <w:rPr>
                <w:sz w:val="18"/>
              </w:rPr>
              <w:t>Q1</w:t>
            </w:r>
          </w:p>
        </w:tc>
        <w:tc>
          <w:tcPr>
            <w:tcW w:w="2556" w:type="dxa"/>
            <w:vAlign w:val="center"/>
          </w:tcPr>
          <w:p w14:paraId="6B32CBBC" w14:textId="77777777" w:rsidR="007F6366" w:rsidRDefault="007F6366">
            <w:pPr>
              <w:jc w:val="center"/>
            </w:pPr>
            <w:r>
              <w:rPr>
                <w:sz w:val="18"/>
              </w:rPr>
              <w:t>19.95 min</w:t>
            </w:r>
          </w:p>
        </w:tc>
        <w:tc>
          <w:tcPr>
            <w:tcW w:w="2556" w:type="dxa"/>
            <w:vAlign w:val="center"/>
          </w:tcPr>
          <w:p w14:paraId="16BED1E0" w14:textId="77777777" w:rsidR="007F6366" w:rsidRDefault="007F6366">
            <w:pPr>
              <w:jc w:val="center"/>
            </w:pPr>
            <w:r>
              <w:rPr>
                <w:sz w:val="18"/>
              </w:rPr>
              <w:t>72.60</w:t>
            </w:r>
          </w:p>
        </w:tc>
      </w:tr>
      <w:tr w:rsidR="007F6366" w14:paraId="1669BB5D" w14:textId="77777777">
        <w:trPr>
          <w:jc w:val="center"/>
        </w:trPr>
        <w:tc>
          <w:tcPr>
            <w:tcW w:w="2556" w:type="dxa"/>
            <w:vAlign w:val="center"/>
          </w:tcPr>
          <w:p w14:paraId="10B719A6" w14:textId="77777777" w:rsidR="007F6366" w:rsidRDefault="007F6366">
            <w:pPr>
              <w:jc w:val="center"/>
            </w:pPr>
            <w:r>
              <w:rPr>
                <w:sz w:val="18"/>
              </w:rPr>
              <w:t>Q3</w:t>
            </w:r>
          </w:p>
        </w:tc>
        <w:tc>
          <w:tcPr>
            <w:tcW w:w="2556" w:type="dxa"/>
            <w:vAlign w:val="center"/>
          </w:tcPr>
          <w:p w14:paraId="5B5FAA34" w14:textId="77777777" w:rsidR="007F6366" w:rsidRDefault="007F6366">
            <w:pPr>
              <w:jc w:val="center"/>
            </w:pPr>
            <w:r>
              <w:rPr>
                <w:sz w:val="18"/>
              </w:rPr>
              <w:t>59.45 min</w:t>
            </w:r>
          </w:p>
        </w:tc>
        <w:tc>
          <w:tcPr>
            <w:tcW w:w="2556" w:type="dxa"/>
            <w:vAlign w:val="center"/>
          </w:tcPr>
          <w:p w14:paraId="00116FE0" w14:textId="77777777" w:rsidR="007F6366" w:rsidRDefault="007F6366">
            <w:pPr>
              <w:jc w:val="center"/>
            </w:pPr>
            <w:r>
              <w:rPr>
                <w:sz w:val="18"/>
              </w:rPr>
              <w:t>86.10</w:t>
            </w:r>
          </w:p>
        </w:tc>
      </w:tr>
      <w:tr w:rsidR="007F6366" w14:paraId="74A93F69" w14:textId="77777777">
        <w:trPr>
          <w:jc w:val="center"/>
        </w:trPr>
        <w:tc>
          <w:tcPr>
            <w:tcW w:w="2556" w:type="dxa"/>
            <w:vAlign w:val="center"/>
          </w:tcPr>
          <w:p w14:paraId="71459BA0" w14:textId="77777777" w:rsidR="007F6366" w:rsidRDefault="007F6366">
            <w:pPr>
              <w:jc w:val="center"/>
            </w:pPr>
            <w:r>
              <w:rPr>
                <w:sz w:val="18"/>
              </w:rPr>
              <w:t>IQR</w:t>
            </w:r>
          </w:p>
        </w:tc>
        <w:tc>
          <w:tcPr>
            <w:tcW w:w="2556" w:type="dxa"/>
            <w:vAlign w:val="center"/>
          </w:tcPr>
          <w:p w14:paraId="167035D9" w14:textId="77777777" w:rsidR="007F6366" w:rsidRDefault="007F6366">
            <w:pPr>
              <w:jc w:val="center"/>
            </w:pPr>
            <w:r>
              <w:rPr>
                <w:sz w:val="18"/>
              </w:rPr>
              <w:t>39.50 min</w:t>
            </w:r>
          </w:p>
        </w:tc>
        <w:tc>
          <w:tcPr>
            <w:tcW w:w="2556" w:type="dxa"/>
            <w:vAlign w:val="center"/>
          </w:tcPr>
          <w:p w14:paraId="69CE8EE3" w14:textId="77777777" w:rsidR="007F6366" w:rsidRDefault="007F6366">
            <w:pPr>
              <w:jc w:val="center"/>
            </w:pPr>
            <w:r>
              <w:rPr>
                <w:sz w:val="18"/>
              </w:rPr>
              <w:t>13.50</w:t>
            </w:r>
          </w:p>
        </w:tc>
      </w:tr>
      <w:tr w:rsidR="007F6366" w14:paraId="7F720BBD" w14:textId="77777777">
        <w:trPr>
          <w:jc w:val="center"/>
        </w:trPr>
        <w:tc>
          <w:tcPr>
            <w:tcW w:w="2556" w:type="dxa"/>
            <w:vAlign w:val="center"/>
          </w:tcPr>
          <w:p w14:paraId="1BF28C8B" w14:textId="77777777" w:rsidR="007F6366" w:rsidRDefault="007F6366">
            <w:pPr>
              <w:jc w:val="center"/>
            </w:pPr>
            <w:r>
              <w:rPr>
                <w:sz w:val="18"/>
              </w:rPr>
              <w:t>CV</w:t>
            </w:r>
          </w:p>
        </w:tc>
        <w:tc>
          <w:tcPr>
            <w:tcW w:w="2556" w:type="dxa"/>
            <w:vAlign w:val="center"/>
          </w:tcPr>
          <w:p w14:paraId="43066B77" w14:textId="77777777" w:rsidR="007F6366" w:rsidRDefault="007F6366">
            <w:pPr>
              <w:jc w:val="center"/>
            </w:pPr>
            <w:r>
              <w:rPr>
                <w:sz w:val="18"/>
              </w:rPr>
              <w:t>87.69%</w:t>
            </w:r>
          </w:p>
        </w:tc>
        <w:tc>
          <w:tcPr>
            <w:tcW w:w="2556" w:type="dxa"/>
            <w:vAlign w:val="center"/>
          </w:tcPr>
          <w:p w14:paraId="68558C32" w14:textId="77777777" w:rsidR="007F6366" w:rsidRDefault="007F6366">
            <w:pPr>
              <w:jc w:val="center"/>
            </w:pPr>
            <w:r>
              <w:rPr>
                <w:sz w:val="18"/>
              </w:rPr>
              <w:t>12.28%</w:t>
            </w:r>
          </w:p>
        </w:tc>
      </w:tr>
    </w:tbl>
    <w:p w14:paraId="55393CE2" w14:textId="77777777" w:rsidR="006127F8" w:rsidRDefault="006127F8"/>
    <w:p w14:paraId="0FE1813F" w14:textId="77777777" w:rsidR="006127F8" w:rsidRDefault="00000000">
      <w:pPr>
        <w:pStyle w:val="Heading1"/>
      </w:pPr>
      <w:r>
        <w:lastRenderedPageBreak/>
        <w:t>3. Visual 1 – Distribution of Student Commute Times</w:t>
      </w:r>
    </w:p>
    <w:p w14:paraId="59280AE1" w14:textId="70850423" w:rsidR="006127F8" w:rsidRDefault="00E34895">
      <w:pPr>
        <w:jc w:val="center"/>
      </w:pPr>
      <w:r>
        <w:rPr>
          <w:noProof/>
        </w:rPr>
        <mc:AlternateContent>
          <mc:Choice Requires="cx1">
            <w:drawing>
              <wp:inline distT="0" distB="0" distL="0" distR="0" wp14:anchorId="326470FF" wp14:editId="6F0E9D5A">
                <wp:extent cx="5012267" cy="2765933"/>
                <wp:effectExtent l="0" t="0" r="17145" b="15875"/>
                <wp:docPr id="843570040" name="Chart 1">
                  <a:extLst xmlns:a="http://schemas.openxmlformats.org/drawingml/2006/main">
                    <a:ext uri="{FF2B5EF4-FFF2-40B4-BE49-F238E27FC236}">
                      <a16:creationId xmlns:a16="http://schemas.microsoft.com/office/drawing/2014/main" id="{18470097-E92D-4D21-A186-CAE773F2B1D0}"/>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8"/>
                  </a:graphicData>
                </a:graphic>
              </wp:inline>
            </w:drawing>
          </mc:Choice>
          <mc:Fallback>
            <w:drawing>
              <wp:inline distT="0" distB="0" distL="0" distR="0" wp14:anchorId="326470FF" wp14:editId="6F0E9D5A">
                <wp:extent cx="5012267" cy="2765933"/>
                <wp:effectExtent l="0" t="0" r="17145" b="15875"/>
                <wp:docPr id="843570040" name="Chart 1">
                  <a:extLst xmlns:a="http://schemas.openxmlformats.org/drawingml/2006/main">
                    <a:ext uri="{FF2B5EF4-FFF2-40B4-BE49-F238E27FC236}">
                      <a16:creationId xmlns:a16="http://schemas.microsoft.com/office/drawing/2014/main" id="{18470097-E92D-4D21-A186-CAE773F2B1D0}"/>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843570040" name="Chart 1">
                          <a:extLst>
                            <a:ext uri="{FF2B5EF4-FFF2-40B4-BE49-F238E27FC236}">
                              <a16:creationId xmlns:a16="http://schemas.microsoft.com/office/drawing/2014/main" id="{18470097-E92D-4D21-A186-CAE773F2B1D0}"/>
                            </a:ext>
                          </a:extLst>
                        </pic:cNvPr>
                        <pic:cNvPicPr>
                          <a:picLocks noGrp="1" noRot="1" noChangeAspect="1" noMove="1" noResize="1" noEditPoints="1" noAdjustHandles="1" noChangeArrowheads="1" noChangeShapeType="1"/>
                        </pic:cNvPicPr>
                      </pic:nvPicPr>
                      <pic:blipFill>
                        <a:blip r:embed="rId9"/>
                        <a:stretch>
                          <a:fillRect/>
                        </a:stretch>
                      </pic:blipFill>
                      <pic:spPr>
                        <a:xfrm>
                          <a:off x="0" y="0"/>
                          <a:ext cx="5012055" cy="2765425"/>
                        </a:xfrm>
                        <a:prstGeom prst="rect">
                          <a:avLst/>
                        </a:prstGeom>
                      </pic:spPr>
                    </pic:pic>
                  </a:graphicData>
                </a:graphic>
              </wp:inline>
            </w:drawing>
          </mc:Fallback>
        </mc:AlternateContent>
      </w:r>
    </w:p>
    <w:p w14:paraId="70362E08" w14:textId="77777777" w:rsidR="006127F8" w:rsidRDefault="00000000">
      <w:pPr>
        <w:jc w:val="center"/>
      </w:pPr>
      <w:r>
        <w:rPr>
          <w:i/>
          <w:color w:val="666666"/>
          <w:sz w:val="18"/>
        </w:rPr>
        <w:t>3. Visual 1 – Distribution of Student Commute Times</w:t>
      </w:r>
    </w:p>
    <w:p w14:paraId="6990D001" w14:textId="77777777" w:rsidR="006127F8" w:rsidRDefault="00000000">
      <w:pPr>
        <w:pStyle w:val="Heading2"/>
      </w:pPr>
      <w:r>
        <w:t>What the histogram shows</w:t>
      </w:r>
    </w:p>
    <w:p w14:paraId="7388B42A" w14:textId="77777777" w:rsidR="006127F8" w:rsidRDefault="00000000">
      <w:pPr>
        <w:spacing w:after="120"/>
      </w:pPr>
      <w:r>
        <w:t>The histogram displays how the 243 valid commute-time observations are distributed across time intervals.</w:t>
      </w:r>
    </w:p>
    <w:p w14:paraId="5E74AE7C" w14:textId="77777777" w:rsidR="006127F8" w:rsidRDefault="00000000">
      <w:pPr>
        <w:spacing w:after="120"/>
      </w:pPr>
      <w:r>
        <w:t>Most observations are concentrated toward the lower end of the scale. The frequency drops as commute time increases, while a long tail extends far to the right.</w:t>
      </w:r>
    </w:p>
    <w:p w14:paraId="41B3D688" w14:textId="2B3A0370" w:rsidR="00E34895" w:rsidRDefault="00000000" w:rsidP="00E34895">
      <w:pPr>
        <w:spacing w:after="120"/>
      </w:pPr>
      <w:r>
        <w:t xml:space="preserve">This is a </w:t>
      </w:r>
      <w:r w:rsidRPr="007F6366">
        <w:rPr>
          <w:b/>
          <w:bCs/>
        </w:rPr>
        <w:t>positively skewed (right-skewed) distribution</w:t>
      </w:r>
      <w:r>
        <w:t xml:space="preserve">. The mean (45.92 minutes) is </w:t>
      </w:r>
      <w:r w:rsidRPr="007F6366">
        <w:rPr>
          <w:b/>
          <w:bCs/>
        </w:rPr>
        <w:t>noticeably higher</w:t>
      </w:r>
      <w:r>
        <w:t xml:space="preserve"> than the median (33.20 minutes), </w:t>
      </w:r>
      <w:proofErr w:type="gramStart"/>
      <w:r>
        <w:t>which is consistent with</w:t>
      </w:r>
      <w:proofErr w:type="gramEnd"/>
      <w:r>
        <w:t xml:space="preserve"> a small number of very long commutes pulling the average upward.</w:t>
      </w:r>
    </w:p>
    <w:tbl>
      <w:tblPr>
        <w:tblW w:w="0" w:type="auto"/>
        <w:jc w:val="center"/>
        <w:tblLook w:val="04A0" w:firstRow="1" w:lastRow="0" w:firstColumn="1" w:lastColumn="0" w:noHBand="0" w:noVBand="1"/>
      </w:tblPr>
      <w:tblGrid>
        <w:gridCol w:w="10224"/>
      </w:tblGrid>
      <w:tr w:rsidR="006127F8" w14:paraId="34D4CE93" w14:textId="77777777">
        <w:trPr>
          <w:jc w:val="center"/>
        </w:trPr>
        <w:tc>
          <w:tcPr>
            <w:tcW w:w="10224" w:type="dxa"/>
            <w:shd w:val="clear" w:color="auto" w:fill="EAF2F8"/>
          </w:tcPr>
          <w:p w14:paraId="18815634" w14:textId="77777777" w:rsidR="006127F8" w:rsidRDefault="00000000">
            <w:pPr>
              <w:spacing w:after="0"/>
            </w:pPr>
            <w:r>
              <w:rPr>
                <w:b/>
                <w:color w:val="17365D"/>
              </w:rPr>
              <w:t>Key interpretation</w:t>
            </w:r>
            <w:r>
              <w:rPr>
                <w:b/>
                <w:color w:val="17365D"/>
              </w:rPr>
              <w:br/>
            </w:r>
            <w:r>
              <w:rPr>
                <w:sz w:val="20"/>
              </w:rPr>
              <w:t>The typical commute is around 33 minutes based on the median, but the average rises to about 46 minutes because a smaller group of students has much longer journeys.</w:t>
            </w:r>
          </w:p>
        </w:tc>
      </w:tr>
    </w:tbl>
    <w:p w14:paraId="6305B464" w14:textId="77777777" w:rsidR="006127F8" w:rsidRDefault="006127F8">
      <w:pPr>
        <w:spacing w:after="0"/>
      </w:pPr>
    </w:p>
    <w:p w14:paraId="6CE65C1B" w14:textId="77777777" w:rsidR="006127F8" w:rsidRDefault="00000000">
      <w:pPr>
        <w:pStyle w:val="Heading1"/>
      </w:pPr>
      <w:r>
        <w:lastRenderedPageBreak/>
        <w:t>4. Visual 2 – Commute Time by Branch</w:t>
      </w:r>
    </w:p>
    <w:p w14:paraId="5C687AB5" w14:textId="48105B59" w:rsidR="006127F8" w:rsidRDefault="00E34895">
      <w:pPr>
        <w:jc w:val="center"/>
      </w:pPr>
      <w:r>
        <w:rPr>
          <w:noProof/>
        </w:rPr>
        <mc:AlternateContent>
          <mc:Choice Requires="cx1">
            <w:drawing>
              <wp:inline distT="0" distB="0" distL="0" distR="0" wp14:anchorId="08515AC8" wp14:editId="3414663A">
                <wp:extent cx="5849592" cy="2773906"/>
                <wp:effectExtent l="0" t="0" r="18415" b="7620"/>
                <wp:docPr id="1083266940" name="Chart 1">
                  <a:extLst xmlns:a="http://schemas.openxmlformats.org/drawingml/2006/main">
                    <a:ext uri="{FF2B5EF4-FFF2-40B4-BE49-F238E27FC236}">
                      <a16:creationId xmlns:a16="http://schemas.microsoft.com/office/drawing/2014/main" id="{35E9F57F-2324-4069-90E2-2F3E6AB9DB5B}"/>
                    </a:ext>
                  </a:extLst>
                </wp:docPr>
                <wp:cNvGraphicFramePr/>
                <a:graphic xmlns:a="http://schemas.openxmlformats.org/drawingml/2006/main">
                  <a:graphicData uri="http://schemas.microsoft.com/office/drawing/2014/chartex">
                    <cx:chart xmlns:cx="http://schemas.microsoft.com/office/drawing/2014/chartex" xmlns:r="http://schemas.openxmlformats.org/officeDocument/2006/relationships" r:id="rId10"/>
                  </a:graphicData>
                </a:graphic>
              </wp:inline>
            </w:drawing>
          </mc:Choice>
          <mc:Fallback>
            <w:drawing>
              <wp:inline distT="0" distB="0" distL="0" distR="0" wp14:anchorId="08515AC8" wp14:editId="3414663A">
                <wp:extent cx="5849592" cy="2773906"/>
                <wp:effectExtent l="0" t="0" r="18415" b="7620"/>
                <wp:docPr id="1083266940" name="Chart 1">
                  <a:extLst xmlns:a="http://schemas.openxmlformats.org/drawingml/2006/main">
                    <a:ext uri="{FF2B5EF4-FFF2-40B4-BE49-F238E27FC236}">
                      <a16:creationId xmlns:a16="http://schemas.microsoft.com/office/drawing/2014/main" id="{35E9F57F-2324-4069-90E2-2F3E6AB9DB5B}"/>
                    </a:ext>
                  </a:extLst>
                </wp:docPr>
                <wp:cNvGraphicFramePr>
                  <a:graphicFrameLocks xmlns:a="http://schemas.openxmlformats.org/drawingml/2006/main" noGrp="1" noDrilldown="1" noSelect="1" noChangeAspect="1" noMove="1" noResize="1"/>
                </wp:cNvGraphicFramePr>
                <a:graphic xmlns:a="http://schemas.openxmlformats.org/drawingml/2006/main">
                  <a:graphicData uri="http://schemas.openxmlformats.org/drawingml/2006/picture">
                    <pic:pic xmlns:pic="http://schemas.openxmlformats.org/drawingml/2006/picture">
                      <pic:nvPicPr>
                        <pic:cNvPr id="1083266940" name="Chart 1">
                          <a:extLst>
                            <a:ext uri="{FF2B5EF4-FFF2-40B4-BE49-F238E27FC236}">
                              <a16:creationId xmlns:a16="http://schemas.microsoft.com/office/drawing/2014/main" id="{35E9F57F-2324-4069-90E2-2F3E6AB9DB5B}"/>
                            </a:ext>
                          </a:extLst>
                        </pic:cNvPr>
                        <pic:cNvPicPr>
                          <a:picLocks noGrp="1" noRot="1" noChangeAspect="1" noMove="1" noResize="1" noEditPoints="1" noAdjustHandles="1" noChangeArrowheads="1" noChangeShapeType="1"/>
                        </pic:cNvPicPr>
                      </pic:nvPicPr>
                      <pic:blipFill>
                        <a:blip r:embed="rId11"/>
                        <a:stretch>
                          <a:fillRect/>
                        </a:stretch>
                      </pic:blipFill>
                      <pic:spPr>
                        <a:xfrm>
                          <a:off x="0" y="0"/>
                          <a:ext cx="5848985" cy="2773680"/>
                        </a:xfrm>
                        <a:prstGeom prst="rect">
                          <a:avLst/>
                        </a:prstGeom>
                      </pic:spPr>
                    </pic:pic>
                  </a:graphicData>
                </a:graphic>
              </wp:inline>
            </w:drawing>
          </mc:Fallback>
        </mc:AlternateContent>
      </w:r>
    </w:p>
    <w:p w14:paraId="2F38582F" w14:textId="77777777" w:rsidR="006127F8" w:rsidRDefault="00000000">
      <w:pPr>
        <w:jc w:val="center"/>
      </w:pPr>
      <w:r>
        <w:rPr>
          <w:i/>
          <w:color w:val="666666"/>
          <w:sz w:val="18"/>
        </w:rPr>
        <w:t>4. Visual 2 – Commute Time by Branch</w:t>
      </w:r>
    </w:p>
    <w:p w14:paraId="1F9BC22B" w14:textId="77777777" w:rsidR="006127F8" w:rsidRDefault="00000000">
      <w:pPr>
        <w:pStyle w:val="Heading2"/>
      </w:pPr>
      <w:r>
        <w:t>What the boxplot shows</w:t>
      </w:r>
    </w:p>
    <w:p w14:paraId="35749CDA" w14:textId="77777777" w:rsidR="006127F8" w:rsidRDefault="00000000">
      <w:pPr>
        <w:spacing w:after="120"/>
      </w:pPr>
      <w:r>
        <w:t>The boxplot compares the center, spread, and unusually high commute times across the five branches. The line inside each box represents the median, the X marks the mean, the box represents the middle 50% of observations, and points beyond the whiskers represent potential outliers.</w:t>
      </w:r>
    </w:p>
    <w:p w14:paraId="55B217A2" w14:textId="77777777" w:rsidR="006127F8" w:rsidRDefault="00000000">
      <w:pPr>
        <w:spacing w:after="120"/>
      </w:pPr>
      <w:r w:rsidRPr="006655ED">
        <w:rPr>
          <w:b/>
          <w:bCs/>
        </w:rPr>
        <w:t>Cairo stands out</w:t>
      </w:r>
      <w:r>
        <w:t xml:space="preserve"> as the branch with the highest typical commute burden. Its mean is about 61.4 minutes and its median is about 46.8–50.1 minutes depending on the worksheet calculation stage; the final report should use the recalculated workbook values consistently.</w:t>
      </w:r>
    </w:p>
    <w:p w14:paraId="2C4183C9" w14:textId="77777777" w:rsidR="006127F8" w:rsidRDefault="00000000">
      <w:pPr>
        <w:spacing w:after="120"/>
      </w:pPr>
      <w:r w:rsidRPr="006655ED">
        <w:rPr>
          <w:b/>
          <w:bCs/>
        </w:rPr>
        <w:t xml:space="preserve">Assiut </w:t>
      </w:r>
      <w:r>
        <w:t>has the lowest average commute at about 26.0 minutes. Menoufia and Mansoura are also lower than Cairo, while Alexandria falls between Cairo and the lower-commute branches.</w:t>
      </w:r>
    </w:p>
    <w:p w14:paraId="68697901" w14:textId="77777777" w:rsidR="006127F8" w:rsidRDefault="00000000">
      <w:pPr>
        <w:pStyle w:val="ListBullet"/>
        <w:spacing w:after="60"/>
      </w:pPr>
      <w:r>
        <w:t>Cairo also shows substantial spread and several high-end observations.</w:t>
      </w:r>
    </w:p>
    <w:p w14:paraId="3154040A" w14:textId="77777777" w:rsidR="006127F8" w:rsidRDefault="00000000">
      <w:pPr>
        <w:pStyle w:val="ListBullet"/>
        <w:spacing w:after="60"/>
      </w:pPr>
      <w:r>
        <w:t>The branch comparison suggests that commuting conditions are not uniform across locations.</w:t>
      </w:r>
    </w:p>
    <w:p w14:paraId="7F2BC3F4" w14:textId="77777777" w:rsidR="006127F8" w:rsidRDefault="00000000">
      <w:pPr>
        <w:pStyle w:val="ListBullet"/>
        <w:spacing w:after="60"/>
      </w:pPr>
      <w:r>
        <w:t xml:space="preserve">This is </w:t>
      </w:r>
      <w:proofErr w:type="gramStart"/>
      <w:r>
        <w:t>descriptive evidence</w:t>
      </w:r>
      <w:proofErr w:type="gramEnd"/>
      <w:r>
        <w:t xml:space="preserve"> only; it does not establish that branch location causes differences in academic performance.</w:t>
      </w:r>
    </w:p>
    <w:p w14:paraId="32C56A10" w14:textId="77777777" w:rsidR="006655ED" w:rsidRDefault="006655ED" w:rsidP="006655ED">
      <w:pPr>
        <w:pStyle w:val="ListBullet"/>
        <w:numPr>
          <w:ilvl w:val="0"/>
          <w:numId w:val="0"/>
        </w:numPr>
        <w:spacing w:after="60"/>
        <w:ind w:left="360" w:hanging="360"/>
      </w:pPr>
    </w:p>
    <w:p w14:paraId="6118E5B5" w14:textId="53A0637B" w:rsidR="006655ED" w:rsidRPr="006655ED" w:rsidRDefault="00912010" w:rsidP="00912010">
      <w:pPr>
        <w:pStyle w:val="Heading1"/>
      </w:pPr>
      <w:r>
        <w:t xml:space="preserve">5. </w:t>
      </w:r>
      <w:r w:rsidR="006655ED" w:rsidRPr="006655ED">
        <w:t>Branch summary</w:t>
      </w:r>
    </w:p>
    <w:p w14:paraId="6C5EB3AD" w14:textId="77777777" w:rsidR="006655ED" w:rsidRDefault="006655ED" w:rsidP="006655ED">
      <w:pPr>
        <w:pStyle w:val="ListBullet"/>
        <w:numPr>
          <w:ilvl w:val="0"/>
          <w:numId w:val="0"/>
        </w:numPr>
        <w:spacing w:after="60"/>
        <w:ind w:left="360" w:hanging="360"/>
      </w:pPr>
    </w:p>
    <w:tbl>
      <w:tblPr>
        <w:tblW w:w="10480" w:type="dxa"/>
        <w:tblInd w:w="113" w:type="dxa"/>
        <w:tblLook w:val="04A0" w:firstRow="1" w:lastRow="0" w:firstColumn="1" w:lastColumn="0" w:noHBand="0" w:noVBand="1"/>
      </w:tblPr>
      <w:tblGrid>
        <w:gridCol w:w="3240"/>
        <w:gridCol w:w="2296"/>
        <w:gridCol w:w="1629"/>
        <w:gridCol w:w="1384"/>
        <w:gridCol w:w="1931"/>
      </w:tblGrid>
      <w:tr w:rsidR="006655ED" w:rsidRPr="006655ED" w14:paraId="7561BDE9" w14:textId="77777777" w:rsidTr="006655ED">
        <w:trPr>
          <w:trHeight w:val="300"/>
        </w:trPr>
        <w:tc>
          <w:tcPr>
            <w:tcW w:w="3240" w:type="dxa"/>
            <w:tcBorders>
              <w:top w:val="single" w:sz="4" w:space="0" w:color="CCCCCC"/>
              <w:left w:val="single" w:sz="4" w:space="0" w:color="CCCCCC"/>
              <w:bottom w:val="single" w:sz="4" w:space="0" w:color="CCCCCC"/>
              <w:right w:val="single" w:sz="4" w:space="0" w:color="CCCCCC"/>
            </w:tcBorders>
            <w:shd w:val="clear" w:color="333333" w:fill="1F3864"/>
            <w:vAlign w:val="center"/>
            <w:hideMark/>
          </w:tcPr>
          <w:p w14:paraId="54567152" w14:textId="77777777" w:rsidR="006655ED" w:rsidRPr="006655ED" w:rsidRDefault="006655ED" w:rsidP="006655ED">
            <w:pPr>
              <w:spacing w:after="0" w:line="240" w:lineRule="auto"/>
              <w:jc w:val="center"/>
              <w:rPr>
                <w:rFonts w:eastAsia="Times New Roman" w:cs="Arial"/>
                <w:b/>
                <w:bCs/>
                <w:color w:val="FFFFFF"/>
                <w:sz w:val="22"/>
              </w:rPr>
            </w:pPr>
            <w:r w:rsidRPr="006655ED">
              <w:rPr>
                <w:rFonts w:eastAsia="Times New Roman" w:cs="Arial"/>
                <w:b/>
                <w:bCs/>
                <w:color w:val="FFFFFF"/>
                <w:sz w:val="22"/>
              </w:rPr>
              <w:t>Branch</w:t>
            </w:r>
          </w:p>
        </w:tc>
        <w:tc>
          <w:tcPr>
            <w:tcW w:w="2296" w:type="dxa"/>
            <w:tcBorders>
              <w:top w:val="single" w:sz="4" w:space="0" w:color="CCCCCC"/>
              <w:left w:val="nil"/>
              <w:bottom w:val="single" w:sz="4" w:space="0" w:color="CCCCCC"/>
              <w:right w:val="single" w:sz="4" w:space="0" w:color="CCCCCC"/>
            </w:tcBorders>
            <w:shd w:val="clear" w:color="333333" w:fill="1F3864"/>
            <w:vAlign w:val="center"/>
            <w:hideMark/>
          </w:tcPr>
          <w:p w14:paraId="13464310" w14:textId="77777777" w:rsidR="006655ED" w:rsidRPr="006655ED" w:rsidRDefault="006655ED" w:rsidP="006655ED">
            <w:pPr>
              <w:spacing w:after="0" w:line="240" w:lineRule="auto"/>
              <w:jc w:val="center"/>
              <w:rPr>
                <w:rFonts w:eastAsia="Times New Roman" w:cs="Arial"/>
                <w:b/>
                <w:bCs/>
                <w:color w:val="FFFFFF"/>
                <w:sz w:val="22"/>
              </w:rPr>
            </w:pPr>
            <w:r w:rsidRPr="006655ED">
              <w:rPr>
                <w:rFonts w:eastAsia="Times New Roman" w:cs="Arial"/>
                <w:b/>
                <w:bCs/>
                <w:color w:val="FFFFFF"/>
                <w:sz w:val="22"/>
              </w:rPr>
              <w:t>Count</w:t>
            </w:r>
          </w:p>
        </w:tc>
        <w:tc>
          <w:tcPr>
            <w:tcW w:w="1629" w:type="dxa"/>
            <w:tcBorders>
              <w:top w:val="single" w:sz="4" w:space="0" w:color="CCCCCC"/>
              <w:left w:val="nil"/>
              <w:bottom w:val="single" w:sz="4" w:space="0" w:color="CCCCCC"/>
              <w:right w:val="single" w:sz="4" w:space="0" w:color="CCCCCC"/>
            </w:tcBorders>
            <w:shd w:val="clear" w:color="333333" w:fill="1F3864"/>
            <w:vAlign w:val="center"/>
            <w:hideMark/>
          </w:tcPr>
          <w:p w14:paraId="09878259" w14:textId="77777777" w:rsidR="006655ED" w:rsidRPr="006655ED" w:rsidRDefault="006655ED" w:rsidP="006655ED">
            <w:pPr>
              <w:spacing w:after="0" w:line="240" w:lineRule="auto"/>
              <w:jc w:val="center"/>
              <w:rPr>
                <w:rFonts w:eastAsia="Times New Roman" w:cs="Arial"/>
                <w:b/>
                <w:bCs/>
                <w:color w:val="FFFFFF"/>
                <w:sz w:val="22"/>
              </w:rPr>
            </w:pPr>
            <w:r w:rsidRPr="006655ED">
              <w:rPr>
                <w:rFonts w:eastAsia="Times New Roman" w:cs="Arial"/>
                <w:b/>
                <w:bCs/>
                <w:color w:val="FFFFFF"/>
                <w:sz w:val="22"/>
              </w:rPr>
              <w:t>Median</w:t>
            </w:r>
          </w:p>
        </w:tc>
        <w:tc>
          <w:tcPr>
            <w:tcW w:w="1384" w:type="dxa"/>
            <w:tcBorders>
              <w:top w:val="single" w:sz="4" w:space="0" w:color="CCCCCC"/>
              <w:left w:val="nil"/>
              <w:bottom w:val="single" w:sz="4" w:space="0" w:color="CCCCCC"/>
              <w:right w:val="nil"/>
            </w:tcBorders>
            <w:shd w:val="clear" w:color="333333" w:fill="1F3864"/>
            <w:vAlign w:val="center"/>
            <w:hideMark/>
          </w:tcPr>
          <w:p w14:paraId="2EA05963" w14:textId="77777777" w:rsidR="006655ED" w:rsidRPr="006655ED" w:rsidRDefault="006655ED" w:rsidP="006655ED">
            <w:pPr>
              <w:spacing w:after="0" w:line="240" w:lineRule="auto"/>
              <w:jc w:val="center"/>
              <w:rPr>
                <w:rFonts w:eastAsia="Times New Roman" w:cs="Arial"/>
                <w:b/>
                <w:bCs/>
                <w:color w:val="FFFFFF"/>
                <w:sz w:val="22"/>
              </w:rPr>
            </w:pPr>
            <w:r w:rsidRPr="006655ED">
              <w:rPr>
                <w:rFonts w:eastAsia="Times New Roman" w:cs="Arial"/>
                <w:b/>
                <w:bCs/>
                <w:color w:val="FFFFFF"/>
                <w:sz w:val="22"/>
              </w:rPr>
              <w:t>Std Dev</w:t>
            </w:r>
          </w:p>
        </w:tc>
        <w:tc>
          <w:tcPr>
            <w:tcW w:w="1931" w:type="dxa"/>
            <w:tcBorders>
              <w:top w:val="single" w:sz="4" w:space="0" w:color="auto"/>
              <w:left w:val="single" w:sz="4" w:space="0" w:color="auto"/>
              <w:bottom w:val="single" w:sz="4" w:space="0" w:color="auto"/>
              <w:right w:val="single" w:sz="4" w:space="0" w:color="auto"/>
            </w:tcBorders>
            <w:shd w:val="clear" w:color="333333" w:fill="1F3864"/>
            <w:vAlign w:val="center"/>
            <w:hideMark/>
          </w:tcPr>
          <w:p w14:paraId="589208A0" w14:textId="77777777" w:rsidR="006655ED" w:rsidRPr="006655ED" w:rsidRDefault="006655ED" w:rsidP="006655ED">
            <w:pPr>
              <w:spacing w:after="0" w:line="240" w:lineRule="auto"/>
              <w:jc w:val="center"/>
              <w:rPr>
                <w:rFonts w:eastAsia="Times New Roman" w:cs="Arial"/>
                <w:b/>
                <w:bCs/>
                <w:color w:val="FFFFFF"/>
                <w:sz w:val="22"/>
              </w:rPr>
            </w:pPr>
            <w:r w:rsidRPr="006655ED">
              <w:rPr>
                <w:rFonts w:eastAsia="Times New Roman" w:cs="Arial"/>
                <w:b/>
                <w:bCs/>
                <w:color w:val="FFFFFF"/>
                <w:sz w:val="22"/>
              </w:rPr>
              <w:t>Mean</w:t>
            </w:r>
          </w:p>
        </w:tc>
      </w:tr>
      <w:tr w:rsidR="006655ED" w:rsidRPr="006655ED" w14:paraId="63126B29" w14:textId="77777777" w:rsidTr="006655ED">
        <w:trPr>
          <w:trHeight w:val="300"/>
        </w:trPr>
        <w:tc>
          <w:tcPr>
            <w:tcW w:w="3240" w:type="dxa"/>
            <w:tcBorders>
              <w:top w:val="nil"/>
              <w:left w:val="single" w:sz="4" w:space="0" w:color="CCCCCC"/>
              <w:bottom w:val="single" w:sz="4" w:space="0" w:color="CCCCCC"/>
              <w:right w:val="single" w:sz="4" w:space="0" w:color="CCCCCC"/>
            </w:tcBorders>
            <w:shd w:val="clear" w:color="FDF2E3" w:fill="FFFFFF"/>
            <w:noWrap/>
            <w:vAlign w:val="bottom"/>
            <w:hideMark/>
          </w:tcPr>
          <w:p w14:paraId="41BF810A" w14:textId="77777777" w:rsidR="006655ED" w:rsidRPr="006655ED" w:rsidRDefault="006655ED" w:rsidP="006655ED">
            <w:pPr>
              <w:spacing w:after="0" w:line="240" w:lineRule="auto"/>
              <w:rPr>
                <w:rFonts w:eastAsia="Times New Roman" w:cs="Arial"/>
                <w:b/>
                <w:bCs/>
                <w:sz w:val="20"/>
                <w:szCs w:val="20"/>
              </w:rPr>
            </w:pPr>
            <w:r w:rsidRPr="006655ED">
              <w:rPr>
                <w:rFonts w:eastAsia="Times New Roman" w:cs="Arial"/>
                <w:b/>
                <w:bCs/>
                <w:sz w:val="20"/>
                <w:szCs w:val="20"/>
              </w:rPr>
              <w:t>Cairo</w:t>
            </w:r>
          </w:p>
        </w:tc>
        <w:tc>
          <w:tcPr>
            <w:tcW w:w="2296" w:type="dxa"/>
            <w:tcBorders>
              <w:top w:val="single" w:sz="8" w:space="0" w:color="CCCCCC"/>
              <w:left w:val="single" w:sz="8" w:space="0" w:color="CCCCCC"/>
              <w:bottom w:val="single" w:sz="8" w:space="0" w:color="CCCCCC"/>
              <w:right w:val="single" w:sz="8" w:space="0" w:color="CCCCCC"/>
            </w:tcBorders>
            <w:vAlign w:val="bottom"/>
            <w:hideMark/>
          </w:tcPr>
          <w:p w14:paraId="6AC63DF6" w14:textId="77777777" w:rsidR="006655ED" w:rsidRPr="006655ED" w:rsidRDefault="006655ED" w:rsidP="006655ED">
            <w:pPr>
              <w:spacing w:after="0" w:line="240" w:lineRule="auto"/>
              <w:jc w:val="right"/>
              <w:rPr>
                <w:rFonts w:eastAsia="Times New Roman" w:cs="Arial"/>
                <w:color w:val="000000"/>
                <w:sz w:val="20"/>
                <w:szCs w:val="20"/>
              </w:rPr>
            </w:pPr>
            <w:r w:rsidRPr="006655ED">
              <w:rPr>
                <w:rFonts w:eastAsia="Times New Roman" w:cs="Arial"/>
                <w:color w:val="000000"/>
                <w:sz w:val="20"/>
                <w:szCs w:val="20"/>
              </w:rPr>
              <w:t>95</w:t>
            </w:r>
          </w:p>
        </w:tc>
        <w:tc>
          <w:tcPr>
            <w:tcW w:w="1629" w:type="dxa"/>
            <w:tcBorders>
              <w:top w:val="single" w:sz="8" w:space="0" w:color="CCCCCC"/>
              <w:left w:val="nil"/>
              <w:bottom w:val="single" w:sz="8" w:space="0" w:color="CCCCCC"/>
              <w:right w:val="single" w:sz="8" w:space="0" w:color="CCCCCC"/>
            </w:tcBorders>
            <w:vAlign w:val="bottom"/>
            <w:hideMark/>
          </w:tcPr>
          <w:p w14:paraId="524404B2" w14:textId="77777777" w:rsidR="006655ED" w:rsidRPr="006655ED" w:rsidRDefault="006655ED" w:rsidP="006655ED">
            <w:pPr>
              <w:spacing w:after="0" w:line="240" w:lineRule="auto"/>
              <w:jc w:val="right"/>
              <w:rPr>
                <w:rFonts w:eastAsia="Times New Roman" w:cs="Arial"/>
                <w:color w:val="000000"/>
                <w:sz w:val="20"/>
                <w:szCs w:val="20"/>
              </w:rPr>
            </w:pPr>
            <w:r w:rsidRPr="006655ED">
              <w:rPr>
                <w:rFonts w:eastAsia="Times New Roman" w:cs="Arial"/>
                <w:color w:val="000000"/>
                <w:sz w:val="20"/>
                <w:szCs w:val="20"/>
              </w:rPr>
              <w:t>50.1</w:t>
            </w:r>
          </w:p>
        </w:tc>
        <w:tc>
          <w:tcPr>
            <w:tcW w:w="1384" w:type="dxa"/>
            <w:tcBorders>
              <w:top w:val="single" w:sz="8" w:space="0" w:color="CCCCCC"/>
              <w:left w:val="nil"/>
              <w:bottom w:val="single" w:sz="8" w:space="0" w:color="CCCCCC"/>
              <w:right w:val="nil"/>
            </w:tcBorders>
            <w:vAlign w:val="bottom"/>
            <w:hideMark/>
          </w:tcPr>
          <w:p w14:paraId="16750419" w14:textId="77777777" w:rsidR="006655ED" w:rsidRPr="006655ED" w:rsidRDefault="006655ED" w:rsidP="006655ED">
            <w:pPr>
              <w:spacing w:after="0" w:line="240" w:lineRule="auto"/>
              <w:jc w:val="right"/>
              <w:rPr>
                <w:rFonts w:eastAsia="Times New Roman" w:cs="Arial"/>
                <w:color w:val="000000"/>
                <w:sz w:val="20"/>
                <w:szCs w:val="20"/>
              </w:rPr>
            </w:pPr>
            <w:r w:rsidRPr="006655ED">
              <w:rPr>
                <w:rFonts w:eastAsia="Times New Roman" w:cs="Arial"/>
                <w:color w:val="000000"/>
                <w:sz w:val="20"/>
                <w:szCs w:val="20"/>
              </w:rPr>
              <w:t>45.14120779</w:t>
            </w:r>
          </w:p>
        </w:tc>
        <w:tc>
          <w:tcPr>
            <w:tcW w:w="1931" w:type="dxa"/>
            <w:tcBorders>
              <w:top w:val="single" w:sz="8" w:space="0" w:color="CCCCCC"/>
              <w:left w:val="single" w:sz="8" w:space="0" w:color="CCCCCC"/>
              <w:bottom w:val="single" w:sz="8" w:space="0" w:color="CCCCCC"/>
              <w:right w:val="nil"/>
            </w:tcBorders>
            <w:vAlign w:val="bottom"/>
            <w:hideMark/>
          </w:tcPr>
          <w:p w14:paraId="222AE7FC" w14:textId="77777777" w:rsidR="006655ED" w:rsidRPr="006655ED" w:rsidRDefault="006655ED" w:rsidP="006655ED">
            <w:pPr>
              <w:spacing w:after="0" w:line="240" w:lineRule="auto"/>
              <w:jc w:val="right"/>
              <w:rPr>
                <w:rFonts w:eastAsia="Times New Roman" w:cs="Arial"/>
                <w:color w:val="000000"/>
                <w:sz w:val="20"/>
                <w:szCs w:val="20"/>
              </w:rPr>
            </w:pPr>
            <w:r w:rsidRPr="006655ED">
              <w:rPr>
                <w:rFonts w:eastAsia="Times New Roman" w:cs="Arial"/>
                <w:color w:val="000000"/>
                <w:sz w:val="20"/>
                <w:szCs w:val="20"/>
              </w:rPr>
              <w:t>61.38631579</w:t>
            </w:r>
          </w:p>
        </w:tc>
      </w:tr>
      <w:tr w:rsidR="006655ED" w:rsidRPr="006655ED" w14:paraId="01D1E176" w14:textId="77777777" w:rsidTr="006655ED">
        <w:trPr>
          <w:trHeight w:val="300"/>
        </w:trPr>
        <w:tc>
          <w:tcPr>
            <w:tcW w:w="3240" w:type="dxa"/>
            <w:tcBorders>
              <w:top w:val="nil"/>
              <w:left w:val="single" w:sz="4" w:space="0" w:color="CCCCCC"/>
              <w:bottom w:val="single" w:sz="4" w:space="0" w:color="CCCCCC"/>
              <w:right w:val="single" w:sz="4" w:space="0" w:color="CCCCCC"/>
            </w:tcBorders>
            <w:shd w:val="clear" w:color="FDF2E3" w:fill="FFFFFF"/>
            <w:noWrap/>
            <w:vAlign w:val="bottom"/>
            <w:hideMark/>
          </w:tcPr>
          <w:p w14:paraId="54A60213" w14:textId="77777777" w:rsidR="006655ED" w:rsidRPr="006655ED" w:rsidRDefault="006655ED" w:rsidP="006655ED">
            <w:pPr>
              <w:spacing w:after="0" w:line="240" w:lineRule="auto"/>
              <w:rPr>
                <w:rFonts w:eastAsia="Times New Roman" w:cs="Arial"/>
                <w:b/>
                <w:bCs/>
                <w:sz w:val="20"/>
                <w:szCs w:val="20"/>
              </w:rPr>
            </w:pPr>
            <w:r w:rsidRPr="006655ED">
              <w:rPr>
                <w:rFonts w:eastAsia="Times New Roman" w:cs="Arial"/>
                <w:b/>
                <w:bCs/>
                <w:sz w:val="20"/>
                <w:szCs w:val="20"/>
              </w:rPr>
              <w:t>Alexandria</w:t>
            </w:r>
          </w:p>
        </w:tc>
        <w:tc>
          <w:tcPr>
            <w:tcW w:w="2296" w:type="dxa"/>
            <w:tcBorders>
              <w:top w:val="nil"/>
              <w:left w:val="single" w:sz="8" w:space="0" w:color="CCCCCC"/>
              <w:bottom w:val="single" w:sz="8" w:space="0" w:color="CCCCCC"/>
              <w:right w:val="single" w:sz="8" w:space="0" w:color="CCCCCC"/>
            </w:tcBorders>
            <w:vAlign w:val="bottom"/>
            <w:hideMark/>
          </w:tcPr>
          <w:p w14:paraId="7FAA683E" w14:textId="77777777" w:rsidR="006655ED" w:rsidRPr="006655ED" w:rsidRDefault="006655ED" w:rsidP="006655ED">
            <w:pPr>
              <w:spacing w:after="0" w:line="240" w:lineRule="auto"/>
              <w:jc w:val="right"/>
              <w:rPr>
                <w:rFonts w:eastAsia="Times New Roman" w:cs="Arial"/>
                <w:color w:val="000000"/>
                <w:sz w:val="20"/>
                <w:szCs w:val="20"/>
              </w:rPr>
            </w:pPr>
            <w:r w:rsidRPr="006655ED">
              <w:rPr>
                <w:rFonts w:eastAsia="Times New Roman" w:cs="Arial"/>
                <w:color w:val="000000"/>
                <w:sz w:val="20"/>
                <w:szCs w:val="20"/>
              </w:rPr>
              <w:t>50</w:t>
            </w:r>
          </w:p>
        </w:tc>
        <w:tc>
          <w:tcPr>
            <w:tcW w:w="1629" w:type="dxa"/>
            <w:tcBorders>
              <w:top w:val="nil"/>
              <w:left w:val="nil"/>
              <w:bottom w:val="single" w:sz="8" w:space="0" w:color="CCCCCC"/>
              <w:right w:val="single" w:sz="8" w:space="0" w:color="CCCCCC"/>
            </w:tcBorders>
            <w:vAlign w:val="bottom"/>
            <w:hideMark/>
          </w:tcPr>
          <w:p w14:paraId="476E0E74" w14:textId="77777777" w:rsidR="006655ED" w:rsidRPr="006655ED" w:rsidRDefault="006655ED" w:rsidP="006655ED">
            <w:pPr>
              <w:spacing w:after="0" w:line="240" w:lineRule="auto"/>
              <w:jc w:val="right"/>
              <w:rPr>
                <w:rFonts w:eastAsia="Times New Roman" w:cs="Arial"/>
                <w:color w:val="000000"/>
                <w:sz w:val="20"/>
                <w:szCs w:val="20"/>
              </w:rPr>
            </w:pPr>
            <w:r w:rsidRPr="006655ED">
              <w:rPr>
                <w:rFonts w:eastAsia="Times New Roman" w:cs="Arial"/>
                <w:color w:val="000000"/>
                <w:sz w:val="20"/>
                <w:szCs w:val="20"/>
              </w:rPr>
              <w:t>33.35</w:t>
            </w:r>
          </w:p>
        </w:tc>
        <w:tc>
          <w:tcPr>
            <w:tcW w:w="1384" w:type="dxa"/>
            <w:tcBorders>
              <w:top w:val="nil"/>
              <w:left w:val="nil"/>
              <w:bottom w:val="single" w:sz="8" w:space="0" w:color="CCCCCC"/>
              <w:right w:val="nil"/>
            </w:tcBorders>
            <w:vAlign w:val="bottom"/>
            <w:hideMark/>
          </w:tcPr>
          <w:p w14:paraId="642D62C3" w14:textId="77777777" w:rsidR="006655ED" w:rsidRPr="006655ED" w:rsidRDefault="006655ED" w:rsidP="006655ED">
            <w:pPr>
              <w:spacing w:after="0" w:line="240" w:lineRule="auto"/>
              <w:jc w:val="right"/>
              <w:rPr>
                <w:rFonts w:eastAsia="Times New Roman" w:cs="Arial"/>
                <w:color w:val="000000"/>
                <w:sz w:val="20"/>
                <w:szCs w:val="20"/>
              </w:rPr>
            </w:pPr>
            <w:r w:rsidRPr="006655ED">
              <w:rPr>
                <w:rFonts w:eastAsia="Times New Roman" w:cs="Arial"/>
                <w:color w:val="000000"/>
                <w:sz w:val="20"/>
                <w:szCs w:val="20"/>
              </w:rPr>
              <w:t>37.92501522</w:t>
            </w:r>
          </w:p>
        </w:tc>
        <w:tc>
          <w:tcPr>
            <w:tcW w:w="1931" w:type="dxa"/>
            <w:tcBorders>
              <w:top w:val="nil"/>
              <w:left w:val="single" w:sz="8" w:space="0" w:color="CCCCCC"/>
              <w:bottom w:val="single" w:sz="8" w:space="0" w:color="CCCCCC"/>
              <w:right w:val="nil"/>
            </w:tcBorders>
            <w:vAlign w:val="bottom"/>
            <w:hideMark/>
          </w:tcPr>
          <w:p w14:paraId="3C32BEE3" w14:textId="77777777" w:rsidR="006655ED" w:rsidRPr="006655ED" w:rsidRDefault="006655ED" w:rsidP="006655ED">
            <w:pPr>
              <w:spacing w:after="0" w:line="240" w:lineRule="auto"/>
              <w:jc w:val="right"/>
              <w:rPr>
                <w:rFonts w:eastAsia="Times New Roman" w:cs="Arial"/>
                <w:color w:val="000000"/>
                <w:sz w:val="20"/>
                <w:szCs w:val="20"/>
              </w:rPr>
            </w:pPr>
            <w:r w:rsidRPr="006655ED">
              <w:rPr>
                <w:rFonts w:eastAsia="Times New Roman" w:cs="Arial"/>
                <w:color w:val="000000"/>
                <w:sz w:val="20"/>
                <w:szCs w:val="20"/>
              </w:rPr>
              <w:t>44.566</w:t>
            </w:r>
          </w:p>
        </w:tc>
      </w:tr>
      <w:tr w:rsidR="006655ED" w:rsidRPr="006655ED" w14:paraId="56C75C3E" w14:textId="77777777" w:rsidTr="006655ED">
        <w:trPr>
          <w:trHeight w:val="300"/>
        </w:trPr>
        <w:tc>
          <w:tcPr>
            <w:tcW w:w="3240" w:type="dxa"/>
            <w:tcBorders>
              <w:top w:val="nil"/>
              <w:left w:val="single" w:sz="4" w:space="0" w:color="CCCCCC"/>
              <w:bottom w:val="single" w:sz="4" w:space="0" w:color="CCCCCC"/>
              <w:right w:val="single" w:sz="4" w:space="0" w:color="CCCCCC"/>
            </w:tcBorders>
            <w:shd w:val="clear" w:color="FDF2E3" w:fill="FFFFFF"/>
            <w:noWrap/>
            <w:vAlign w:val="bottom"/>
            <w:hideMark/>
          </w:tcPr>
          <w:p w14:paraId="6BC31AEB" w14:textId="77777777" w:rsidR="006655ED" w:rsidRPr="006655ED" w:rsidRDefault="006655ED" w:rsidP="006655ED">
            <w:pPr>
              <w:spacing w:after="0" w:line="240" w:lineRule="auto"/>
              <w:rPr>
                <w:rFonts w:eastAsia="Times New Roman" w:cs="Arial"/>
                <w:b/>
                <w:bCs/>
                <w:sz w:val="20"/>
                <w:szCs w:val="20"/>
              </w:rPr>
            </w:pPr>
            <w:r w:rsidRPr="006655ED">
              <w:rPr>
                <w:rFonts w:eastAsia="Times New Roman" w:cs="Arial"/>
                <w:b/>
                <w:bCs/>
                <w:sz w:val="20"/>
                <w:szCs w:val="20"/>
              </w:rPr>
              <w:t>Menoufia</w:t>
            </w:r>
          </w:p>
        </w:tc>
        <w:tc>
          <w:tcPr>
            <w:tcW w:w="2296" w:type="dxa"/>
            <w:tcBorders>
              <w:top w:val="nil"/>
              <w:left w:val="single" w:sz="8" w:space="0" w:color="CCCCCC"/>
              <w:bottom w:val="single" w:sz="8" w:space="0" w:color="CCCCCC"/>
              <w:right w:val="single" w:sz="8" w:space="0" w:color="CCCCCC"/>
            </w:tcBorders>
            <w:vAlign w:val="bottom"/>
            <w:hideMark/>
          </w:tcPr>
          <w:p w14:paraId="36ECAC46" w14:textId="77777777" w:rsidR="006655ED" w:rsidRPr="006655ED" w:rsidRDefault="006655ED" w:rsidP="006655ED">
            <w:pPr>
              <w:spacing w:after="0" w:line="240" w:lineRule="auto"/>
              <w:jc w:val="right"/>
              <w:rPr>
                <w:rFonts w:eastAsia="Times New Roman" w:cs="Arial"/>
                <w:color w:val="000000"/>
                <w:sz w:val="20"/>
                <w:szCs w:val="20"/>
              </w:rPr>
            </w:pPr>
            <w:r w:rsidRPr="006655ED">
              <w:rPr>
                <w:rFonts w:eastAsia="Times New Roman" w:cs="Arial"/>
                <w:color w:val="000000"/>
                <w:sz w:val="20"/>
                <w:szCs w:val="20"/>
              </w:rPr>
              <w:t>30</w:t>
            </w:r>
          </w:p>
        </w:tc>
        <w:tc>
          <w:tcPr>
            <w:tcW w:w="1629" w:type="dxa"/>
            <w:tcBorders>
              <w:top w:val="nil"/>
              <w:left w:val="nil"/>
              <w:bottom w:val="single" w:sz="8" w:space="0" w:color="CCCCCC"/>
              <w:right w:val="single" w:sz="8" w:space="0" w:color="CCCCCC"/>
            </w:tcBorders>
            <w:vAlign w:val="bottom"/>
            <w:hideMark/>
          </w:tcPr>
          <w:p w14:paraId="3099D06C" w14:textId="77777777" w:rsidR="006655ED" w:rsidRPr="006655ED" w:rsidRDefault="006655ED" w:rsidP="006655ED">
            <w:pPr>
              <w:spacing w:after="0" w:line="240" w:lineRule="auto"/>
              <w:jc w:val="right"/>
              <w:rPr>
                <w:rFonts w:eastAsia="Times New Roman" w:cs="Arial"/>
                <w:color w:val="000000"/>
                <w:sz w:val="20"/>
                <w:szCs w:val="20"/>
              </w:rPr>
            </w:pPr>
            <w:r w:rsidRPr="006655ED">
              <w:rPr>
                <w:rFonts w:eastAsia="Times New Roman" w:cs="Arial"/>
                <w:color w:val="000000"/>
                <w:sz w:val="20"/>
                <w:szCs w:val="20"/>
              </w:rPr>
              <w:t>27.55</w:t>
            </w:r>
          </w:p>
        </w:tc>
        <w:tc>
          <w:tcPr>
            <w:tcW w:w="1384" w:type="dxa"/>
            <w:tcBorders>
              <w:top w:val="nil"/>
              <w:left w:val="nil"/>
              <w:bottom w:val="single" w:sz="8" w:space="0" w:color="CCCCCC"/>
              <w:right w:val="nil"/>
            </w:tcBorders>
            <w:vAlign w:val="bottom"/>
            <w:hideMark/>
          </w:tcPr>
          <w:p w14:paraId="17DD94A8" w14:textId="77777777" w:rsidR="006655ED" w:rsidRPr="006655ED" w:rsidRDefault="006655ED" w:rsidP="006655ED">
            <w:pPr>
              <w:spacing w:after="0" w:line="240" w:lineRule="auto"/>
              <w:jc w:val="right"/>
              <w:rPr>
                <w:rFonts w:eastAsia="Times New Roman" w:cs="Arial"/>
                <w:color w:val="000000"/>
                <w:sz w:val="20"/>
                <w:szCs w:val="20"/>
              </w:rPr>
            </w:pPr>
            <w:r w:rsidRPr="006655ED">
              <w:rPr>
                <w:rFonts w:eastAsia="Times New Roman" w:cs="Arial"/>
                <w:color w:val="000000"/>
                <w:sz w:val="20"/>
                <w:szCs w:val="20"/>
              </w:rPr>
              <w:t>37.83119251</w:t>
            </w:r>
          </w:p>
        </w:tc>
        <w:tc>
          <w:tcPr>
            <w:tcW w:w="1931" w:type="dxa"/>
            <w:tcBorders>
              <w:top w:val="nil"/>
              <w:left w:val="single" w:sz="8" w:space="0" w:color="CCCCCC"/>
              <w:bottom w:val="single" w:sz="8" w:space="0" w:color="CCCCCC"/>
              <w:right w:val="nil"/>
            </w:tcBorders>
            <w:vAlign w:val="bottom"/>
            <w:hideMark/>
          </w:tcPr>
          <w:p w14:paraId="2A9CA735" w14:textId="77777777" w:rsidR="006655ED" w:rsidRPr="006655ED" w:rsidRDefault="006655ED" w:rsidP="006655ED">
            <w:pPr>
              <w:spacing w:after="0" w:line="240" w:lineRule="auto"/>
              <w:jc w:val="right"/>
              <w:rPr>
                <w:rFonts w:eastAsia="Times New Roman" w:cs="Arial"/>
                <w:color w:val="000000"/>
                <w:sz w:val="20"/>
                <w:szCs w:val="20"/>
              </w:rPr>
            </w:pPr>
            <w:r w:rsidRPr="006655ED">
              <w:rPr>
                <w:rFonts w:eastAsia="Times New Roman" w:cs="Arial"/>
                <w:color w:val="000000"/>
                <w:sz w:val="20"/>
                <w:szCs w:val="20"/>
              </w:rPr>
              <w:t>36.51333333</w:t>
            </w:r>
          </w:p>
        </w:tc>
      </w:tr>
      <w:tr w:rsidR="006655ED" w:rsidRPr="006655ED" w14:paraId="50C21B4D" w14:textId="77777777" w:rsidTr="006655ED">
        <w:trPr>
          <w:trHeight w:val="300"/>
        </w:trPr>
        <w:tc>
          <w:tcPr>
            <w:tcW w:w="3240" w:type="dxa"/>
            <w:tcBorders>
              <w:top w:val="nil"/>
              <w:left w:val="single" w:sz="4" w:space="0" w:color="CCCCCC"/>
              <w:bottom w:val="single" w:sz="4" w:space="0" w:color="CCCCCC"/>
              <w:right w:val="single" w:sz="4" w:space="0" w:color="CCCCCC"/>
            </w:tcBorders>
            <w:shd w:val="clear" w:color="FDF2E3" w:fill="FFFFFF"/>
            <w:noWrap/>
            <w:vAlign w:val="bottom"/>
            <w:hideMark/>
          </w:tcPr>
          <w:p w14:paraId="392A9502" w14:textId="77777777" w:rsidR="006655ED" w:rsidRPr="006655ED" w:rsidRDefault="006655ED" w:rsidP="006655ED">
            <w:pPr>
              <w:spacing w:after="0" w:line="240" w:lineRule="auto"/>
              <w:rPr>
                <w:rFonts w:eastAsia="Times New Roman" w:cs="Arial"/>
                <w:b/>
                <w:bCs/>
                <w:sz w:val="20"/>
                <w:szCs w:val="20"/>
              </w:rPr>
            </w:pPr>
            <w:r w:rsidRPr="006655ED">
              <w:rPr>
                <w:rFonts w:eastAsia="Times New Roman" w:cs="Arial"/>
                <w:b/>
                <w:bCs/>
                <w:sz w:val="20"/>
                <w:szCs w:val="20"/>
              </w:rPr>
              <w:t>Mansoura</w:t>
            </w:r>
          </w:p>
        </w:tc>
        <w:tc>
          <w:tcPr>
            <w:tcW w:w="2296" w:type="dxa"/>
            <w:tcBorders>
              <w:top w:val="nil"/>
              <w:left w:val="single" w:sz="8" w:space="0" w:color="CCCCCC"/>
              <w:bottom w:val="single" w:sz="8" w:space="0" w:color="CCCCCC"/>
              <w:right w:val="single" w:sz="8" w:space="0" w:color="CCCCCC"/>
            </w:tcBorders>
            <w:vAlign w:val="bottom"/>
            <w:hideMark/>
          </w:tcPr>
          <w:p w14:paraId="31A34971" w14:textId="77777777" w:rsidR="006655ED" w:rsidRPr="006655ED" w:rsidRDefault="006655ED" w:rsidP="006655ED">
            <w:pPr>
              <w:spacing w:after="0" w:line="240" w:lineRule="auto"/>
              <w:jc w:val="right"/>
              <w:rPr>
                <w:rFonts w:eastAsia="Times New Roman" w:cs="Arial"/>
                <w:color w:val="000000"/>
                <w:sz w:val="20"/>
                <w:szCs w:val="20"/>
              </w:rPr>
            </w:pPr>
            <w:r w:rsidRPr="006655ED">
              <w:rPr>
                <w:rFonts w:eastAsia="Times New Roman" w:cs="Arial"/>
                <w:color w:val="000000"/>
                <w:sz w:val="20"/>
                <w:szCs w:val="20"/>
              </w:rPr>
              <w:t>39</w:t>
            </w:r>
          </w:p>
        </w:tc>
        <w:tc>
          <w:tcPr>
            <w:tcW w:w="1629" w:type="dxa"/>
            <w:tcBorders>
              <w:top w:val="nil"/>
              <w:left w:val="nil"/>
              <w:bottom w:val="single" w:sz="8" w:space="0" w:color="CCCCCC"/>
              <w:right w:val="single" w:sz="8" w:space="0" w:color="CCCCCC"/>
            </w:tcBorders>
            <w:vAlign w:val="bottom"/>
            <w:hideMark/>
          </w:tcPr>
          <w:p w14:paraId="6045341D" w14:textId="77777777" w:rsidR="006655ED" w:rsidRPr="006655ED" w:rsidRDefault="006655ED" w:rsidP="006655ED">
            <w:pPr>
              <w:spacing w:after="0" w:line="240" w:lineRule="auto"/>
              <w:jc w:val="right"/>
              <w:rPr>
                <w:rFonts w:eastAsia="Times New Roman" w:cs="Arial"/>
                <w:color w:val="000000"/>
                <w:sz w:val="20"/>
                <w:szCs w:val="20"/>
              </w:rPr>
            </w:pPr>
            <w:r w:rsidRPr="006655ED">
              <w:rPr>
                <w:rFonts w:eastAsia="Times New Roman" w:cs="Arial"/>
                <w:color w:val="000000"/>
                <w:sz w:val="20"/>
                <w:szCs w:val="20"/>
              </w:rPr>
              <w:t>27</w:t>
            </w:r>
          </w:p>
        </w:tc>
        <w:tc>
          <w:tcPr>
            <w:tcW w:w="1384" w:type="dxa"/>
            <w:tcBorders>
              <w:top w:val="nil"/>
              <w:left w:val="nil"/>
              <w:bottom w:val="single" w:sz="8" w:space="0" w:color="CCCCCC"/>
              <w:right w:val="nil"/>
            </w:tcBorders>
            <w:vAlign w:val="bottom"/>
            <w:hideMark/>
          </w:tcPr>
          <w:p w14:paraId="59ED21FD" w14:textId="77777777" w:rsidR="006655ED" w:rsidRPr="006655ED" w:rsidRDefault="006655ED" w:rsidP="006655ED">
            <w:pPr>
              <w:spacing w:after="0" w:line="240" w:lineRule="auto"/>
              <w:jc w:val="right"/>
              <w:rPr>
                <w:rFonts w:eastAsia="Times New Roman" w:cs="Arial"/>
                <w:color w:val="000000"/>
                <w:sz w:val="20"/>
                <w:szCs w:val="20"/>
              </w:rPr>
            </w:pPr>
            <w:r w:rsidRPr="006655ED">
              <w:rPr>
                <w:rFonts w:eastAsia="Times New Roman" w:cs="Arial"/>
                <w:color w:val="000000"/>
                <w:sz w:val="20"/>
                <w:szCs w:val="20"/>
              </w:rPr>
              <w:t>31.10041744</w:t>
            </w:r>
          </w:p>
        </w:tc>
        <w:tc>
          <w:tcPr>
            <w:tcW w:w="1931" w:type="dxa"/>
            <w:tcBorders>
              <w:top w:val="nil"/>
              <w:left w:val="single" w:sz="8" w:space="0" w:color="CCCCCC"/>
              <w:bottom w:val="single" w:sz="8" w:space="0" w:color="CCCCCC"/>
              <w:right w:val="nil"/>
            </w:tcBorders>
            <w:vAlign w:val="bottom"/>
            <w:hideMark/>
          </w:tcPr>
          <w:p w14:paraId="793DBE80" w14:textId="77777777" w:rsidR="006655ED" w:rsidRPr="006655ED" w:rsidRDefault="006655ED" w:rsidP="006655ED">
            <w:pPr>
              <w:spacing w:after="0" w:line="240" w:lineRule="auto"/>
              <w:jc w:val="right"/>
              <w:rPr>
                <w:rFonts w:eastAsia="Times New Roman" w:cs="Arial"/>
                <w:color w:val="000000"/>
                <w:sz w:val="20"/>
                <w:szCs w:val="20"/>
              </w:rPr>
            </w:pPr>
            <w:r w:rsidRPr="006655ED">
              <w:rPr>
                <w:rFonts w:eastAsia="Times New Roman" w:cs="Arial"/>
                <w:color w:val="000000"/>
                <w:sz w:val="20"/>
                <w:szCs w:val="20"/>
              </w:rPr>
              <w:t>32.03333333</w:t>
            </w:r>
          </w:p>
        </w:tc>
      </w:tr>
      <w:tr w:rsidR="006655ED" w:rsidRPr="006655ED" w14:paraId="1CEC635B" w14:textId="77777777" w:rsidTr="006655ED">
        <w:trPr>
          <w:trHeight w:val="300"/>
        </w:trPr>
        <w:tc>
          <w:tcPr>
            <w:tcW w:w="3240" w:type="dxa"/>
            <w:tcBorders>
              <w:top w:val="nil"/>
              <w:left w:val="single" w:sz="4" w:space="0" w:color="CCCCCC"/>
              <w:bottom w:val="single" w:sz="4" w:space="0" w:color="CCCCCC"/>
              <w:right w:val="single" w:sz="4" w:space="0" w:color="CCCCCC"/>
            </w:tcBorders>
            <w:shd w:val="clear" w:color="FDF2E3" w:fill="FFFFFF"/>
            <w:noWrap/>
            <w:vAlign w:val="bottom"/>
            <w:hideMark/>
          </w:tcPr>
          <w:p w14:paraId="419E3AE7" w14:textId="77777777" w:rsidR="006655ED" w:rsidRPr="006655ED" w:rsidRDefault="006655ED" w:rsidP="006655ED">
            <w:pPr>
              <w:spacing w:after="0" w:line="240" w:lineRule="auto"/>
              <w:rPr>
                <w:rFonts w:eastAsia="Times New Roman" w:cs="Arial"/>
                <w:b/>
                <w:bCs/>
                <w:sz w:val="20"/>
                <w:szCs w:val="20"/>
              </w:rPr>
            </w:pPr>
            <w:r w:rsidRPr="006655ED">
              <w:rPr>
                <w:rFonts w:eastAsia="Times New Roman" w:cs="Arial"/>
                <w:b/>
                <w:bCs/>
                <w:sz w:val="20"/>
                <w:szCs w:val="20"/>
              </w:rPr>
              <w:t>Assiut</w:t>
            </w:r>
          </w:p>
        </w:tc>
        <w:tc>
          <w:tcPr>
            <w:tcW w:w="2296" w:type="dxa"/>
            <w:tcBorders>
              <w:top w:val="nil"/>
              <w:left w:val="single" w:sz="8" w:space="0" w:color="CCCCCC"/>
              <w:bottom w:val="single" w:sz="8" w:space="0" w:color="CCCCCC"/>
              <w:right w:val="single" w:sz="8" w:space="0" w:color="CCCCCC"/>
            </w:tcBorders>
            <w:vAlign w:val="bottom"/>
            <w:hideMark/>
          </w:tcPr>
          <w:p w14:paraId="6E469944" w14:textId="77777777" w:rsidR="006655ED" w:rsidRPr="006655ED" w:rsidRDefault="006655ED" w:rsidP="006655ED">
            <w:pPr>
              <w:spacing w:after="0" w:line="240" w:lineRule="auto"/>
              <w:jc w:val="right"/>
              <w:rPr>
                <w:rFonts w:eastAsia="Times New Roman" w:cs="Arial"/>
                <w:color w:val="000000"/>
                <w:sz w:val="20"/>
                <w:szCs w:val="20"/>
              </w:rPr>
            </w:pPr>
            <w:r w:rsidRPr="006655ED">
              <w:rPr>
                <w:rFonts w:eastAsia="Times New Roman" w:cs="Arial"/>
                <w:color w:val="000000"/>
                <w:sz w:val="20"/>
                <w:szCs w:val="20"/>
              </w:rPr>
              <w:t>29</w:t>
            </w:r>
          </w:p>
        </w:tc>
        <w:tc>
          <w:tcPr>
            <w:tcW w:w="1629" w:type="dxa"/>
            <w:tcBorders>
              <w:top w:val="nil"/>
              <w:left w:val="nil"/>
              <w:bottom w:val="single" w:sz="8" w:space="0" w:color="CCCCCC"/>
              <w:right w:val="single" w:sz="8" w:space="0" w:color="CCCCCC"/>
            </w:tcBorders>
            <w:vAlign w:val="bottom"/>
            <w:hideMark/>
          </w:tcPr>
          <w:p w14:paraId="2572AE61" w14:textId="77777777" w:rsidR="006655ED" w:rsidRPr="006655ED" w:rsidRDefault="006655ED" w:rsidP="006655ED">
            <w:pPr>
              <w:spacing w:after="0" w:line="240" w:lineRule="auto"/>
              <w:jc w:val="right"/>
              <w:rPr>
                <w:rFonts w:eastAsia="Times New Roman" w:cs="Arial"/>
                <w:color w:val="000000"/>
                <w:sz w:val="20"/>
                <w:szCs w:val="20"/>
              </w:rPr>
            </w:pPr>
            <w:r w:rsidRPr="006655ED">
              <w:rPr>
                <w:rFonts w:eastAsia="Times New Roman" w:cs="Arial"/>
                <w:color w:val="000000"/>
                <w:sz w:val="20"/>
                <w:szCs w:val="20"/>
              </w:rPr>
              <w:t>24.1</w:t>
            </w:r>
          </w:p>
        </w:tc>
        <w:tc>
          <w:tcPr>
            <w:tcW w:w="1384" w:type="dxa"/>
            <w:tcBorders>
              <w:top w:val="nil"/>
              <w:left w:val="nil"/>
              <w:bottom w:val="single" w:sz="8" w:space="0" w:color="CCCCCC"/>
              <w:right w:val="nil"/>
            </w:tcBorders>
            <w:vAlign w:val="bottom"/>
            <w:hideMark/>
          </w:tcPr>
          <w:p w14:paraId="3B988FA3" w14:textId="77777777" w:rsidR="006655ED" w:rsidRPr="006655ED" w:rsidRDefault="006655ED" w:rsidP="006655ED">
            <w:pPr>
              <w:spacing w:after="0" w:line="240" w:lineRule="auto"/>
              <w:jc w:val="right"/>
              <w:rPr>
                <w:rFonts w:eastAsia="Times New Roman" w:cs="Arial"/>
                <w:color w:val="000000"/>
                <w:sz w:val="20"/>
                <w:szCs w:val="20"/>
              </w:rPr>
            </w:pPr>
            <w:r w:rsidRPr="006655ED">
              <w:rPr>
                <w:rFonts w:eastAsia="Times New Roman" w:cs="Arial"/>
                <w:color w:val="000000"/>
                <w:sz w:val="20"/>
                <w:szCs w:val="20"/>
              </w:rPr>
              <w:t>16.40846682</w:t>
            </w:r>
          </w:p>
        </w:tc>
        <w:tc>
          <w:tcPr>
            <w:tcW w:w="1931" w:type="dxa"/>
            <w:tcBorders>
              <w:top w:val="nil"/>
              <w:left w:val="single" w:sz="8" w:space="0" w:color="CCCCCC"/>
              <w:bottom w:val="single" w:sz="8" w:space="0" w:color="CCCCCC"/>
              <w:right w:val="nil"/>
            </w:tcBorders>
            <w:vAlign w:val="bottom"/>
            <w:hideMark/>
          </w:tcPr>
          <w:p w14:paraId="66CB363B" w14:textId="77777777" w:rsidR="006655ED" w:rsidRPr="006655ED" w:rsidRDefault="006655ED" w:rsidP="006655ED">
            <w:pPr>
              <w:spacing w:after="0" w:line="240" w:lineRule="auto"/>
              <w:jc w:val="right"/>
              <w:rPr>
                <w:rFonts w:eastAsia="Times New Roman" w:cs="Arial"/>
                <w:color w:val="000000"/>
                <w:sz w:val="20"/>
                <w:szCs w:val="20"/>
              </w:rPr>
            </w:pPr>
            <w:r w:rsidRPr="006655ED">
              <w:rPr>
                <w:rFonts w:eastAsia="Times New Roman" w:cs="Arial"/>
                <w:color w:val="000000"/>
                <w:sz w:val="20"/>
                <w:szCs w:val="20"/>
              </w:rPr>
              <w:t>25.97241379</w:t>
            </w:r>
          </w:p>
        </w:tc>
      </w:tr>
    </w:tbl>
    <w:p w14:paraId="4CEE7803" w14:textId="7E160441" w:rsidR="006655ED" w:rsidRPr="00912010" w:rsidRDefault="006655ED" w:rsidP="00912010">
      <w:proofErr w:type="gramStart"/>
      <w:r w:rsidRPr="00912010">
        <w:t>the</w:t>
      </w:r>
      <w:proofErr w:type="gramEnd"/>
      <w:r w:rsidRPr="00912010">
        <w:t xml:space="preserve"> results suggest that commuting burden differs substantially by branch, with Cairo students experiencing the longest commutes on average</w:t>
      </w:r>
      <w:r w:rsidRPr="00912010">
        <w:t xml:space="preserve"> </w:t>
      </w:r>
      <w:r w:rsidRPr="00912010">
        <w:t>However, this comparison is descriptive and does not by itself show that branch or commute time causes differences in academic performance.</w:t>
      </w:r>
    </w:p>
    <w:p w14:paraId="777070BA" w14:textId="737EDBEF" w:rsidR="006127F8" w:rsidRDefault="00000000" w:rsidP="006655ED">
      <w:pPr>
        <w:pStyle w:val="Heading1"/>
      </w:pPr>
      <w:r>
        <w:lastRenderedPageBreak/>
        <w:t>6. Visual 3 – Relative Variability (Coefficient of Variation)</w:t>
      </w:r>
    </w:p>
    <w:p w14:paraId="2FA17BB1" w14:textId="7AD27ED7" w:rsidR="006127F8" w:rsidRDefault="00E34895">
      <w:pPr>
        <w:jc w:val="center"/>
      </w:pPr>
      <w:r>
        <w:rPr>
          <w:noProof/>
        </w:rPr>
        <w:drawing>
          <wp:inline distT="0" distB="0" distL="0" distR="0" wp14:anchorId="7F4EC3AD" wp14:editId="4D4EEA7A">
            <wp:extent cx="4590557" cy="2765933"/>
            <wp:effectExtent l="0" t="0" r="635" b="15875"/>
            <wp:docPr id="64386745" name="Chart 1">
              <a:extLst xmlns:a="http://schemas.openxmlformats.org/drawingml/2006/main">
                <a:ext uri="{FF2B5EF4-FFF2-40B4-BE49-F238E27FC236}">
                  <a16:creationId xmlns:a16="http://schemas.microsoft.com/office/drawing/2014/main" id="{AA10A323-4CC9-888C-6E9F-2CB8079A03E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1131356" w14:textId="77777777" w:rsidR="006127F8" w:rsidRDefault="00000000">
      <w:pPr>
        <w:jc w:val="center"/>
      </w:pPr>
      <w:r>
        <w:rPr>
          <w:i/>
          <w:color w:val="666666"/>
          <w:sz w:val="18"/>
        </w:rPr>
        <w:t>6. Visual 3 – Relative Variability (Coefficient of Variation)</w:t>
      </w:r>
    </w:p>
    <w:p w14:paraId="33D9A282" w14:textId="77777777" w:rsidR="006127F8" w:rsidRDefault="00000000">
      <w:pPr>
        <w:pStyle w:val="Heading2"/>
      </w:pPr>
      <w:r>
        <w:t>What the variability chart shows</w:t>
      </w:r>
    </w:p>
    <w:p w14:paraId="3F3C2E04" w14:textId="77777777" w:rsidR="006127F8" w:rsidRDefault="00000000">
      <w:pPr>
        <w:spacing w:after="120"/>
      </w:pPr>
      <w:r>
        <w:t>The coefficient of variation (CV) standardizes the standard deviation relative to the mean, making it useful for comparing variability across measures with different units or scales.</w:t>
      </w:r>
    </w:p>
    <w:p w14:paraId="02BE32AA" w14:textId="77777777" w:rsidR="006127F8" w:rsidRDefault="00000000">
      <w:pPr>
        <w:spacing w:after="120"/>
      </w:pPr>
      <w:r>
        <w:t>For commute time, CV ≈ 87.69%. For final score, CV ≈ 12.28%. Therefore, commute time is dramatically more variable relative to its mean than final score.</w:t>
      </w:r>
    </w:p>
    <w:p w14:paraId="55AA43C0" w14:textId="77777777" w:rsidR="006127F8" w:rsidRDefault="00000000">
      <w:pPr>
        <w:spacing w:after="120"/>
      </w:pPr>
      <w:r>
        <w:t>This difference reinforces the histogram and boxplot findings: students experience very different commuting burdens, whereas final scores are clustered much more tightly.</w:t>
      </w:r>
    </w:p>
    <w:p w14:paraId="7FF60C18" w14:textId="77777777" w:rsidR="006127F8" w:rsidRDefault="00000000">
      <w:pPr>
        <w:pStyle w:val="ListBullet"/>
        <w:spacing w:after="60"/>
      </w:pPr>
      <w:r>
        <w:t>Commute CV: 40.27 ÷ 45.92 × 100 ≈ 87.69%.</w:t>
      </w:r>
    </w:p>
    <w:p w14:paraId="1D3AE26B" w14:textId="77777777" w:rsidR="006127F8" w:rsidRDefault="00000000">
      <w:pPr>
        <w:pStyle w:val="ListBullet"/>
        <w:spacing w:after="60"/>
      </w:pPr>
      <w:r>
        <w:t>Final Score CV: 9.73 ÷ 79.25 × 100 ≈ 12.28%.</w:t>
      </w:r>
    </w:p>
    <w:p w14:paraId="770CD359" w14:textId="77777777" w:rsidR="006127F8" w:rsidRDefault="00000000">
      <w:pPr>
        <w:pStyle w:val="ListBullet"/>
        <w:spacing w:after="60"/>
      </w:pPr>
      <w:r>
        <w:t>A higher CV means greater relative dispersion around the mean.</w:t>
      </w:r>
    </w:p>
    <w:p w14:paraId="4214EB2D" w14:textId="77777777" w:rsidR="006127F8" w:rsidRDefault="00000000">
      <w:pPr>
        <w:pStyle w:val="Heading1"/>
      </w:pPr>
      <w:r>
        <w:t>7. Outlier Analysis – IQR Method</w:t>
      </w:r>
    </w:p>
    <w:p w14:paraId="378F0247" w14:textId="77777777" w:rsidR="006127F8" w:rsidRDefault="00000000">
      <w:r>
        <w:t>The IQR method identifies unusually high or low observations using the middle 50% of the data. For commute time, Q1 = 19.95 minutes and Q3 = 59.45 minutes.</w:t>
      </w:r>
    </w:p>
    <w:tbl>
      <w:tblPr>
        <w:tblStyle w:val="TableGrid"/>
        <w:tblW w:w="0" w:type="auto"/>
        <w:jc w:val="center"/>
        <w:tblLook w:val="04A0" w:firstRow="1" w:lastRow="0" w:firstColumn="1" w:lastColumn="0" w:noHBand="0" w:noVBand="1"/>
      </w:tblPr>
      <w:tblGrid>
        <w:gridCol w:w="3408"/>
        <w:gridCol w:w="3408"/>
        <w:gridCol w:w="3408"/>
      </w:tblGrid>
      <w:tr w:rsidR="006127F8" w14:paraId="547CEF7F" w14:textId="77777777">
        <w:trPr>
          <w:jc w:val="center"/>
        </w:trPr>
        <w:tc>
          <w:tcPr>
            <w:tcW w:w="3408" w:type="dxa"/>
            <w:shd w:val="clear" w:color="auto" w:fill="17365D"/>
            <w:vAlign w:val="center"/>
          </w:tcPr>
          <w:p w14:paraId="04572AF9" w14:textId="77777777" w:rsidR="006127F8" w:rsidRDefault="00000000">
            <w:pPr>
              <w:jc w:val="center"/>
            </w:pPr>
            <w:r>
              <w:rPr>
                <w:b/>
                <w:color w:val="FFFFFF"/>
                <w:sz w:val="19"/>
              </w:rPr>
              <w:t>Calculation</w:t>
            </w:r>
          </w:p>
        </w:tc>
        <w:tc>
          <w:tcPr>
            <w:tcW w:w="3408" w:type="dxa"/>
            <w:shd w:val="clear" w:color="auto" w:fill="17365D"/>
            <w:vAlign w:val="center"/>
          </w:tcPr>
          <w:p w14:paraId="1F184962" w14:textId="77777777" w:rsidR="006127F8" w:rsidRDefault="00000000">
            <w:pPr>
              <w:jc w:val="center"/>
            </w:pPr>
            <w:r>
              <w:rPr>
                <w:b/>
                <w:color w:val="FFFFFF"/>
                <w:sz w:val="19"/>
              </w:rPr>
              <w:t>Formula</w:t>
            </w:r>
          </w:p>
        </w:tc>
        <w:tc>
          <w:tcPr>
            <w:tcW w:w="3408" w:type="dxa"/>
            <w:shd w:val="clear" w:color="auto" w:fill="17365D"/>
            <w:vAlign w:val="center"/>
          </w:tcPr>
          <w:p w14:paraId="01C3ED8D" w14:textId="77777777" w:rsidR="006127F8" w:rsidRDefault="00000000">
            <w:pPr>
              <w:jc w:val="center"/>
            </w:pPr>
            <w:r>
              <w:rPr>
                <w:b/>
                <w:color w:val="FFFFFF"/>
                <w:sz w:val="19"/>
              </w:rPr>
              <w:t>Result</w:t>
            </w:r>
          </w:p>
        </w:tc>
      </w:tr>
      <w:tr w:rsidR="006127F8" w14:paraId="135A9021" w14:textId="77777777">
        <w:trPr>
          <w:jc w:val="center"/>
        </w:trPr>
        <w:tc>
          <w:tcPr>
            <w:tcW w:w="3408" w:type="dxa"/>
            <w:vAlign w:val="center"/>
          </w:tcPr>
          <w:p w14:paraId="57FCBA99" w14:textId="77777777" w:rsidR="006127F8" w:rsidRDefault="00000000">
            <w:pPr>
              <w:jc w:val="center"/>
            </w:pPr>
            <w:r>
              <w:rPr>
                <w:sz w:val="18"/>
              </w:rPr>
              <w:t>IQR</w:t>
            </w:r>
          </w:p>
        </w:tc>
        <w:tc>
          <w:tcPr>
            <w:tcW w:w="3408" w:type="dxa"/>
            <w:vAlign w:val="center"/>
          </w:tcPr>
          <w:p w14:paraId="158F59CC" w14:textId="77777777" w:rsidR="006127F8" w:rsidRDefault="00000000">
            <w:pPr>
              <w:jc w:val="center"/>
            </w:pPr>
            <w:r>
              <w:rPr>
                <w:sz w:val="18"/>
              </w:rPr>
              <w:t>Q3 − Q1</w:t>
            </w:r>
          </w:p>
        </w:tc>
        <w:tc>
          <w:tcPr>
            <w:tcW w:w="3408" w:type="dxa"/>
            <w:vAlign w:val="center"/>
          </w:tcPr>
          <w:p w14:paraId="3774B543" w14:textId="77777777" w:rsidR="006127F8" w:rsidRDefault="00000000">
            <w:pPr>
              <w:jc w:val="center"/>
            </w:pPr>
            <w:r>
              <w:rPr>
                <w:sz w:val="18"/>
              </w:rPr>
              <w:t>39.50 min</w:t>
            </w:r>
          </w:p>
        </w:tc>
      </w:tr>
      <w:tr w:rsidR="006127F8" w14:paraId="2BFE4491" w14:textId="77777777">
        <w:trPr>
          <w:jc w:val="center"/>
        </w:trPr>
        <w:tc>
          <w:tcPr>
            <w:tcW w:w="3408" w:type="dxa"/>
            <w:vAlign w:val="center"/>
          </w:tcPr>
          <w:p w14:paraId="1457EBBA" w14:textId="77777777" w:rsidR="006127F8" w:rsidRDefault="00000000">
            <w:pPr>
              <w:jc w:val="center"/>
            </w:pPr>
            <w:r>
              <w:rPr>
                <w:sz w:val="18"/>
              </w:rPr>
              <w:t>Lower fence</w:t>
            </w:r>
          </w:p>
        </w:tc>
        <w:tc>
          <w:tcPr>
            <w:tcW w:w="3408" w:type="dxa"/>
            <w:vAlign w:val="center"/>
          </w:tcPr>
          <w:p w14:paraId="0BFAF8B8" w14:textId="77777777" w:rsidR="006127F8" w:rsidRDefault="00000000">
            <w:pPr>
              <w:jc w:val="center"/>
            </w:pPr>
            <w:r>
              <w:rPr>
                <w:sz w:val="18"/>
              </w:rPr>
              <w:t>Q1 − 1.5 × IQR</w:t>
            </w:r>
          </w:p>
        </w:tc>
        <w:tc>
          <w:tcPr>
            <w:tcW w:w="3408" w:type="dxa"/>
            <w:vAlign w:val="center"/>
          </w:tcPr>
          <w:p w14:paraId="36245C86" w14:textId="77777777" w:rsidR="006127F8" w:rsidRDefault="00000000">
            <w:pPr>
              <w:jc w:val="center"/>
            </w:pPr>
            <w:r>
              <w:rPr>
                <w:sz w:val="18"/>
              </w:rPr>
              <w:t>−39.30 min</w:t>
            </w:r>
          </w:p>
        </w:tc>
      </w:tr>
      <w:tr w:rsidR="006127F8" w14:paraId="5671392A" w14:textId="77777777">
        <w:trPr>
          <w:jc w:val="center"/>
        </w:trPr>
        <w:tc>
          <w:tcPr>
            <w:tcW w:w="3408" w:type="dxa"/>
            <w:vAlign w:val="center"/>
          </w:tcPr>
          <w:p w14:paraId="549937E1" w14:textId="77777777" w:rsidR="006127F8" w:rsidRDefault="00000000">
            <w:pPr>
              <w:jc w:val="center"/>
            </w:pPr>
            <w:r>
              <w:rPr>
                <w:sz w:val="18"/>
              </w:rPr>
              <w:t>Upper fence</w:t>
            </w:r>
          </w:p>
        </w:tc>
        <w:tc>
          <w:tcPr>
            <w:tcW w:w="3408" w:type="dxa"/>
            <w:vAlign w:val="center"/>
          </w:tcPr>
          <w:p w14:paraId="15019E57" w14:textId="77777777" w:rsidR="006127F8" w:rsidRDefault="00000000">
            <w:pPr>
              <w:jc w:val="center"/>
            </w:pPr>
            <w:r>
              <w:rPr>
                <w:sz w:val="18"/>
              </w:rPr>
              <w:t>Q3 + 1.5 × IQR</w:t>
            </w:r>
          </w:p>
        </w:tc>
        <w:tc>
          <w:tcPr>
            <w:tcW w:w="3408" w:type="dxa"/>
            <w:vAlign w:val="center"/>
          </w:tcPr>
          <w:p w14:paraId="7A241CC9" w14:textId="77777777" w:rsidR="006127F8" w:rsidRDefault="00000000">
            <w:pPr>
              <w:jc w:val="center"/>
            </w:pPr>
            <w:r>
              <w:rPr>
                <w:sz w:val="18"/>
              </w:rPr>
              <w:t>118.70 min</w:t>
            </w:r>
          </w:p>
        </w:tc>
      </w:tr>
      <w:tr w:rsidR="006127F8" w14:paraId="6CE487B5" w14:textId="77777777">
        <w:trPr>
          <w:jc w:val="center"/>
        </w:trPr>
        <w:tc>
          <w:tcPr>
            <w:tcW w:w="3408" w:type="dxa"/>
            <w:vAlign w:val="center"/>
          </w:tcPr>
          <w:p w14:paraId="50AADAB2" w14:textId="77777777" w:rsidR="006127F8" w:rsidRDefault="00000000">
            <w:pPr>
              <w:jc w:val="center"/>
            </w:pPr>
            <w:r>
              <w:rPr>
                <w:sz w:val="18"/>
              </w:rPr>
              <w:t>Students above upper fence</w:t>
            </w:r>
          </w:p>
        </w:tc>
        <w:tc>
          <w:tcPr>
            <w:tcW w:w="3408" w:type="dxa"/>
            <w:vAlign w:val="center"/>
          </w:tcPr>
          <w:p w14:paraId="4594C1B8" w14:textId="77777777" w:rsidR="006127F8" w:rsidRDefault="00000000">
            <w:pPr>
              <w:jc w:val="center"/>
            </w:pPr>
            <w:r>
              <w:rPr>
                <w:sz w:val="18"/>
              </w:rPr>
              <w:t>Commute &gt; 118.70</w:t>
            </w:r>
          </w:p>
        </w:tc>
        <w:tc>
          <w:tcPr>
            <w:tcW w:w="3408" w:type="dxa"/>
            <w:vAlign w:val="center"/>
          </w:tcPr>
          <w:p w14:paraId="76D88EA0" w14:textId="77777777" w:rsidR="006127F8" w:rsidRDefault="00000000">
            <w:pPr>
              <w:jc w:val="center"/>
            </w:pPr>
            <w:r>
              <w:rPr>
                <w:sz w:val="18"/>
              </w:rPr>
              <w:t>14 students</w:t>
            </w:r>
          </w:p>
        </w:tc>
      </w:tr>
      <w:tr w:rsidR="006127F8" w14:paraId="058599BC" w14:textId="77777777">
        <w:trPr>
          <w:jc w:val="center"/>
        </w:trPr>
        <w:tc>
          <w:tcPr>
            <w:tcW w:w="3408" w:type="dxa"/>
            <w:vAlign w:val="center"/>
          </w:tcPr>
          <w:p w14:paraId="16372710" w14:textId="77777777" w:rsidR="006127F8" w:rsidRDefault="00000000">
            <w:pPr>
              <w:jc w:val="center"/>
            </w:pPr>
            <w:r>
              <w:rPr>
                <w:sz w:val="18"/>
              </w:rPr>
              <w:t>Percentage above upper fence</w:t>
            </w:r>
          </w:p>
        </w:tc>
        <w:tc>
          <w:tcPr>
            <w:tcW w:w="3408" w:type="dxa"/>
            <w:vAlign w:val="center"/>
          </w:tcPr>
          <w:p w14:paraId="5CE25179" w14:textId="77777777" w:rsidR="006127F8" w:rsidRDefault="00000000">
            <w:pPr>
              <w:jc w:val="center"/>
            </w:pPr>
            <w:r>
              <w:rPr>
                <w:sz w:val="18"/>
              </w:rPr>
              <w:t>14 ÷ 243 × 100</w:t>
            </w:r>
          </w:p>
        </w:tc>
        <w:tc>
          <w:tcPr>
            <w:tcW w:w="3408" w:type="dxa"/>
            <w:vAlign w:val="center"/>
          </w:tcPr>
          <w:p w14:paraId="715C85CA" w14:textId="77777777" w:rsidR="006127F8" w:rsidRDefault="00000000">
            <w:pPr>
              <w:jc w:val="center"/>
            </w:pPr>
            <w:r>
              <w:rPr>
                <w:sz w:val="18"/>
              </w:rPr>
              <w:t>5.76%</w:t>
            </w:r>
          </w:p>
        </w:tc>
      </w:tr>
    </w:tbl>
    <w:p w14:paraId="716784CE" w14:textId="77777777" w:rsidR="006127F8" w:rsidRDefault="00000000">
      <w:r>
        <w:t>There are 14 statistical outliers above the upper fence of 118.70 minutes, representing approximately 5.76% of the valid commute observations. These observations are statistical outliers, not automatically errors. They should only be removed if Part B established a data-quality reason to do so.</w:t>
      </w:r>
    </w:p>
    <w:p w14:paraId="2B5EC5ED" w14:textId="77777777" w:rsidR="006127F8" w:rsidRDefault="00000000">
      <w:pPr>
        <w:pStyle w:val="Heading1"/>
      </w:pPr>
      <w:r>
        <w:t>8. Distribution and Spread – Deeper Interpretation</w:t>
      </w:r>
    </w:p>
    <w:p w14:paraId="6DDBEEEF" w14:textId="77777777" w:rsidR="006127F8" w:rsidRDefault="00000000">
      <w:pPr>
        <w:pStyle w:val="ListBullet"/>
        <w:spacing w:after="60"/>
      </w:pPr>
      <w:r>
        <w:t>Central tendency: the commute mean is 45.92 minutes, but the median is only 33.20 minutes.</w:t>
      </w:r>
    </w:p>
    <w:p w14:paraId="296A3EDC" w14:textId="77777777" w:rsidR="006127F8" w:rsidRDefault="00000000">
      <w:pPr>
        <w:pStyle w:val="ListBullet"/>
        <w:spacing w:after="60"/>
      </w:pPr>
      <w:r>
        <w:lastRenderedPageBreak/>
        <w:t>Spread: the standard deviation is 40.27 minutes and the IQR is 39.50 minutes, showing substantial dispersion.</w:t>
      </w:r>
    </w:p>
    <w:p w14:paraId="6BFA5775" w14:textId="77777777" w:rsidR="006127F8" w:rsidRDefault="00000000">
      <w:pPr>
        <w:pStyle w:val="ListBullet"/>
        <w:spacing w:after="60"/>
      </w:pPr>
      <w:r>
        <w:t>Extreme values: the maximum commute is 256.5 minutes, far above the upper IQR fence.</w:t>
      </w:r>
    </w:p>
    <w:p w14:paraId="7DFA2607" w14:textId="77777777" w:rsidR="006127F8" w:rsidRDefault="00000000">
      <w:pPr>
        <w:pStyle w:val="ListBullet"/>
        <w:spacing w:after="60"/>
      </w:pPr>
      <w:r>
        <w:t xml:space="preserve">Shape: the large gap between mean and median and the long right tail indicate </w:t>
      </w:r>
      <w:r w:rsidRPr="00912010">
        <w:rPr>
          <w:b/>
          <w:bCs/>
        </w:rPr>
        <w:t>positive skewness.</w:t>
      </w:r>
    </w:p>
    <w:p w14:paraId="0091C492" w14:textId="77777777" w:rsidR="006127F8" w:rsidRDefault="00000000">
      <w:pPr>
        <w:pStyle w:val="ListBullet"/>
        <w:spacing w:after="60"/>
      </w:pPr>
      <w:r>
        <w:t>Branch differences: Cairo has the highest mean commute, while Assiut has the lowest.</w:t>
      </w:r>
    </w:p>
    <w:p w14:paraId="40D8B4B2" w14:textId="7C197E5F" w:rsidR="006127F8" w:rsidRDefault="00000000" w:rsidP="00912010">
      <w:pPr>
        <w:pStyle w:val="ListBullet"/>
        <w:spacing w:after="60"/>
      </w:pPr>
      <w:r>
        <w:t xml:space="preserve">Relative variability: commute time has a CV of 87.69%, compared with 12.28% for final </w:t>
      </w:r>
      <w:proofErr w:type="gramStart"/>
      <w:r>
        <w:t>score..</w:t>
      </w:r>
      <w:proofErr w:type="gramEnd"/>
    </w:p>
    <w:p w14:paraId="5498EA0D" w14:textId="5E56B267" w:rsidR="006127F8" w:rsidRDefault="00912010">
      <w:pPr>
        <w:pStyle w:val="Heading1"/>
      </w:pPr>
      <w:r>
        <w:t>9</w:t>
      </w:r>
      <w:r w:rsidR="00000000">
        <w:t xml:space="preserve">. Key Findings </w:t>
      </w:r>
    </w:p>
    <w:p w14:paraId="0957E951" w14:textId="77777777" w:rsidR="006127F8" w:rsidRDefault="00000000">
      <w:pPr>
        <w:pStyle w:val="ListNumber"/>
        <w:spacing w:after="80"/>
      </w:pPr>
      <w:r>
        <w:t>Average commute time = 45.9 minutes, while median = 33.2 minutes.</w:t>
      </w:r>
    </w:p>
    <w:p w14:paraId="0C9E6DD2" w14:textId="77777777" w:rsidR="006127F8" w:rsidRDefault="00000000">
      <w:pPr>
        <w:pStyle w:val="ListNumber"/>
        <w:spacing w:after="80"/>
      </w:pPr>
      <w:r>
        <w:t>The commute-time distribution is strongly right-skewed, with most students having relatively shorter commutes and a smaller number having very long commutes.</w:t>
      </w:r>
    </w:p>
    <w:p w14:paraId="34E7B6E7" w14:textId="77777777" w:rsidR="006127F8" w:rsidRDefault="00000000">
      <w:pPr>
        <w:pStyle w:val="ListNumber"/>
        <w:spacing w:after="80"/>
      </w:pPr>
      <w:r>
        <w:t>14 statistical outliers were identified above the upper IQR fence of 118.7 minutes, equal to about 5.76% of valid commute observations.</w:t>
      </w:r>
    </w:p>
    <w:p w14:paraId="38609CCD" w14:textId="77777777" w:rsidR="006127F8" w:rsidRDefault="00000000">
      <w:pPr>
        <w:pStyle w:val="ListNumber"/>
        <w:spacing w:after="80"/>
      </w:pPr>
      <w:r>
        <w:t>Cairo has the highest average commute (about 61.4 minutes), while Assiut has the lowest (about 26.0 minutes).</w:t>
      </w:r>
    </w:p>
    <w:p w14:paraId="6D6C38FD" w14:textId="77777777" w:rsidR="006127F8" w:rsidRDefault="00000000">
      <w:pPr>
        <w:pStyle w:val="ListNumber"/>
        <w:spacing w:after="80"/>
      </w:pPr>
      <w:r>
        <w:t>Average final score = 79.25, with a standard deviation of about 9.73.</w:t>
      </w:r>
    </w:p>
    <w:p w14:paraId="6BD33DEA" w14:textId="77777777" w:rsidR="006127F8" w:rsidRDefault="00000000">
      <w:pPr>
        <w:pStyle w:val="ListNumber"/>
        <w:spacing w:after="80"/>
      </w:pPr>
      <w:r>
        <w:t>Commute time is much more variable than final score: CV = 87.69% for commute versus 12.28% for final score.</w:t>
      </w:r>
    </w:p>
    <w:p w14:paraId="21FB2B87" w14:textId="3AFD04B3" w:rsidR="006127F8" w:rsidRDefault="00000000">
      <w:pPr>
        <w:pStyle w:val="ListNumber"/>
        <w:spacing w:after="80"/>
      </w:pPr>
      <w:r>
        <w:t xml:space="preserve">The descriptive results show substantial variation in commuting time, but they do not establish that commuting causes lower </w:t>
      </w:r>
      <w:proofErr w:type="gramStart"/>
      <w:r>
        <w:t>performance</w:t>
      </w:r>
      <w:r w:rsidR="00912010">
        <w:t xml:space="preserve"> .</w:t>
      </w:r>
      <w:proofErr w:type="gramEnd"/>
    </w:p>
    <w:p w14:paraId="2FEA90CE" w14:textId="77777777" w:rsidR="006127F8" w:rsidRDefault="006127F8">
      <w:pPr>
        <w:spacing w:after="0"/>
      </w:pPr>
    </w:p>
    <w:sectPr w:rsidR="006127F8" w:rsidSect="00034616">
      <w:footerReference w:type="default" r:id="rId13"/>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E9D27" w14:textId="77777777" w:rsidR="009D0D2F" w:rsidRDefault="009D0D2F">
      <w:pPr>
        <w:spacing w:after="0" w:line="240" w:lineRule="auto"/>
      </w:pPr>
      <w:r>
        <w:separator/>
      </w:r>
    </w:p>
  </w:endnote>
  <w:endnote w:type="continuationSeparator" w:id="0">
    <w:p w14:paraId="7852158F" w14:textId="77777777" w:rsidR="009D0D2F" w:rsidRDefault="009D0D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6DF3" w14:textId="77777777" w:rsidR="006127F8" w:rsidRDefault="00000000">
    <w:pPr>
      <w:pStyle w:val="Footer"/>
      <w:jc w:val="center"/>
    </w:pPr>
    <w:r>
      <w:rPr>
        <w:color w:val="777777"/>
        <w:sz w:val="16"/>
      </w:rPr>
      <w:t>Part C – Descriptive Statistics | The Commute Question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A4BE6" w14:textId="77777777" w:rsidR="009D0D2F" w:rsidRDefault="009D0D2F">
      <w:pPr>
        <w:spacing w:after="0" w:line="240" w:lineRule="auto"/>
      </w:pPr>
      <w:r>
        <w:separator/>
      </w:r>
    </w:p>
  </w:footnote>
  <w:footnote w:type="continuationSeparator" w:id="0">
    <w:p w14:paraId="637DE6F7" w14:textId="77777777" w:rsidR="009D0D2F" w:rsidRDefault="009D0D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6488639">
    <w:abstractNumId w:val="8"/>
  </w:num>
  <w:num w:numId="2" w16cid:durableId="1157653509">
    <w:abstractNumId w:val="6"/>
  </w:num>
  <w:num w:numId="3" w16cid:durableId="186064045">
    <w:abstractNumId w:val="5"/>
  </w:num>
  <w:num w:numId="4" w16cid:durableId="1481926424">
    <w:abstractNumId w:val="4"/>
  </w:num>
  <w:num w:numId="5" w16cid:durableId="1378315681">
    <w:abstractNumId w:val="7"/>
  </w:num>
  <w:num w:numId="6" w16cid:durableId="1985624946">
    <w:abstractNumId w:val="3"/>
  </w:num>
  <w:num w:numId="7" w16cid:durableId="1265916895">
    <w:abstractNumId w:val="2"/>
  </w:num>
  <w:num w:numId="8" w16cid:durableId="1987666550">
    <w:abstractNumId w:val="1"/>
  </w:num>
  <w:num w:numId="9" w16cid:durableId="1565749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03C"/>
    <w:rsid w:val="00034616"/>
    <w:rsid w:val="0006063C"/>
    <w:rsid w:val="0015074B"/>
    <w:rsid w:val="0029639D"/>
    <w:rsid w:val="00326F90"/>
    <w:rsid w:val="006127F8"/>
    <w:rsid w:val="006655ED"/>
    <w:rsid w:val="00741DDC"/>
    <w:rsid w:val="007F6366"/>
    <w:rsid w:val="00880039"/>
    <w:rsid w:val="00912010"/>
    <w:rsid w:val="009D0D2F"/>
    <w:rsid w:val="00A21C85"/>
    <w:rsid w:val="00AA1D8D"/>
    <w:rsid w:val="00B47730"/>
    <w:rsid w:val="00CB0664"/>
    <w:rsid w:val="00E34895"/>
    <w:rsid w:val="00E436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835003"/>
  <w14:defaultImageDpi w14:val="300"/>
  <w15:docId w15:val="{52B4A222-E0FF-4CC5-AE13-0EF694656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4/relationships/chartEx" Target="charts/chartEx1.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4/relationships/chartEx" Target="charts/chartEx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hossa\Downloads\Part_C_Commute_Worksheet.xlsx" TargetMode="External"/><Relationship Id="rId2" Type="http://schemas.microsoft.com/office/2011/relationships/chartColorStyle" Target="colors3.xml"/><Relationship Id="rId1" Type="http://schemas.microsoft.com/office/2011/relationships/chartStyle" Target="style3.xml"/></Relationships>
</file>

<file path=word/charts/_rels/chartEx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C:\Users\hossa\Downloads\Part_C_Commute_Worksheet.xlsx" TargetMode="External"/></Relationships>
</file>

<file path=word/charts/_rels/chartEx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C:\Users\hossa\Downloads\Part_C_Commute_Workshee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ar-SA" sz="1400" b="0" i="0" u="none" strike="noStrike" baseline="0">
                <a:effectLst/>
              </a:rPr>
              <a:t>Variability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Ref>
              <c:f>'Descriptive Statistics Summary'!$C$35:$C$36</c:f>
              <c:strCache>
                <c:ptCount val="2"/>
                <c:pt idx="0">
                  <c:v>Commute Minutes</c:v>
                </c:pt>
                <c:pt idx="1">
                  <c:v>Final score</c:v>
                </c:pt>
              </c:strCache>
            </c:strRef>
          </c:cat>
          <c:val>
            <c:numRef>
              <c:f>'Descriptive Statistics Summary'!$D$35:$D$36</c:f>
              <c:numCache>
                <c:formatCode>General</c:formatCode>
                <c:ptCount val="2"/>
                <c:pt idx="0">
                  <c:v>87.690898319203626</c:v>
                </c:pt>
                <c:pt idx="1">
                  <c:v>12.278876098454855</c:v>
                </c:pt>
              </c:numCache>
            </c:numRef>
          </c:val>
          <c:extLst>
            <c:ext xmlns:c16="http://schemas.microsoft.com/office/drawing/2014/chart" uri="{C3380CC4-5D6E-409C-BE32-E72D297353CC}">
              <c16:uniqueId val="{00000000-90E8-48FA-B3A6-349599939F96}"/>
            </c:ext>
          </c:extLst>
        </c:ser>
        <c:dLbls>
          <c:showLegendKey val="0"/>
          <c:showVal val="0"/>
          <c:showCatName val="0"/>
          <c:showSerName val="0"/>
          <c:showPercent val="0"/>
          <c:showBubbleSize val="0"/>
        </c:dLbls>
        <c:gapWidth val="219"/>
        <c:overlap val="-27"/>
        <c:axId val="1039166703"/>
        <c:axId val="1034748175"/>
      </c:barChart>
      <c:catAx>
        <c:axId val="1039166703"/>
        <c:scaling>
          <c:orientation val="maxMin"/>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a:p>
                <a:pPr>
                  <a:defRPr/>
                </a:pP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SA"/>
          </a:p>
        </c:txPr>
        <c:crossAx val="1034748175"/>
        <c:crosses val="autoZero"/>
        <c:auto val="1"/>
        <c:lblAlgn val="ctr"/>
        <c:lblOffset val="100"/>
        <c:noMultiLvlLbl val="0"/>
      </c:catAx>
      <c:valAx>
        <c:axId val="1034748175"/>
        <c:scaling>
          <c:orientation val="minMax"/>
        </c:scaling>
        <c:delete val="0"/>
        <c:axPos val="r"/>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ar-SA" sz="1000" b="0" i="0" u="none" strike="noStrike" baseline="0">
                    <a:effectLst/>
                  </a:rPr>
                  <a:t>Coefficient of Variation (%)</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ar-SA"/>
          </a:p>
        </c:txPr>
        <c:crossAx val="103916670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ar-SA"/>
    </a:p>
  </c:txPr>
  <c:externalData r:id="rId3">
    <c:autoUpdate val="0"/>
  </c:externalData>
</c:chartSpace>
</file>

<file path=word/charts/chartEx1.xml><?xml version="1.0" encoding="utf-8"?>
<cx:chartSpace xmlns:a="http://schemas.openxmlformats.org/drawingml/2006/main" xmlns:r="http://schemas.openxmlformats.org/officeDocument/2006/relationships" xmlns:cx="http://schemas.microsoft.com/office/drawing/2014/chartex">
  <cx:chartData>
    <cx:externalData r:id="rId1" cx:autoUpdate="0"/>
    <cx:data id="0">
      <cx:numDim type="val">
        <cx:f>cleaned_data!$G$2:$G$250</cx:f>
        <cx:lvl ptCount="249" formatCode="General">
          <cx:pt idx="0">34.100000000000001</cx:pt>
          <cx:pt idx="1">5</cx:pt>
          <cx:pt idx="2">73.200000000000003</cx:pt>
          <cx:pt idx="3">13.699999999999999</cx:pt>
          <cx:pt idx="4">17.199999999999999</cx:pt>
          <cx:pt idx="5">29.600000000000001</cx:pt>
          <cx:pt idx="6">56.100000000000001</cx:pt>
          <cx:pt idx="7">51.700000000000003</cx:pt>
          <cx:pt idx="8">21.800000000000001</cx:pt>
          <cx:pt idx="9">15</cx:pt>
          <cx:pt idx="10">58.200000000000003</cx:pt>
          <cx:pt idx="11">22.800000000000001</cx:pt>
          <cx:pt idx="12">15.699999999999999</cx:pt>
          <cx:pt idx="13">39.200000000000003</cx:pt>
          <cx:pt idx="14">63.799999999999997</cx:pt>
          <cx:pt idx="15">13.6</cx:pt>
          <cx:pt idx="16">59.100000000000001</cx:pt>
          <cx:pt idx="17">44.299999999999997</cx:pt>
          <cx:pt idx="18">22.399999999999999</cx:pt>
          <cx:pt idx="19">5</cx:pt>
          <cx:pt idx="20">30.300000000000001</cx:pt>
          <cx:pt idx="21">43.899999999999999</cx:pt>
          <cx:pt idx="22">17.100000000000001</cx:pt>
          <cx:pt idx="23">111.7</cx:pt>
          <cx:pt idx="24">66.400000000000006</cx:pt>
          <cx:pt idx="25">10.800000000000001</cx:pt>
          <cx:pt idx="26">8.4000000000000004</cx:pt>
          <cx:pt idx="27">35.200000000000003</cx:pt>
          <cx:pt idx="28">31</cx:pt>
          <cx:pt idx="29">43.799999999999997</cx:pt>
          <cx:pt idx="30">16.199999999999999</cx:pt>
          <cx:pt idx="31">83</cx:pt>
          <cx:pt idx="32">52.600000000000001</cx:pt>
          <cx:pt idx="33">12.199999999999999</cx:pt>
          <cx:pt idx="34">27.199999999999999</cx:pt>
          <cx:pt idx="35">31.899999999999999</cx:pt>
          <cx:pt idx="36">11.6</cx:pt>
          <cx:pt idx="37">44.100000000000001</cx:pt>
          <cx:pt idx="38">18.5</cx:pt>
          <cx:pt idx="39">50.100000000000001</cx:pt>
          <cx:pt idx="40">9.6999999999999993</cx:pt>
          <cx:pt idx="41">74.900000000000006</cx:pt>
          <cx:pt idx="42">133.69999999999999</cx:pt>
          <cx:pt idx="43">78</cx:pt>
          <cx:pt idx="44">116.09999999999999</cx:pt>
          <cx:pt idx="45">14.699999999999999</cx:pt>
          <cx:pt idx="46">66.599999999999994</cx:pt>
          <cx:pt idx="47">27.899999999999999</cx:pt>
          <cx:pt idx="48">11.800000000000001</cx:pt>
          <cx:pt idx="49">89.5</cx:pt>
          <cx:pt idx="50">37.200000000000003</cx:pt>
          <cx:pt idx="51">26.199999999999999</cx:pt>
          <cx:pt idx="52">30.699999999999999</cx:pt>
          <cx:pt idx="53">15.6</cx:pt>
          <cx:pt idx="54">30.100000000000001</cx:pt>
          <cx:pt idx="55">29.5</cx:pt>
          <cx:pt idx="56">39.899999999999999</cx:pt>
          <cx:pt idx="57">13.699999999999999</cx:pt>
          <cx:pt idx="58">71.599999999999994</cx:pt>
          <cx:pt idx="59">59.600000000000001</cx:pt>
          <cx:pt idx="60">17</cx:pt>
          <cx:pt idx="61">44.5</cx:pt>
          <cx:pt idx="62">22.399999999999999</cx:pt>
          <cx:pt idx="63">39.299999999999997</cx:pt>
          <cx:pt idx="64">59.299999999999997</cx:pt>
          <cx:pt idx="65">41.399999999999999</cx:pt>
          <cx:pt idx="66">27.199999999999999</cx:pt>
          <cx:pt idx="67">32.600000000000001</cx:pt>
          <cx:pt idx="68">12.800000000000001</cx:pt>
          <cx:pt idx="69">54.799999999999997</cx:pt>
          <cx:pt idx="70">25.100000000000001</cx:pt>
          <cx:pt idx="71">16.100000000000001</cx:pt>
          <cx:pt idx="72">120.2</cx:pt>
          <cx:pt idx="73">79.700000000000003</cx:pt>
          <cx:pt idx="74">29.100000000000001</cx:pt>
          <cx:pt idx="75">37.899999999999999</cx:pt>
          <cx:pt idx="76">53.799999999999997</cx:pt>
          <cx:pt idx="77">16.600000000000001</cx:pt>
          <cx:pt idx="78">27.899999999999999</cx:pt>
          <cx:pt idx="79">20.199999999999999</cx:pt>
          <cx:pt idx="80">31.399999999999999</cx:pt>
          <cx:pt idx="81">87.200000000000003</cx:pt>
          <cx:pt idx="82">69.400000000000006</cx:pt>
          <cx:pt idx="83">27.699999999999999</cx:pt>
          <cx:pt idx="84">23.100000000000001</cx:pt>
          <cx:pt idx="85">15.6</cx:pt>
          <cx:pt idx="86">21.100000000000001</cx:pt>
          <cx:pt idx="87">68.799999999999997</cx:pt>
          <cx:pt idx="88">50</cx:pt>
          <cx:pt idx="89">55.700000000000003</cx:pt>
          <cx:pt idx="90">26</cx:pt>
          <cx:pt idx="91">62.899999999999999</cx:pt>
          <cx:pt idx="92">10.1</cx:pt>
          <cx:pt idx="93">63.299999999999997</cx:pt>
          <cx:pt idx="94">43.799999999999997</cx:pt>
          <cx:pt idx="95">25.899999999999999</cx:pt>
          <cx:pt idx="96">62.399999999999999</cx:pt>
          <cx:pt idx="97">176</cx:pt>
          <cx:pt idx="98">28.5</cx:pt>
          <cx:pt idx="100">67</cx:pt>
          <cx:pt idx="101">34.299999999999997</cx:pt>
          <cx:pt idx="102">18</cx:pt>
          <cx:pt idx="103">45.399999999999999</cx:pt>
          <cx:pt idx="104">13.1</cx:pt>
          <cx:pt idx="105">30.199999999999999</cx:pt>
          <cx:pt idx="106">70.900000000000006</cx:pt>
          <cx:pt idx="107">66.799999999999997</cx:pt>
          <cx:pt idx="108">38.899999999999999</cx:pt>
          <cx:pt idx="109">74.400000000000006</cx:pt>
          <cx:pt idx="110">23.300000000000001</cx:pt>
          <cx:pt idx="111">87.599999999999994</cx:pt>
          <cx:pt idx="112">33.200000000000003</cx:pt>
          <cx:pt idx="113">34.299999999999997</cx:pt>
          <cx:pt idx="114">15.199999999999999</cx:pt>
          <cx:pt idx="115">55.700000000000003</cx:pt>
          <cx:pt idx="116">53.600000000000001</cx:pt>
          <cx:pt idx="117">200</cx:pt>
          <cx:pt idx="118">25.600000000000001</cx:pt>
          <cx:pt idx="119">132</cx:pt>
          <cx:pt idx="120">9</cx:pt>
          <cx:pt idx="121">11.800000000000001</cx:pt>
          <cx:pt idx="122">39.5</cx:pt>
          <cx:pt idx="123">68.200000000000003</cx:pt>
          <cx:pt idx="124">29.300000000000001</cx:pt>
          <cx:pt idx="125">62</cx:pt>
          <cx:pt idx="126">29.5</cx:pt>
          <cx:pt idx="127">64.099999999999994</cx:pt>
          <cx:pt idx="128">18.100000000000001</cx:pt>
          <cx:pt idx="129">5.4000000000000004</cx:pt>
          <cx:pt idx="130">16.100000000000001</cx:pt>
          <cx:pt idx="131">30.399999999999999</cx:pt>
          <cx:pt idx="132">43.100000000000001</cx:pt>
          <cx:pt idx="133">15.800000000000001</cx:pt>
          <cx:pt idx="134">52.200000000000003</cx:pt>
          <cx:pt idx="135">256.5</cx:pt>
          <cx:pt idx="136">37.200000000000003</cx:pt>
          <cx:pt idx="137">48</cx:pt>
          <cx:pt idx="138">29.600000000000001</cx:pt>
          <cx:pt idx="139">26.100000000000001</cx:pt>
          <cx:pt idx="140">154</cx:pt>
          <cx:pt idx="141">11.1</cx:pt>
          <cx:pt idx="142">39.299999999999997</cx:pt>
          <cx:pt idx="143">36.5</cx:pt>
          <cx:pt idx="144">126.7</cx:pt>
          <cx:pt idx="146">36.899999999999999</cx:pt>
          <cx:pt idx="147">9.8000000000000007</cx:pt>
          <cx:pt idx="148">66.599999999999994</cx:pt>
          <cx:pt idx="149">20.899999999999999</cx:pt>
          <cx:pt idx="150">18.699999999999999</cx:pt>
          <cx:pt idx="151">26.600000000000001</cx:pt>
          <cx:pt idx="152">27</cx:pt>
          <cx:pt idx="153">190.19999999999999</cx:pt>
          <cx:pt idx="154">24.100000000000001</cx:pt>
          <cx:pt idx="155">21</cx:pt>
          <cx:pt idx="156">97.900000000000006</cx:pt>
          <cx:pt idx="157">209.80000000000001</cx:pt>
          <cx:pt idx="158">54.100000000000001</cx:pt>
          <cx:pt idx="159">25.899999999999999</cx:pt>
          <cx:pt idx="160">36.399999999999999</cx:pt>
          <cx:pt idx="161">26.100000000000001</cx:pt>
          <cx:pt idx="162">61.700000000000003</cx:pt>
          <cx:pt idx="163">9.8000000000000007</cx:pt>
          <cx:pt idx="164">11</cx:pt>
          <cx:pt idx="165">29.399999999999999</cx:pt>
          <cx:pt idx="166">67.700000000000003</cx:pt>
          <cx:pt idx="167">8.4000000000000004</cx:pt>
          <cx:pt idx="168">43.299999999999997</cx:pt>
          <cx:pt idx="169">37.600000000000001</cx:pt>
          <cx:pt idx="170">33</cx:pt>
          <cx:pt idx="171">11.1</cx:pt>
          <cx:pt idx="172">44.799999999999997</cx:pt>
          <cx:pt idx="173">6.2000000000000002</cx:pt>
          <cx:pt idx="174">19.699999999999999</cx:pt>
          <cx:pt idx="175">21.100000000000001</cx:pt>
          <cx:pt idx="176">70.599999999999994</cx:pt>
          <cx:pt idx="177">37.200000000000003</cx:pt>
          <cx:pt idx="178">60.299999999999997</cx:pt>
          <cx:pt idx="179">105.8</cx:pt>
          <cx:pt idx="180">46.399999999999999</cx:pt>
          <cx:pt idx="182">15</cx:pt>
          <cx:pt idx="183">10.9</cx:pt>
          <cx:pt idx="184">9.4000000000000004</cx:pt>
          <cx:pt idx="185">121.40000000000001</cx:pt>
          <cx:pt idx="186">16.100000000000001</cx:pt>
          <cx:pt idx="187">104.5</cx:pt>
          <cx:pt idx="188">17.5</cx:pt>
          <cx:pt idx="189">33</cx:pt>
          <cx:pt idx="190">66.400000000000006</cx:pt>
          <cx:pt idx="191">57.799999999999997</cx:pt>
          <cx:pt idx="192">12.1</cx:pt>
          <cx:pt idx="193">46</cx:pt>
          <cx:pt idx="194">238.90000000000001</cx:pt>
          <cx:pt idx="195">31.300000000000001</cx:pt>
          <cx:pt idx="196">18.800000000000001</cx:pt>
          <cx:pt idx="198">23.699999999999999</cx:pt>
          <cx:pt idx="199">17.399999999999999</cx:pt>
          <cx:pt idx="200">25.100000000000001</cx:pt>
          <cx:pt idx="201">28.399999999999999</cx:pt>
          <cx:pt idx="202">14.699999999999999</cx:pt>
          <cx:pt idx="203">32.899999999999999</cx:pt>
          <cx:pt idx="204">17.600000000000001</cx:pt>
          <cx:pt idx="205">13.1</cx:pt>
          <cx:pt idx="206">191.90000000000001</cx:pt>
          <cx:pt idx="207">39.200000000000003</cx:pt>
          <cx:pt idx="208">21.300000000000001</cx:pt>
          <cx:pt idx="209">58.399999999999999</cx:pt>
          <cx:pt idx="210">79.299999999999997</cx:pt>
          <cx:pt idx="211">30.199999999999999</cx:pt>
          <cx:pt idx="212">16.399999999999999</cx:pt>
          <cx:pt idx="213">62.799999999999997</cx:pt>
          <cx:pt idx="214">46.799999999999997</cx:pt>
          <cx:pt idx="215">105.09999999999999</cx:pt>
          <cx:pt idx="216">16.800000000000001</cx:pt>
          <cx:pt idx="217">63.799999999999997</cx:pt>
          <cx:pt idx="218">65.5</cx:pt>
          <cx:pt idx="219">42.600000000000001</cx:pt>
          <cx:pt idx="220">23.100000000000001</cx:pt>
          <cx:pt idx="221">6.2999999999999998</cx:pt>
          <cx:pt idx="222">25.199999999999999</cx:pt>
          <cx:pt idx="223">7.2000000000000002</cx:pt>
          <cx:pt idx="224">26.899999999999999</cx:pt>
          <cx:pt idx="225">36.600000000000001</cx:pt>
          <cx:pt idx="226">44.799999999999997</cx:pt>
          <cx:pt idx="227">13.199999999999999</cx:pt>
          <cx:pt idx="228">92</cx:pt>
          <cx:pt idx="229">142.30000000000001</cx:pt>
          <cx:pt idx="230">25.899999999999999</cx:pt>
          <cx:pt idx="231">34.799999999999997</cx:pt>
          <cx:pt idx="232">110.8</cx:pt>
          <cx:pt idx="233">50.399999999999999</cx:pt>
          <cx:pt idx="234">33.100000000000001</cx:pt>
          <cx:pt idx="235">38.100000000000001</cx:pt>
          <cx:pt idx="237">36.299999999999997</cx:pt>
          <cx:pt idx="238">19.399999999999999</cx:pt>
          <cx:pt idx="239">89.200000000000003</cx:pt>
          <cx:pt idx="240">95.099999999999994</cx:pt>
          <cx:pt idx="241">17.800000000000001</cx:pt>
          <cx:pt idx="242">70</cx:pt>
          <cx:pt idx="243">25.5</cx:pt>
          <cx:pt idx="244">64.099999999999994</cx:pt>
          <cx:pt idx="245">46.399999999999999</cx:pt>
          <cx:pt idx="247">34.100000000000001</cx:pt>
          <cx:pt idx="248">29.800000000000001</cx:pt>
        </cx:lvl>
      </cx:numDim>
    </cx:data>
  </cx:chartData>
  <cx:chart>
    <cx:title pos="t" align="ctr" overlay="0">
      <cx:tx>
        <cx:rich>
          <a:bodyPr spcFirstLastPara="1" vertOverflow="ellipsis" horzOverflow="overflow" wrap="square" lIns="0" tIns="0" rIns="0" bIns="0" anchor="ctr" anchorCtr="1"/>
          <a:lstStyle/>
          <a:p>
            <a:pPr algn="ctr" rtl="0">
              <a:defRPr/>
            </a:pPr>
            <a:r>
              <a:rPr lang="ar-SA"/>
              <a:t>Distribution of Student Commute Times</a:t>
            </a:r>
            <a:endParaRPr lang="en-US" sz="1400" b="0" i="0" u="none" strike="noStrike" baseline="0">
              <a:solidFill>
                <a:srgbClr val="000000">
                  <a:lumMod val="65000"/>
                  <a:lumOff val="35000"/>
                </a:srgbClr>
              </a:solidFill>
              <a:latin typeface="Calibri"/>
            </a:endParaRPr>
          </a:p>
        </cx:rich>
      </cx:tx>
    </cx:title>
    <cx:plotArea>
      <cx:plotAreaRegion>
        <cx:plotSurface>
          <cx:spPr>
            <a:ln>
              <a:solidFill>
                <a:schemeClr val="accent1">
                  <a:alpha val="98000"/>
                </a:schemeClr>
              </a:solidFill>
            </a:ln>
          </cx:spPr>
        </cx:plotSurface>
        <cx:series layoutId="clusteredColumn" uniqueId="{A1B82C44-3604-46EC-9A13-635F5A070466}">
          <cx:tx>
            <cx:txData>
              <cx:f>cleaned_data!$G$1</cx:f>
              <cx:v>commute_minutes</cx:v>
            </cx:txData>
          </cx:tx>
          <cx:dataId val="0"/>
          <cx:layoutPr>
            <cx:binning intervalClosed="r"/>
          </cx:layoutPr>
        </cx:series>
      </cx:plotAreaRegion>
      <cx:axis id="0">
        <cx:catScaling gapWidth="0"/>
        <cx:title>
          <cx:tx>
            <cx:rich>
              <a:bodyPr spcFirstLastPara="1" vertOverflow="ellipsis" horzOverflow="overflow" wrap="square" lIns="0" tIns="0" rIns="0" bIns="0" anchor="ctr" anchorCtr="1"/>
              <a:lstStyle/>
              <a:p>
                <a:pPr algn="ctr" rtl="0">
                  <a:defRPr/>
                </a:pPr>
                <a:r>
                  <a:rPr lang="ar-SA"/>
                  <a:t>Commute Time </a:t>
                </a:r>
                <a:endParaRPr lang="en-US" sz="900" b="0" i="0" u="none" strike="noStrike" baseline="0">
                  <a:solidFill>
                    <a:srgbClr val="000000">
                      <a:lumMod val="65000"/>
                      <a:lumOff val="35000"/>
                    </a:srgbClr>
                  </a:solidFill>
                  <a:latin typeface="Calibri"/>
                </a:endParaRPr>
              </a:p>
            </cx:rich>
          </cx:tx>
        </cx:title>
        <cx:tickLabels/>
        <cx:txPr>
          <a:bodyPr spcFirstLastPara="1" vertOverflow="ellipsis" horzOverflow="overflow" wrap="square" lIns="0" tIns="0" rIns="0" bIns="0" anchor="ctr" anchorCtr="1"/>
          <a:lstStyle/>
          <a:p>
            <a:pPr algn="ctr" rtl="0">
              <a:defRPr sz="1000" baseline="0"/>
            </a:pPr>
            <a:endParaRPr lang="en-US" sz="1000" b="0" i="0" u="none" strike="noStrike" baseline="0">
              <a:solidFill>
                <a:srgbClr val="000000">
                  <a:lumMod val="65000"/>
                  <a:lumOff val="35000"/>
                </a:srgbClr>
              </a:solidFill>
              <a:latin typeface="Calibri"/>
            </a:endParaRPr>
          </a:p>
        </cx:txPr>
      </cx:axis>
      <cx:axis id="1">
        <cx:valScaling/>
        <cx:title>
          <cx:tx>
            <cx:txData>
              <cx:v>Number of students</cx:v>
            </cx:txData>
          </cx:tx>
          <cx:txPr>
            <a:bodyPr spcFirstLastPara="1" vertOverflow="ellipsis" horzOverflow="overflow" wrap="square" lIns="0" tIns="0" rIns="0" bIns="0" anchor="ctr" anchorCtr="1"/>
            <a:lstStyle/>
            <a:p>
              <a:pPr algn="ctr" rtl="0">
                <a:defRPr/>
              </a:pPr>
              <a:r>
                <a:rPr lang="en-US" sz="900" b="0" i="0" u="none" strike="noStrike" baseline="0">
                  <a:solidFill>
                    <a:srgbClr val="000000">
                      <a:lumMod val="65000"/>
                      <a:lumOff val="35000"/>
                    </a:srgbClr>
                  </a:solidFill>
                  <a:latin typeface="Calibri"/>
                </a:rPr>
                <a:t>Number of students</a:t>
              </a:r>
            </a:p>
          </cx:txPr>
        </cx:title>
        <cx:majorGridlines/>
        <cx:tickLabels/>
        <cx:txPr>
          <a:bodyPr spcFirstLastPara="1" vertOverflow="ellipsis" horzOverflow="overflow" wrap="square" lIns="0" tIns="0" rIns="0" bIns="0" anchor="ctr" anchorCtr="1"/>
          <a:lstStyle/>
          <a:p>
            <a:pPr algn="ctr" rtl="0">
              <a:defRPr sz="1000" baseline="0"/>
            </a:pPr>
            <a:endParaRPr lang="en-US" sz="1000" b="0" i="0" u="none" strike="noStrike" baseline="0">
              <a:solidFill>
                <a:srgbClr val="000000">
                  <a:lumMod val="65000"/>
                  <a:lumOff val="35000"/>
                </a:srgbClr>
              </a:solidFill>
              <a:latin typeface="Calibri"/>
            </a:endParaRPr>
          </a:p>
        </cx:txPr>
      </cx:axis>
    </cx:plotArea>
  </cx:chart>
</cx:chartSpace>
</file>

<file path=word/charts/chartEx2.xml><?xml version="1.0" encoding="utf-8"?>
<cx:chartSpace xmlns:a="http://schemas.openxmlformats.org/drawingml/2006/main" xmlns:r="http://schemas.openxmlformats.org/officeDocument/2006/relationships" xmlns:cx="http://schemas.microsoft.com/office/drawing/2014/chartex">
  <cx:chartData>
    <cx:externalData r:id="rId1" cx:autoUpdate="0"/>
    <cx:data id="0">
      <cx:strDim type="cat">
        <cx:f>cleaned_data!$B$2:$B$250</cx:f>
        <cx:lvl ptCount="249">
          <cx:pt idx="0">cairo</cx:pt>
          <cx:pt idx="1">assiut</cx:pt>
          <cx:pt idx="2">cairo</cx:pt>
          <cx:pt idx="3">cairo</cx:pt>
          <cx:pt idx="4">menoufia</cx:pt>
          <cx:pt idx="5">cairo</cx:pt>
          <cx:pt idx="6">cairo</cx:pt>
          <cx:pt idx="7">cairo</cx:pt>
          <cx:pt idx="8">assiut</cx:pt>
          <cx:pt idx="9">alexandria</cx:pt>
          <cx:pt idx="10">mansoura</cx:pt>
          <cx:pt idx="11">cairo</cx:pt>
          <cx:pt idx="12">alexandria</cx:pt>
          <cx:pt idx="13">cairo</cx:pt>
          <cx:pt idx="14">alexandria</cx:pt>
          <cx:pt idx="15">mansoura</cx:pt>
          <cx:pt idx="16">alexandria</cx:pt>
          <cx:pt idx="17">cairo</cx:pt>
          <cx:pt idx="18">alexandria</cx:pt>
          <cx:pt idx="19">assiut</cx:pt>
          <cx:pt idx="20">cairo</cx:pt>
          <cx:pt idx="21">menoufia</cx:pt>
          <cx:pt idx="22">cairo</cx:pt>
          <cx:pt idx="23">cairo</cx:pt>
          <cx:pt idx="24">cairo</cx:pt>
          <cx:pt idx="25">menoufia</cx:pt>
          <cx:pt idx="26">menoufia</cx:pt>
          <cx:pt idx="27">alexandria</cx:pt>
          <cx:pt idx="28">mansoura</cx:pt>
          <cx:pt idx="29">mansoura</cx:pt>
          <cx:pt idx="30">mansoura</cx:pt>
          <cx:pt idx="31">cairo</cx:pt>
          <cx:pt idx="32">menoufia</cx:pt>
          <cx:pt idx="33">mansoura</cx:pt>
          <cx:pt idx="34">cairo</cx:pt>
          <cx:pt idx="35">alexandria</cx:pt>
          <cx:pt idx="36">cairo</cx:pt>
          <cx:pt idx="37">menoufia</cx:pt>
          <cx:pt idx="38">assiut</cx:pt>
          <cx:pt idx="39">cairo</cx:pt>
          <cx:pt idx="40">alexandria</cx:pt>
          <cx:pt idx="41">cairo</cx:pt>
          <cx:pt idx="42">cairo</cx:pt>
          <cx:pt idx="43">alexandria</cx:pt>
          <cx:pt idx="44">cairo</cx:pt>
          <cx:pt idx="45">mansoura</cx:pt>
          <cx:pt idx="46">alexandria</cx:pt>
          <cx:pt idx="47">cairo</cx:pt>
          <cx:pt idx="48">assiut</cx:pt>
          <cx:pt idx="49">cairo</cx:pt>
          <cx:pt idx="50">cairo</cx:pt>
          <cx:pt idx="51">alexandria</cx:pt>
          <cx:pt idx="52">menoufia</cx:pt>
          <cx:pt idx="53">menoufia</cx:pt>
          <cx:pt idx="54">menoufia</cx:pt>
          <cx:pt idx="55">menoufia</cx:pt>
          <cx:pt idx="56">mansoura</cx:pt>
          <cx:pt idx="57">mansoura</cx:pt>
          <cx:pt idx="58">cairo</cx:pt>
          <cx:pt idx="59">cairo</cx:pt>
          <cx:pt idx="60">mansoura</cx:pt>
          <cx:pt idx="61">assiut</cx:pt>
          <cx:pt idx="62">menoufia</cx:pt>
          <cx:pt idx="63">menoufia</cx:pt>
          <cx:pt idx="64">menoufia</cx:pt>
          <cx:pt idx="65">assiut</cx:pt>
          <cx:pt idx="66">alexandria</cx:pt>
          <cx:pt idx="67">mansoura</cx:pt>
          <cx:pt idx="68">alexandria</cx:pt>
          <cx:pt idx="69">cairo</cx:pt>
          <cx:pt idx="70">cairo</cx:pt>
          <cx:pt idx="71">cairo</cx:pt>
          <cx:pt idx="72">cairo</cx:pt>
          <cx:pt idx="73">mansoura</cx:pt>
          <cx:pt idx="74">menoufia</cx:pt>
          <cx:pt idx="75">cairo</cx:pt>
          <cx:pt idx="76">menoufia</cx:pt>
          <cx:pt idx="77">cairo</cx:pt>
          <cx:pt idx="78">alexandria</cx:pt>
          <cx:pt idx="79">menoufia</cx:pt>
          <cx:pt idx="80">cairo</cx:pt>
          <cx:pt idx="81">cairo</cx:pt>
          <cx:pt idx="82">cairo</cx:pt>
          <cx:pt idx="83">cairo</cx:pt>
          <cx:pt idx="84">cairo</cx:pt>
          <cx:pt idx="85">assiut</cx:pt>
          <cx:pt idx="86">alexandria</cx:pt>
          <cx:pt idx="87">alexandria</cx:pt>
          <cx:pt idx="88">assiut</cx:pt>
          <cx:pt idx="89">cairo</cx:pt>
          <cx:pt idx="90">menoufia</cx:pt>
          <cx:pt idx="91">cairo</cx:pt>
          <cx:pt idx="92">alexandria</cx:pt>
          <cx:pt idx="93">alexandria</cx:pt>
          <cx:pt idx="94">cairo</cx:pt>
          <cx:pt idx="95">assiut</cx:pt>
          <cx:pt idx="96">cairo</cx:pt>
          <cx:pt idx="97">cairo</cx:pt>
          <cx:pt idx="98">mansoura</cx:pt>
          <cx:pt idx="99">alexandria</cx:pt>
          <cx:pt idx="100">cairo</cx:pt>
          <cx:pt idx="101">mansoura</cx:pt>
          <cx:pt idx="102">cairo</cx:pt>
          <cx:pt idx="103">alexandria</cx:pt>
          <cx:pt idx="104">alexandria</cx:pt>
          <cx:pt idx="105">cairo</cx:pt>
          <cx:pt idx="106">cairo</cx:pt>
          <cx:pt idx="107">cairo</cx:pt>
          <cx:pt idx="108">cairo</cx:pt>
          <cx:pt idx="109">cairo</cx:pt>
          <cx:pt idx="110">mansoura</cx:pt>
          <cx:pt idx="111">cairo</cx:pt>
          <cx:pt idx="112">mansoura</cx:pt>
          <cx:pt idx="113">assiut</cx:pt>
          <cx:pt idx="114">alexandria</cx:pt>
          <cx:pt idx="115">cairo</cx:pt>
          <cx:pt idx="116">cairo</cx:pt>
          <cx:pt idx="117">cairo</cx:pt>
          <cx:pt idx="118">cairo</cx:pt>
          <cx:pt idx="119">cairo</cx:pt>
          <cx:pt idx="120">cairo</cx:pt>
          <cx:pt idx="121">alexandria</cx:pt>
          <cx:pt idx="122">alexandria</cx:pt>
          <cx:pt idx="123">alexandria</cx:pt>
          <cx:pt idx="124">menoufia</cx:pt>
          <cx:pt idx="125">alexandria</cx:pt>
          <cx:pt idx="126">menoufia</cx:pt>
          <cx:pt idx="127">cairo</cx:pt>
          <cx:pt idx="128">alexandria</cx:pt>
          <cx:pt idx="129">mansoura</cx:pt>
          <cx:pt idx="130">mansoura</cx:pt>
          <cx:pt idx="131">assiut</cx:pt>
          <cx:pt idx="132">alexandria</cx:pt>
          <cx:pt idx="133">menoufia</cx:pt>
          <cx:pt idx="134">alexandria</cx:pt>
          <cx:pt idx="135">cairo</cx:pt>
          <cx:pt idx="136">cairo</cx:pt>
          <cx:pt idx="137">alexandria</cx:pt>
          <cx:pt idx="138">cairo</cx:pt>
          <cx:pt idx="139">cairo</cx:pt>
          <cx:pt idx="140">cairo</cx:pt>
          <cx:pt idx="141">mansoura</cx:pt>
          <cx:pt idx="142">cairo</cx:pt>
          <cx:pt idx="143">cairo</cx:pt>
          <cx:pt idx="144">cairo</cx:pt>
          <cx:pt idx="145">alexandria</cx:pt>
          <cx:pt idx="146">assiut</cx:pt>
          <cx:pt idx="147">mansoura</cx:pt>
          <cx:pt idx="148">mansoura</cx:pt>
          <cx:pt idx="149">assiut</cx:pt>
          <cx:pt idx="150">cairo</cx:pt>
          <cx:pt idx="151">alexandria</cx:pt>
          <cx:pt idx="152">mansoura</cx:pt>
          <cx:pt idx="153">mansoura</cx:pt>
          <cx:pt idx="154">assiut</cx:pt>
          <cx:pt idx="155">mansoura</cx:pt>
          <cx:pt idx="156">cairo</cx:pt>
          <cx:pt idx="157">menoufia</cx:pt>
          <cx:pt idx="158">cairo</cx:pt>
          <cx:pt idx="159">alexandria</cx:pt>
          <cx:pt idx="160">alexandria</cx:pt>
          <cx:pt idx="161">assiut</cx:pt>
          <cx:pt idx="162">alexandria</cx:pt>
          <cx:pt idx="163">cairo</cx:pt>
          <cx:pt idx="164">assiut</cx:pt>
          <cx:pt idx="165">mansoura</cx:pt>
          <cx:pt idx="166">cairo</cx:pt>
          <cx:pt idx="167">assiut</cx:pt>
          <cx:pt idx="168">cairo</cx:pt>
          <cx:pt idx="169">assiut</cx:pt>
          <cx:pt idx="170">cairo</cx:pt>
          <cx:pt idx="171">assiut</cx:pt>
          <cx:pt idx="172">mansoura</cx:pt>
          <cx:pt idx="173">assiut</cx:pt>
          <cx:pt idx="174">menoufia</cx:pt>
          <cx:pt idx="175">mansoura</cx:pt>
          <cx:pt idx="176">cairo</cx:pt>
          <cx:pt idx="177">cairo</cx:pt>
          <cx:pt idx="178">mansoura</cx:pt>
          <cx:pt idx="179">cairo</cx:pt>
          <cx:pt idx="180">cairo</cx:pt>
          <cx:pt idx="181">assiut</cx:pt>
          <cx:pt idx="182">menoufia</cx:pt>
          <cx:pt idx="183">mansoura</cx:pt>
          <cx:pt idx="184">mansoura</cx:pt>
          <cx:pt idx="185">cairo</cx:pt>
          <cx:pt idx="186">menoufia</cx:pt>
          <cx:pt idx="187">alexandria</cx:pt>
          <cx:pt idx="188">cairo</cx:pt>
          <cx:pt idx="189">menoufia</cx:pt>
          <cx:pt idx="190">alexandria</cx:pt>
          <cx:pt idx="191">alexandria</cx:pt>
          <cx:pt idx="192">mansoura</cx:pt>
          <cx:pt idx="193">mansoura</cx:pt>
          <cx:pt idx="194">alexandria</cx:pt>
          <cx:pt idx="195">mansoura</cx:pt>
          <cx:pt idx="196">mansoura</cx:pt>
          <cx:pt idx="197">cairo</cx:pt>
          <cx:pt idx="198">menoufia</cx:pt>
          <cx:pt idx="199">assiut</cx:pt>
          <cx:pt idx="200">alexandria</cx:pt>
          <cx:pt idx="201">mansoura</cx:pt>
          <cx:pt idx="202">alexandria</cx:pt>
          <cx:pt idx="203">mansoura</cx:pt>
          <cx:pt idx="204">mansoura</cx:pt>
          <cx:pt idx="205">mansoura</cx:pt>
          <cx:pt idx="206">cairo</cx:pt>
          <cx:pt idx="207">cairo</cx:pt>
          <cx:pt idx="208">assiut</cx:pt>
          <cx:pt idx="209">assiut</cx:pt>
          <cx:pt idx="210">cairo</cx:pt>
          <cx:pt idx="211">alexandria</cx:pt>
          <cx:pt idx="212">alexandria</cx:pt>
          <cx:pt idx="213">cairo</cx:pt>
          <cx:pt idx="214">cairo</cx:pt>
          <cx:pt idx="215">menoufia</cx:pt>
          <cx:pt idx="216">menoufia</cx:pt>
          <cx:pt idx="217">alexandria</cx:pt>
          <cx:pt idx="218">cairo</cx:pt>
          <cx:pt idx="219">cairo</cx:pt>
          <cx:pt idx="220">menoufia</cx:pt>
          <cx:pt idx="221">assiut</cx:pt>
          <cx:pt idx="222">alexandria</cx:pt>
          <cx:pt idx="223">cairo</cx:pt>
          <cx:pt idx="224">assiut</cx:pt>
          <cx:pt idx="225">assiut</cx:pt>
          <cx:pt idx="226">cairo</cx:pt>
          <cx:pt idx="227">alexandria</cx:pt>
          <cx:pt idx="228">cairo</cx:pt>
          <cx:pt idx="229">cairo</cx:pt>
          <cx:pt idx="230">alexandria</cx:pt>
          <cx:pt idx="231">alexandria</cx:pt>
          <cx:pt idx="232">alexandria</cx:pt>
          <cx:pt idx="233">cairo</cx:pt>
          <cx:pt idx="234">cairo</cx:pt>
          <cx:pt idx="235">cairo</cx:pt>
          <cx:pt idx="236">cairo</cx:pt>
          <cx:pt idx="237">cairo</cx:pt>
          <cx:pt idx="238">alexandria</cx:pt>
          <cx:pt idx="239">cairo</cx:pt>
          <cx:pt idx="240">alexandria</cx:pt>
          <cx:pt idx="241">cairo</cx:pt>
          <cx:pt idx="242">assiut</cx:pt>
          <cx:pt idx="243">menoufia</cx:pt>
          <cx:pt idx="244">alexandria</cx:pt>
          <cx:pt idx="245">cairo</cx:pt>
          <cx:pt idx="246">mansoura</cx:pt>
          <cx:pt idx="247">mansoura</cx:pt>
          <cx:pt idx="248">assiut</cx:pt>
        </cx:lvl>
      </cx:strDim>
      <cx:numDim type="val">
        <cx:f>cleaned_data!$G$2:$G$250</cx:f>
        <cx:lvl ptCount="249" formatCode="General">
          <cx:pt idx="0">34.100000000000001</cx:pt>
          <cx:pt idx="1">5</cx:pt>
          <cx:pt idx="2">73.200000000000003</cx:pt>
          <cx:pt idx="3">13.699999999999999</cx:pt>
          <cx:pt idx="4">17.199999999999999</cx:pt>
          <cx:pt idx="5">29.600000000000001</cx:pt>
          <cx:pt idx="6">56.100000000000001</cx:pt>
          <cx:pt idx="7">51.700000000000003</cx:pt>
          <cx:pt idx="8">21.800000000000001</cx:pt>
          <cx:pt idx="9">15</cx:pt>
          <cx:pt idx="10">58.200000000000003</cx:pt>
          <cx:pt idx="11">22.800000000000001</cx:pt>
          <cx:pt idx="12">15.699999999999999</cx:pt>
          <cx:pt idx="13">39.200000000000003</cx:pt>
          <cx:pt idx="14">63.799999999999997</cx:pt>
          <cx:pt idx="15">13.6</cx:pt>
          <cx:pt idx="16">59.100000000000001</cx:pt>
          <cx:pt idx="17">44.299999999999997</cx:pt>
          <cx:pt idx="18">22.399999999999999</cx:pt>
          <cx:pt idx="19">5</cx:pt>
          <cx:pt idx="20">30.300000000000001</cx:pt>
          <cx:pt idx="21">43.899999999999999</cx:pt>
          <cx:pt idx="22">17.100000000000001</cx:pt>
          <cx:pt idx="23">111.7</cx:pt>
          <cx:pt idx="24">66.400000000000006</cx:pt>
          <cx:pt idx="25">10.800000000000001</cx:pt>
          <cx:pt idx="26">8.4000000000000004</cx:pt>
          <cx:pt idx="27">35.200000000000003</cx:pt>
          <cx:pt idx="28">31</cx:pt>
          <cx:pt idx="29">43.799999999999997</cx:pt>
          <cx:pt idx="30">16.199999999999999</cx:pt>
          <cx:pt idx="31">83</cx:pt>
          <cx:pt idx="32">52.600000000000001</cx:pt>
          <cx:pt idx="33">12.199999999999999</cx:pt>
          <cx:pt idx="34">27.199999999999999</cx:pt>
          <cx:pt idx="35">31.899999999999999</cx:pt>
          <cx:pt idx="36">11.6</cx:pt>
          <cx:pt idx="37">44.100000000000001</cx:pt>
          <cx:pt idx="38">18.5</cx:pt>
          <cx:pt idx="39">50.100000000000001</cx:pt>
          <cx:pt idx="40">9.6999999999999993</cx:pt>
          <cx:pt idx="41">74.900000000000006</cx:pt>
          <cx:pt idx="42">133.69999999999999</cx:pt>
          <cx:pt idx="43">78</cx:pt>
          <cx:pt idx="44">116.09999999999999</cx:pt>
          <cx:pt idx="45">14.699999999999999</cx:pt>
          <cx:pt idx="46">66.599999999999994</cx:pt>
          <cx:pt idx="47">27.899999999999999</cx:pt>
          <cx:pt idx="48">11.800000000000001</cx:pt>
          <cx:pt idx="49">89.5</cx:pt>
          <cx:pt idx="50">37.200000000000003</cx:pt>
          <cx:pt idx="51">26.199999999999999</cx:pt>
          <cx:pt idx="52">30.699999999999999</cx:pt>
          <cx:pt idx="53">15.6</cx:pt>
          <cx:pt idx="54">30.100000000000001</cx:pt>
          <cx:pt idx="55">29.5</cx:pt>
          <cx:pt idx="56">39.899999999999999</cx:pt>
          <cx:pt idx="57">13.699999999999999</cx:pt>
          <cx:pt idx="58">71.599999999999994</cx:pt>
          <cx:pt idx="59">59.600000000000001</cx:pt>
          <cx:pt idx="60">17</cx:pt>
          <cx:pt idx="61">44.5</cx:pt>
          <cx:pt idx="62">22.399999999999999</cx:pt>
          <cx:pt idx="63">39.299999999999997</cx:pt>
          <cx:pt idx="64">59.299999999999997</cx:pt>
          <cx:pt idx="65">41.399999999999999</cx:pt>
          <cx:pt idx="66">27.199999999999999</cx:pt>
          <cx:pt idx="67">32.600000000000001</cx:pt>
          <cx:pt idx="68">12.800000000000001</cx:pt>
          <cx:pt idx="69">54.799999999999997</cx:pt>
          <cx:pt idx="70">25.100000000000001</cx:pt>
          <cx:pt idx="71">16.100000000000001</cx:pt>
          <cx:pt idx="72">120.2</cx:pt>
          <cx:pt idx="73">79.700000000000003</cx:pt>
          <cx:pt idx="74">29.100000000000001</cx:pt>
          <cx:pt idx="75">37.899999999999999</cx:pt>
          <cx:pt idx="76">53.799999999999997</cx:pt>
          <cx:pt idx="77">16.600000000000001</cx:pt>
          <cx:pt idx="78">27.899999999999999</cx:pt>
          <cx:pt idx="79">20.199999999999999</cx:pt>
          <cx:pt idx="80">31.399999999999999</cx:pt>
          <cx:pt idx="81">87.200000000000003</cx:pt>
          <cx:pt idx="82">69.400000000000006</cx:pt>
          <cx:pt idx="83">27.699999999999999</cx:pt>
          <cx:pt idx="84">23.100000000000001</cx:pt>
          <cx:pt idx="85">15.6</cx:pt>
          <cx:pt idx="86">21.100000000000001</cx:pt>
          <cx:pt idx="87">68.799999999999997</cx:pt>
          <cx:pt idx="88">50</cx:pt>
          <cx:pt idx="89">55.700000000000003</cx:pt>
          <cx:pt idx="90">26</cx:pt>
          <cx:pt idx="91">62.899999999999999</cx:pt>
          <cx:pt idx="92">10.1</cx:pt>
          <cx:pt idx="93">63.299999999999997</cx:pt>
          <cx:pt idx="94">43.799999999999997</cx:pt>
          <cx:pt idx="95">25.899999999999999</cx:pt>
          <cx:pt idx="96">62.399999999999999</cx:pt>
          <cx:pt idx="97">176</cx:pt>
          <cx:pt idx="98">28.5</cx:pt>
          <cx:pt idx="100">67</cx:pt>
          <cx:pt idx="101">34.299999999999997</cx:pt>
          <cx:pt idx="102">18</cx:pt>
          <cx:pt idx="103">45.399999999999999</cx:pt>
          <cx:pt idx="104">13.1</cx:pt>
          <cx:pt idx="105">30.199999999999999</cx:pt>
          <cx:pt idx="106">70.900000000000006</cx:pt>
          <cx:pt idx="107">66.799999999999997</cx:pt>
          <cx:pt idx="108">38.899999999999999</cx:pt>
          <cx:pt idx="109">74.400000000000006</cx:pt>
          <cx:pt idx="110">23.300000000000001</cx:pt>
          <cx:pt idx="111">87.599999999999994</cx:pt>
          <cx:pt idx="112">33.200000000000003</cx:pt>
          <cx:pt idx="113">34.299999999999997</cx:pt>
          <cx:pt idx="114">15.199999999999999</cx:pt>
          <cx:pt idx="115">55.700000000000003</cx:pt>
          <cx:pt idx="116">53.600000000000001</cx:pt>
          <cx:pt idx="117">200</cx:pt>
          <cx:pt idx="118">25.600000000000001</cx:pt>
          <cx:pt idx="119">132</cx:pt>
          <cx:pt idx="120">9</cx:pt>
          <cx:pt idx="121">11.800000000000001</cx:pt>
          <cx:pt idx="122">39.5</cx:pt>
          <cx:pt idx="123">68.200000000000003</cx:pt>
          <cx:pt idx="124">29.300000000000001</cx:pt>
          <cx:pt idx="125">62</cx:pt>
          <cx:pt idx="126">29.5</cx:pt>
          <cx:pt idx="127">64.099999999999994</cx:pt>
          <cx:pt idx="128">18.100000000000001</cx:pt>
          <cx:pt idx="129">5.4000000000000004</cx:pt>
          <cx:pt idx="130">16.100000000000001</cx:pt>
          <cx:pt idx="131">30.399999999999999</cx:pt>
          <cx:pt idx="132">43.100000000000001</cx:pt>
          <cx:pt idx="133">15.800000000000001</cx:pt>
          <cx:pt idx="134">52.200000000000003</cx:pt>
          <cx:pt idx="135">256.5</cx:pt>
          <cx:pt idx="136">37.200000000000003</cx:pt>
          <cx:pt idx="137">48</cx:pt>
          <cx:pt idx="138">29.600000000000001</cx:pt>
          <cx:pt idx="139">26.100000000000001</cx:pt>
          <cx:pt idx="140">154</cx:pt>
          <cx:pt idx="141">11.1</cx:pt>
          <cx:pt idx="142">39.299999999999997</cx:pt>
          <cx:pt idx="143">36.5</cx:pt>
          <cx:pt idx="144">126.7</cx:pt>
          <cx:pt idx="146">36.899999999999999</cx:pt>
          <cx:pt idx="147">9.8000000000000007</cx:pt>
          <cx:pt idx="148">66.599999999999994</cx:pt>
          <cx:pt idx="149">20.899999999999999</cx:pt>
          <cx:pt idx="150">18.699999999999999</cx:pt>
          <cx:pt idx="151">26.600000000000001</cx:pt>
          <cx:pt idx="152">27</cx:pt>
          <cx:pt idx="153">190.19999999999999</cx:pt>
          <cx:pt idx="154">24.100000000000001</cx:pt>
          <cx:pt idx="155">21</cx:pt>
          <cx:pt idx="156">97.900000000000006</cx:pt>
          <cx:pt idx="157">209.80000000000001</cx:pt>
          <cx:pt idx="158">54.100000000000001</cx:pt>
          <cx:pt idx="159">25.899999999999999</cx:pt>
          <cx:pt idx="160">36.399999999999999</cx:pt>
          <cx:pt idx="161">26.100000000000001</cx:pt>
          <cx:pt idx="162">61.700000000000003</cx:pt>
          <cx:pt idx="163">9.8000000000000007</cx:pt>
          <cx:pt idx="164">11</cx:pt>
          <cx:pt idx="165">29.399999999999999</cx:pt>
          <cx:pt idx="166">67.700000000000003</cx:pt>
          <cx:pt idx="167">8.4000000000000004</cx:pt>
          <cx:pt idx="168">43.299999999999997</cx:pt>
          <cx:pt idx="169">37.600000000000001</cx:pt>
          <cx:pt idx="170">33</cx:pt>
          <cx:pt idx="171">11.1</cx:pt>
          <cx:pt idx="172">44.799999999999997</cx:pt>
          <cx:pt idx="173">6.2000000000000002</cx:pt>
          <cx:pt idx="174">19.699999999999999</cx:pt>
          <cx:pt idx="175">21.100000000000001</cx:pt>
          <cx:pt idx="176">70.599999999999994</cx:pt>
          <cx:pt idx="177">37.200000000000003</cx:pt>
          <cx:pt idx="178">60.299999999999997</cx:pt>
          <cx:pt idx="179">105.8</cx:pt>
          <cx:pt idx="180">46.399999999999999</cx:pt>
          <cx:pt idx="182">15</cx:pt>
          <cx:pt idx="183">10.9</cx:pt>
          <cx:pt idx="184">9.4000000000000004</cx:pt>
          <cx:pt idx="185">121.40000000000001</cx:pt>
          <cx:pt idx="186">16.100000000000001</cx:pt>
          <cx:pt idx="187">104.5</cx:pt>
          <cx:pt idx="188">17.5</cx:pt>
          <cx:pt idx="189">33</cx:pt>
          <cx:pt idx="190">66.400000000000006</cx:pt>
          <cx:pt idx="191">57.799999999999997</cx:pt>
          <cx:pt idx="192">12.1</cx:pt>
          <cx:pt idx="193">46</cx:pt>
          <cx:pt idx="194">238.90000000000001</cx:pt>
          <cx:pt idx="195">31.300000000000001</cx:pt>
          <cx:pt idx="196">18.800000000000001</cx:pt>
          <cx:pt idx="198">23.699999999999999</cx:pt>
          <cx:pt idx="199">17.399999999999999</cx:pt>
          <cx:pt idx="200">25.100000000000001</cx:pt>
          <cx:pt idx="201">28.399999999999999</cx:pt>
          <cx:pt idx="202">14.699999999999999</cx:pt>
          <cx:pt idx="203">32.899999999999999</cx:pt>
          <cx:pt idx="204">17.600000000000001</cx:pt>
          <cx:pt idx="205">13.1</cx:pt>
          <cx:pt idx="206">191.90000000000001</cx:pt>
          <cx:pt idx="207">39.200000000000003</cx:pt>
          <cx:pt idx="208">21.300000000000001</cx:pt>
          <cx:pt idx="209">58.399999999999999</cx:pt>
          <cx:pt idx="210">79.299999999999997</cx:pt>
          <cx:pt idx="211">30.199999999999999</cx:pt>
          <cx:pt idx="212">16.399999999999999</cx:pt>
          <cx:pt idx="213">62.799999999999997</cx:pt>
          <cx:pt idx="214">46.799999999999997</cx:pt>
          <cx:pt idx="215">105.09999999999999</cx:pt>
          <cx:pt idx="216">16.800000000000001</cx:pt>
          <cx:pt idx="217">63.799999999999997</cx:pt>
          <cx:pt idx="218">65.5</cx:pt>
          <cx:pt idx="219">42.600000000000001</cx:pt>
          <cx:pt idx="220">23.100000000000001</cx:pt>
          <cx:pt idx="221">6.2999999999999998</cx:pt>
          <cx:pt idx="222">25.199999999999999</cx:pt>
          <cx:pt idx="223">7.2000000000000002</cx:pt>
          <cx:pt idx="224">26.899999999999999</cx:pt>
          <cx:pt idx="225">36.600000000000001</cx:pt>
          <cx:pt idx="226">44.799999999999997</cx:pt>
          <cx:pt idx="227">13.199999999999999</cx:pt>
          <cx:pt idx="228">92</cx:pt>
          <cx:pt idx="229">142.30000000000001</cx:pt>
          <cx:pt idx="230">25.899999999999999</cx:pt>
          <cx:pt idx="231">34.799999999999997</cx:pt>
          <cx:pt idx="232">110.8</cx:pt>
          <cx:pt idx="233">50.399999999999999</cx:pt>
          <cx:pt idx="234">33.100000000000001</cx:pt>
          <cx:pt idx="235">38.100000000000001</cx:pt>
          <cx:pt idx="237">36.299999999999997</cx:pt>
          <cx:pt idx="238">19.399999999999999</cx:pt>
          <cx:pt idx="239">89.200000000000003</cx:pt>
          <cx:pt idx="240">95.099999999999994</cx:pt>
          <cx:pt idx="241">17.800000000000001</cx:pt>
          <cx:pt idx="242">70</cx:pt>
          <cx:pt idx="243">25.5</cx:pt>
          <cx:pt idx="244">64.099999999999994</cx:pt>
          <cx:pt idx="245">46.399999999999999</cx:pt>
          <cx:pt idx="247">34.100000000000001</cx:pt>
          <cx:pt idx="248">29.800000000000001</cx:pt>
        </cx:lvl>
      </cx:numDim>
    </cx:data>
  </cx:chartData>
  <cx:chart>
    <cx:title pos="t" align="ctr" overlay="0">
      <cx:tx>
        <cx:rich>
          <a:bodyPr spcFirstLastPara="1" vertOverflow="ellipsis" horzOverflow="overflow" wrap="square" lIns="0" tIns="0" rIns="0" bIns="0" anchor="ctr" anchorCtr="1"/>
          <a:lstStyle/>
          <a:p>
            <a:pPr algn="ctr" rtl="0">
              <a:defRPr/>
            </a:pPr>
            <a:r>
              <a:rPr lang="ar-SA"/>
              <a:t>Commute Time by Branch</a:t>
            </a:r>
            <a:endParaRPr lang="en-US" sz="1400" b="0" i="0" u="none" strike="noStrike" baseline="0">
              <a:solidFill>
                <a:srgbClr val="000000">
                  <a:lumMod val="65000"/>
                  <a:lumOff val="35000"/>
                </a:srgbClr>
              </a:solidFill>
              <a:latin typeface="Calibri"/>
            </a:endParaRPr>
          </a:p>
        </cx:rich>
      </cx:tx>
      <cx:extLst>
        <cx:ext uri="ext:featex">
          <cx:featureExtension feature="mp" drop="onModelChange">
            <cx:offset top="-0.02500000037252903"/>
          </cx:featureExtension>
        </cx:ext>
      </cx:extLst>
    </cx:title>
    <cx:plotArea>
      <cx:plotAreaRegion>
        <cx:series layoutId="boxWhisker" uniqueId="{00000000-3DA9-4E57-908A-7C7FFC739797}">
          <cx:tx>
            <cx:txData>
              <cx:f>cleaned_data!$G$1</cx:f>
              <cx:v>commute_minutes</cx:v>
            </cx:txData>
          </cx:tx>
          <cx:dataId val="0"/>
          <cx:layoutPr>
            <cx:visibility meanLine="0" meanMarker="1" nonoutliers="0" outliers="1"/>
            <cx:statistics quartileMethod="exclusive"/>
          </cx:layoutPr>
        </cx:series>
      </cx:plotAreaRegion>
      <cx:axis id="0">
        <cx:catScaling gapWidth="1"/>
        <cx:title>
          <cx:tx>
            <cx:rich>
              <a:bodyPr spcFirstLastPara="1" vertOverflow="ellipsis" horzOverflow="overflow" wrap="square" lIns="0" tIns="0" rIns="0" bIns="0"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a:pPr>
                <a:r>
                  <a:rPr lang="ar-SA" sz="1200" b="0" i="0" u="none" strike="noStrike" baseline="0">
                    <a:solidFill>
                      <a:srgbClr val="000000">
                        <a:lumMod val="65000"/>
                        <a:lumOff val="35000"/>
                      </a:srgbClr>
                    </a:solidFill>
                    <a:effectLst/>
                    <a:latin typeface="Calibri"/>
                    <a:ea typeface="Calibri" panose="020F0502020204030204" pitchFamily="34" charset="0"/>
                    <a:cs typeface="Calibri" panose="020F0502020204030204" pitchFamily="34" charset="0"/>
                  </a:rPr>
                  <a:t>Branch</a:t>
                </a:r>
                <a:endParaRPr lang="en-US" sz="1200" b="0" i="0" u="none" strike="noStrike" baseline="0">
                  <a:solidFill>
                    <a:srgbClr val="000000">
                      <a:lumMod val="65000"/>
                      <a:lumOff val="35000"/>
                    </a:srgbClr>
                  </a:solidFill>
                  <a:latin typeface="Calibri"/>
                </a:endParaRPr>
              </a:p>
            </cx:rich>
          </cx:tx>
          <cx:extLst>
            <cx:ext uri="ext:featex">
              <cx:featureExtension feature="mp" drop="onModelChange">
                <cx:offset top="0.012530621141195297" left="-0.03759295865893364"/>
              </cx:featureExtension>
            </cx:ext>
          </cx:extLst>
        </cx:title>
        <cx:tickLabels/>
      </cx:axis>
      <cx:axis id="1">
        <cx:valScaling/>
        <cx:title>
          <cx:tx>
            <cx:txData>
              <cx:v>Minutes</cx:v>
            </cx:txData>
          </cx:tx>
          <cx:txPr>
            <a:bodyPr spcFirstLastPara="1" vertOverflow="ellipsis" horzOverflow="overflow" wrap="square" lIns="0" tIns="0" rIns="0" bIns="0" anchor="ctr" anchorCtr="1"/>
            <a:lstStyle/>
            <a:p>
              <a:pPr algn="ctr" rtl="0">
                <a:defRPr sz="1200" baseline="0"/>
              </a:pPr>
              <a:r>
                <a:rPr lang="en-US" sz="1200" b="0" i="0" u="none" strike="noStrike" baseline="0">
                  <a:solidFill>
                    <a:srgbClr val="000000">
                      <a:lumMod val="65000"/>
                      <a:lumOff val="35000"/>
                    </a:srgbClr>
                  </a:solidFill>
                  <a:latin typeface="Calibri"/>
                </a:rPr>
                <a:t>Minutes</a:t>
              </a:r>
            </a:p>
          </cx:txPr>
          <cx:extLst>
            <cx:ext uri="ext:featex">
              <cx:featureExtension feature="mp" drop="onModelChange">
                <cx:offset top="-0.02500000037252903" left="0.01666666753590107"/>
              </cx:featureExtension>
            </cx:ext>
          </cx:extLst>
        </cx:title>
        <cx:majorGridlines/>
        <cx:tickLabels/>
      </cx:axis>
    </cx:plotArea>
  </cx:chart>
</cx: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6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tx1"/>
    </cs:fontRef>
    <cs:spPr>
      <a:solidFill>
        <a:schemeClr val="phClr"/>
      </a:solidFill>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406">
  <cs:axisTitle>
    <cs:lnRef idx="0"/>
    <cs:fillRef idx="0"/>
    <cs:effectRef idx="0"/>
    <cs:fontRef idx="minor">
      <a:schemeClr val="tx1">
        <a:lumMod val="65000"/>
        <a:lumOff val="35000"/>
      </a:schemeClr>
    </cs:fontRef>
    <cs:defRPr sz="9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cs:chartArea>
  <cs:dataLabel>
    <cs:lnRef idx="0"/>
    <cs:fillRef idx="0"/>
    <cs:effectRef idx="0"/>
    <cs:fontRef idx="minor">
      <a:schemeClr val="tx1">
        <a:lumMod val="65000"/>
        <a:lumOff val="35000"/>
      </a:schemeClr>
    </cs:fontRef>
    <cs:defRPr sz="9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cs:bodyPr rot="0" spcFirstLastPara="1" vertOverflow="clip" horzOverflow="clip" vert="horz" wrap="square" lIns="36576" tIns="18288" rIns="36576" bIns="18288" anchor="ctr" anchorCtr="1">
      <a:spAutoFit/>
    </cs:bodyPr>
  </cs:dataLabelCallout>
  <cs:dataPoint>
    <cs:lnRef idx="0">
      <cs:styleClr val="auto"/>
    </cs:lnRef>
    <cs:fillRef idx="0">
      <cs:styleClr val="auto"/>
    </cs:fillRef>
    <cs:effectRef idx="0"/>
    <cs:fontRef idx="minor">
      <a:schemeClr val="tx1"/>
    </cs:fontRef>
    <cs:spPr>
      <a:solidFill>
        <a:schemeClr val="phClr"/>
      </a:solidFill>
      <a:ln>
        <a:solidFill>
          <a:schemeClr val="phClr"/>
        </a:solidFill>
      </a:ln>
    </cs:spPr>
  </cs:dataPoint>
  <cs:dataPoint3D>
    <cs:lnRef idx="0"/>
    <cs:fillRef idx="0">
      <cs:styleClr val="auto"/>
    </cs:fillRef>
    <cs:effectRef idx="0"/>
    <cs:fontRef idx="minor">
      <a:schemeClr val="tx1"/>
    </cs:fontRef>
    <cs:spPr>
      <a:solidFill>
        <a:schemeClr val="phClr"/>
      </a:solidFill>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fillRef idx="0">
      <cs:styleClr val="auto"/>
    </cs:fillRef>
    <cs:effectRef idx="0"/>
    <cs:fontRef idx="minor">
      <a:schemeClr val="tx1"/>
    </cs:fontRef>
    <cs:spPr>
      <a:solidFill>
        <a:schemeClr val="phClr"/>
      </a:solidFill>
      <a:ln w="9525">
        <a:solidFill>
          <a:schemeClr val="lt1"/>
        </a:solidFill>
      </a:ln>
    </cs:spPr>
  </cs:dataPointMarker>
  <cs:dataPointMarkerLayout symbol="circle" size="5"/>
  <cs:dataPointWireframe>
    <cs:lnRef idx="0">
      <cs:styleClr val="auto"/>
    </cs:lnRef>
    <cs:fillRef idx="0"/>
    <cs:effectRef idx="0"/>
    <cs:fontRef idx="minor">
      <a:schemeClr val="tx1"/>
    </cs:fontRef>
    <cs:spPr>
      <a:ln w="2857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15000"/>
            <a:lumOff val="8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cs:seriesAxis>
  <cs:seriesLine>
    <cs:lnRef idx="0"/>
    <cs:fillRef idx="0"/>
    <cs:effectRef idx="0"/>
    <cs:fontRef idx="minor">
      <a:schemeClr val="tx1"/>
    </cs:fontRef>
    <cs:spPr>
      <a:ln w="9525" cap="flat">
        <a:solidFill>
          <a:srgbClr val="D9D9D9"/>
        </a:solidFill>
        <a:round/>
      </a:ln>
    </cs:spPr>
  </cs:seriesLine>
  <cs:title>
    <cs:lnRef idx="0"/>
    <cs:fillRef idx="0"/>
    <cs:effectRef idx="0"/>
    <cs:fontRef idx="minor">
      <a:schemeClr val="tx1">
        <a:lumMod val="65000"/>
        <a:lumOff val="35000"/>
      </a:schemeClr>
    </cs:fontRef>
    <cs:defRPr sz="140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cs:valueAxis>
  <cs:wall>
    <cs:lnRef idx="0"/>
    <cs:fillRef idx="0"/>
    <cs:effectRef idx="0"/>
    <cs:fontRef idx="minor">
      <a:schemeClr val="tx1"/>
    </cs:fontRef>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134</TotalTime>
  <Pages>5</Pages>
  <Words>1003</Words>
  <Characters>5723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Karim Hossam</cp:lastModifiedBy>
  <cp:revision>3</cp:revision>
  <dcterms:created xsi:type="dcterms:W3CDTF">2013-12-23T23:15:00Z</dcterms:created>
  <dcterms:modified xsi:type="dcterms:W3CDTF">2026-08-31T03:19:00Z</dcterms:modified>
  <cp:category/>
</cp:coreProperties>
</file>