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Part F — The Recommendation</w:t>
      </w:r>
    </w:p>
    <w:p>
      <w:pPr>
        <w:pBdr>
          <w:bottom w:val="single" w:color="1F3864" w:sz="6" w:space="4"/>
        </w:pBdr>
        <w:spacing w:after="260"/>
        <w:jc w:val="center"/>
      </w:pPr>
      <w:r>
        <w:rPr>
          <w:i/>
          <w:iCs/>
          <w:color w:val="595959"/>
          <w:sz w:val="20"/>
          <w:szCs w:val="20"/>
        </w:rPr>
        <w:t xml:space="preserve">Memo to the Academic Director — Remote-Attendance Policy for Long-Commute Students</w:t>
      </w:r>
    </w:p>
    <w:p>
      <w:pPr>
        <w:spacing w:after="80" w:before="200"/>
      </w:pPr>
      <w:r>
        <w:rPr>
          <w:b/>
          <w:bCs/>
          <w:color w:val="1F3864"/>
          <w:sz w:val="24"/>
          <w:szCs w:val="24"/>
        </w:rPr>
        <w:t xml:space="preserve">The Answer</w:t>
      </w:r>
    </w:p>
    <w:p>
      <w:pPr>
        <w:spacing w:after="100"/>
      </w:pPr>
      <w:r>
        <w:rPr>
          <w:sz w:val="21"/>
          <w:szCs w:val="21"/>
        </w:rPr>
        <w:t xml:space="preserve">Do not run the full remote-attendance policy as proposed. The commute-time data does not show that commuting meaningfully hurts academic performance — the correlation between commute time and final score is essentially zero (r = −0.04). The same budget would do far more good directed at the factor the data actually points to: study time, which correlates far more strongly with final score (r = +0.60).</w:t>
      </w:r>
    </w:p>
    <w:p>
      <w:pPr>
        <w:spacing w:after="80" w:before="200"/>
      </w:pPr>
      <w:r>
        <w:rPr>
          <w:b/>
          <w:bCs/>
          <w:color w:val="1F3864"/>
          <w:sz w:val="24"/>
          <w:szCs w:val="24"/>
        </w:rPr>
        <w:t xml:space="preserve">The Evidence</w:t>
      </w:r>
    </w:p>
    <w:p>
      <w:pPr>
        <w:spacing w:after="100"/>
      </w:pPr>
      <w:r>
        <w:rPr>
          <w:sz w:val="21"/>
          <w:szCs w:val="21"/>
        </w:rPr>
        <w:t xml:space="preserve">Commute time is right-skewed (mean 45.4 min vs. median 33.0 min), so we report the median as the “typical” commute, not the mean — a small number of very long commutes pull the average up. Cairo alone drags the branch-wide average from 35.4 min (excluding Cairo) up to 45.4 min overall (Chart 1, Chart 2, Table 1). Despite this real commute burden, the correlation between commute time and final score is only −0.04. By contrast, study_hours_week correlates at +0.60 with final score — roughly fifteen times stronger, and by far the strongest relationship in the dataset (Chart 3). Comparing the top quartile of commuters to everyone else shows almost no score gap (78.5 vs. 79.4, well under one point — far smaller than one standard deviation within either group).</w:t>
      </w:r>
    </w:p>
    <w:p>
      <w:pPr>
        <w:spacing w:after="80" w:before="200"/>
      </w:pPr>
      <w:r>
        <w:rPr>
          <w:b/>
          <w:bCs/>
          <w:color w:val="1F3864"/>
          <w:sz w:val="24"/>
          <w:szCs w:val="24"/>
        </w:rPr>
        <w:t xml:space="preserve">Who Qualifies</w:t>
      </w:r>
    </w:p>
    <w:p>
      <w:pPr>
        <w:spacing w:after="100"/>
      </w:pPr>
      <w:r>
        <w:rPr>
          <w:sz w:val="21"/>
          <w:szCs w:val="21"/>
        </w:rPr>
        <w:t xml:space="preserve">If the board wishes to proceed on wellbeing grounds rather than performance grounds, we recommend the top quartile of commute time — above 59.2 minutes — as the threshold. This is the 75th percentile (Q3), a standard, defensible statistical cut rather than an arbitrary round number. It covers 61 of 243 students with valid commute data (≈25.1%).</w:t>
      </w:r>
    </w:p>
    <w:p>
      <w:pPr>
        <w:spacing w:after="80" w:before="200"/>
      </w:pPr>
      <w:r>
        <w:rPr>
          <w:b/>
          <w:bCs/>
          <w:color w:val="1F3864"/>
          <w:sz w:val="24"/>
          <w:szCs w:val="24"/>
        </w:rPr>
        <w:t xml:space="preserve">What We Cannot Conclude</w:t>
      </w:r>
    </w:p>
    <w:p>
      <w:pPr>
        <w:spacing w:after="100"/>
      </w:pPr>
      <w:r>
        <w:rPr>
          <w:sz w:val="21"/>
          <w:szCs w:val="21"/>
        </w:rPr>
        <w:t xml:space="preserve">We cannot claim commuting has no effect on performance — only that none was detectable in this sample. The survey was voluntary response, not random: students without laptops (10%–24% of respondents depending on branch) and, plausibly, the most time-burdened long-commute students were likely under-represented, which would bias the measured effect toward zero rather than away from it. We also cannot claim study hours cause higher scores — only that the two move together; motivated students may simply study more and perform better for unrelated reasons. About 22% of students have missing data on favorite sport, concentrated in specific tracks (Web Development / UI-UX show roughly double the missing rate of Data Science and Embedded Systems), which may further shift who is represented in these numbers.</w:t>
      </w:r>
    </w:p>
    <w:p>
      <w:pPr>
        <w:spacing w:after="80" w:before="200"/>
      </w:pPr>
      <w:r>
        <w:rPr>
          <w:b/>
          <w:bCs/>
          <w:color w:val="1F3864"/>
          <w:sz w:val="24"/>
          <w:szCs w:val="24"/>
        </w:rPr>
        <w:t xml:space="preserve">What We Should Do Next</w:t>
      </w:r>
    </w:p>
    <w:p>
      <w:pPr>
        <w:spacing w:after="100"/>
      </w:pPr>
      <w:r>
        <w:rPr>
          <w:sz w:val="21"/>
          <w:szCs w:val="21"/>
        </w:rPr>
        <w:t xml:space="preserve">Before committing budget, re-run this survey using stratified random sampling (by branch × track, drawn from the enrollment roster rather than a voluntary form) with active follow-up on non-respondents, to confirm whether the near-zero commute effect holds once the sampling bias is removed.</w:t>
      </w:r>
    </w:p>
    <w:p>
      <w:r>
        <w:br w:type="page"/>
      </w:r>
    </w:p>
    <w:p>
      <w:pPr>
        <w:spacing w:after="40"/>
        <w:jc w:val="center"/>
      </w:pPr>
      <w:r>
        <w:rPr>
          <w:b/>
          <w:bCs/>
          <w:color w:val="1F3864"/>
          <w:sz w:val="28"/>
          <w:szCs w:val="28"/>
        </w:rPr>
        <w:t xml:space="preserve">Supporting Charts &amp; Summary Table</w:t>
      </w:r>
    </w:p>
    <w:p>
      <w:pPr>
        <w:pBdr>
          <w:bottom w:val="single" w:color="1F3864" w:sz="6" w:space="4"/>
        </w:pBdr>
        <w:spacing w:after="200"/>
        <w:jc w:val="center"/>
      </w:pPr>
      <w:r>
        <w:rPr>
          <w:i/>
          <w:iCs/>
          <w:color w:val="595959"/>
          <w:sz w:val="18"/>
          <w:szCs w:val="18"/>
        </w:rPr>
        <w:t xml:space="preserve">Submitted per the case study requirements (4 charts + branch summary table)</w:t>
      </w:r>
    </w:p>
    <w:p>
      <w:pPr>
        <w:spacing w:after="100" w:before="1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595959"/>
          <w:sz w:val="18"/>
          <w:szCs w:val="18"/>
        </w:rPr>
        <w:t xml:space="preserve">Chart 1 — Distribution of commute times (minutes). Right-skewed: median (33.0) well below mean (45.4).</w:t>
      </w:r>
    </w:p>
    <w:p>
      <w:pPr>
        <w:spacing w:after="100" w:before="1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595959"/>
          <w:sz w:val="18"/>
          <w:szCs w:val="18"/>
        </w:rPr>
        <w:t xml:space="preserve">Chart 2 — Commute time (minutes) by branch. Cairo has both the highest median and the widest spread.</w:t>
      </w:r>
    </w:p>
    <w:p>
      <w:pPr>
        <w:spacing w:after="100" w:before="1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595959"/>
          <w:sz w:val="18"/>
          <w:szCs w:val="18"/>
        </w:rPr>
        <w:t xml:space="preserve">Chart 3 — Commute time (minutes) vs. final score (0–100). No visible relationship; r = −0.04.</w:t>
      </w:r>
    </w:p>
    <w:p>
      <w:pPr>
        <w:spacing w:after="100" w:before="1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i/>
          <w:iCs/>
          <w:color w:val="595959"/>
          <w:sz w:val="18"/>
          <w:szCs w:val="18"/>
        </w:rPr>
        <w:t xml:space="preserve">Chart 4 — Preferred transport mode (count of students). Nominal variable → bar chart, not a pie chart.</w:t>
      </w:r>
    </w:p>
    <w:p>
      <w:pPr>
        <w:spacing w:after="100" w:before="200"/>
      </w:pPr>
      <w:r>
        <w:rPr>
          <w:b/>
          <w:bCs/>
          <w:color w:val="1F3864"/>
          <w:sz w:val="22"/>
          <w:szCs w:val="22"/>
        </w:rPr>
        <w:t xml:space="preserve">Table 1 — Commute Time and Final Score by Branch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500"/>
        <w:gridCol w:w="1500"/>
        <w:gridCol w:w="1100"/>
        <w:gridCol w:w="1100"/>
        <w:gridCol w:w="1200"/>
        <w:gridCol w:w="1000"/>
      </w:tblGrid>
      <w:tr>
        <w:tc>
          <w:tcPr>
            <w:tcW w:type="dxa" w:w="1400"/>
            <w:shd w:fill="1F3864" w:val="clear"/>
          </w:tcPr>
          <w:p>
            <w:pPr>
              <w:jc w:val="left"/>
            </w:pPr>
            <w:r>
              <w:rPr>
                <w:b/>
                <w:bCs/>
                <w:color w:val="FFFFFF"/>
                <w:sz w:val="17"/>
                <w:szCs w:val="17"/>
              </w:rPr>
              <w:t xml:space="preserve">Branch</w:t>
            </w:r>
          </w:p>
        </w:tc>
        <w:tc>
          <w:tcPr>
            <w:tcW w:type="dxa" w:w="700"/>
            <w:shd w:fill="1F3864" w:val="clear"/>
          </w:tcPr>
          <w:p>
            <w:pPr>
              <w:jc w:val="center"/>
            </w:pPr>
            <w:r>
              <w:rPr>
                <w:b/>
                <w:bCs/>
                <w:color w:val="FFFFFF"/>
                <w:sz w:val="17"/>
                <w:szCs w:val="17"/>
              </w:rPr>
              <w:t xml:space="preserve">n</w:t>
            </w:r>
          </w:p>
        </w:tc>
        <w:tc>
          <w:tcPr>
            <w:tcW w:type="dxa" w:w="1500"/>
            <w:shd w:fill="1F3864" w:val="clear"/>
          </w:tcPr>
          <w:p>
            <w:pPr>
              <w:jc w:val="center"/>
            </w:pPr>
            <w:r>
              <w:rPr>
                <w:b/>
                <w:bCs/>
                <w:color w:val="FFFFFF"/>
                <w:sz w:val="17"/>
                <w:szCs w:val="17"/>
              </w:rPr>
              <w:t xml:space="preserve">Commute Mean (min)</w:t>
            </w:r>
          </w:p>
        </w:tc>
        <w:tc>
          <w:tcPr>
            <w:tcW w:type="dxa" w:w="1500"/>
            <w:shd w:fill="1F3864" w:val="clear"/>
          </w:tcPr>
          <w:p>
            <w:pPr>
              <w:jc w:val="center"/>
            </w:pPr>
            <w:r>
              <w:rPr>
                <w:b/>
                <w:bCs/>
                <w:color w:val="FFFFFF"/>
                <w:sz w:val="17"/>
                <w:szCs w:val="17"/>
              </w:rPr>
              <w:t xml:space="preserve">Commute Median (min)</w:t>
            </w:r>
          </w:p>
        </w:tc>
        <w:tc>
          <w:tcPr>
            <w:tcW w:type="dxa" w:w="1100"/>
            <w:shd w:fill="1F3864" w:val="clear"/>
          </w:tcPr>
          <w:p>
            <w:pPr>
              <w:jc w:val="center"/>
            </w:pPr>
            <w:r>
              <w:rPr>
                <w:b/>
                <w:bCs/>
                <w:color w:val="FFFFFF"/>
                <w:sz w:val="17"/>
                <w:szCs w:val="17"/>
              </w:rPr>
              <w:t xml:space="preserve">Commute SD</w:t>
            </w:r>
          </w:p>
        </w:tc>
        <w:tc>
          <w:tcPr>
            <w:tcW w:type="dxa" w:w="1100"/>
            <w:shd w:fill="1F3864" w:val="clear"/>
          </w:tcPr>
          <w:p>
            <w:pPr>
              <w:jc w:val="center"/>
            </w:pPr>
            <w:r>
              <w:rPr>
                <w:b/>
                <w:bCs/>
                <w:color w:val="FFFFFF"/>
                <w:sz w:val="17"/>
                <w:szCs w:val="17"/>
              </w:rPr>
              <w:t xml:space="preserve">Score Mean</w:t>
            </w:r>
          </w:p>
        </w:tc>
        <w:tc>
          <w:tcPr>
            <w:tcW w:type="dxa" w:w="1200"/>
            <w:shd w:fill="1F3864" w:val="clear"/>
          </w:tcPr>
          <w:p>
            <w:pPr>
              <w:jc w:val="center"/>
            </w:pPr>
            <w:r>
              <w:rPr>
                <w:b/>
                <w:bCs/>
                <w:color w:val="FFFFFF"/>
                <w:sz w:val="17"/>
                <w:szCs w:val="17"/>
              </w:rPr>
              <w:t xml:space="preserve">Score Median</w:t>
            </w:r>
          </w:p>
        </w:tc>
        <w:tc>
          <w:tcPr>
            <w:tcW w:type="dxa" w:w="1000"/>
            <w:shd w:fill="1F3864" w:val="clear"/>
          </w:tcPr>
          <w:p>
            <w:pPr>
              <w:jc w:val="center"/>
            </w:pPr>
            <w:r>
              <w:rPr>
                <w:b/>
                <w:bCs/>
                <w:color w:val="FFFFFF"/>
                <w:sz w:val="17"/>
                <w:szCs w:val="17"/>
              </w:rPr>
              <w:t xml:space="preserve">Score SD</w:t>
            </w:r>
          </w:p>
        </w:tc>
      </w:tr>
      <w:tr>
        <w:tc>
          <w:tcPr>
            <w:tcW w:type="dxa" w:w="1400"/>
            <w:shd w:fill="FFFFFF" w:val="clear"/>
          </w:tcPr>
          <w:p>
            <w:pPr>
              <w:jc w:val="left"/>
            </w:pPr>
            <w:r>
              <w:rPr>
                <w:b w:val="false"/>
                <w:bCs w:val="false"/>
                <w:color w:val="000000"/>
                <w:sz w:val="17"/>
                <w:szCs w:val="17"/>
              </w:rPr>
              <w:t xml:space="preserve">Cairo</w:t>
            </w:r>
          </w:p>
        </w:tc>
        <w:tc>
          <w:tcPr>
            <w:tcW w:type="dxa" w:w="700"/>
            <w:shd w:fill="FFFFFF" w:val="clear"/>
          </w:tcPr>
          <w:p>
            <w:pPr>
              <w:jc w:val="center"/>
            </w:pPr>
            <w:r>
              <w:rPr>
                <w:b w:val="false"/>
                <w:bCs w:val="false"/>
                <w:color w:val="000000"/>
                <w:sz w:val="17"/>
                <w:szCs w:val="17"/>
              </w:rPr>
              <w:t xml:space="preserve">95</w:t>
            </w:r>
          </w:p>
        </w:tc>
        <w:tc>
          <w:tcPr>
            <w:tcW w:type="dxa" w:w="1500"/>
            <w:shd w:fill="FFFFFF" w:val="clear"/>
          </w:tcPr>
          <w:p>
            <w:pPr>
              <w:jc w:val="center"/>
            </w:pPr>
            <w:r>
              <w:rPr>
                <w:b w:val="false"/>
                <w:bCs w:val="false"/>
                <w:color w:val="000000"/>
                <w:sz w:val="17"/>
                <w:szCs w:val="17"/>
              </w:rPr>
              <w:t xml:space="preserve">61.1</w:t>
            </w:r>
          </w:p>
        </w:tc>
        <w:tc>
          <w:tcPr>
            <w:tcW w:type="dxa" w:w="1500"/>
            <w:shd w:fill="FFFFFF" w:val="clear"/>
          </w:tcPr>
          <w:p>
            <w:pPr>
              <w:jc w:val="center"/>
            </w:pPr>
            <w:r>
              <w:rPr>
                <w:b w:val="false"/>
                <w:bCs w:val="false"/>
                <w:color w:val="000000"/>
                <w:sz w:val="17"/>
                <w:szCs w:val="17"/>
              </w:rPr>
              <w:t xml:space="preserve">50.1</w:t>
            </w:r>
          </w:p>
        </w:tc>
        <w:tc>
          <w:tcPr>
            <w:tcW w:type="dxa" w:w="1100"/>
            <w:shd w:fill="FFFFFF" w:val="clear"/>
          </w:tcPr>
          <w:p>
            <w:pPr>
              <w:jc w:val="center"/>
            </w:pPr>
            <w:r>
              <w:rPr>
                <w:b w:val="false"/>
                <w:bCs w:val="false"/>
                <w:color w:val="000000"/>
                <w:sz w:val="17"/>
                <w:szCs w:val="17"/>
              </w:rPr>
              <w:t xml:space="preserve">45.4</w:t>
            </w:r>
          </w:p>
        </w:tc>
        <w:tc>
          <w:tcPr>
            <w:tcW w:type="dxa" w:w="1100"/>
            <w:shd w:fill="FFFFFF" w:val="clear"/>
          </w:tcPr>
          <w:p>
            <w:pPr>
              <w:jc w:val="center"/>
            </w:pPr>
            <w:r>
              <w:rPr>
                <w:b w:val="false"/>
                <w:bCs w:val="false"/>
                <w:color w:val="000000"/>
                <w:sz w:val="17"/>
                <w:szCs w:val="17"/>
              </w:rPr>
              <w:t xml:space="preserve">79.8</w:t>
            </w:r>
          </w:p>
        </w:tc>
        <w:tc>
          <w:tcPr>
            <w:tcW w:type="dxa" w:w="1200"/>
            <w:shd w:fill="FFFFFF" w:val="clear"/>
          </w:tcPr>
          <w:p>
            <w:pPr>
              <w:jc w:val="center"/>
            </w:pPr>
            <w:r>
              <w:rPr>
                <w:b w:val="false"/>
                <w:bCs w:val="false"/>
                <w:color w:val="000000"/>
                <w:sz w:val="17"/>
                <w:szCs w:val="17"/>
              </w:rPr>
              <w:t xml:space="preserve">80.0</w:t>
            </w:r>
          </w:p>
        </w:tc>
        <w:tc>
          <w:tcPr>
            <w:tcW w:type="dxa" w:w="1000"/>
            <w:shd w:fill="FFFFFF" w:val="clear"/>
          </w:tcPr>
          <w:p>
            <w:pPr>
              <w:jc w:val="center"/>
            </w:pPr>
            <w:r>
              <w:rPr>
                <w:b w:val="false"/>
                <w:bCs w:val="false"/>
                <w:color w:val="000000"/>
                <w:sz w:val="17"/>
                <w:szCs w:val="17"/>
              </w:rPr>
              <w:t xml:space="preserve">10.0</w:t>
            </w:r>
          </w:p>
        </w:tc>
      </w:tr>
      <w:tr>
        <w:tc>
          <w:tcPr>
            <w:tcW w:type="dxa" w:w="1400"/>
            <w:shd w:fill="F2F2F2" w:val="clear"/>
          </w:tcPr>
          <w:p>
            <w:pPr>
              <w:jc w:val="left"/>
            </w:pPr>
            <w:r>
              <w:rPr>
                <w:b w:val="false"/>
                <w:bCs w:val="false"/>
                <w:color w:val="000000"/>
                <w:sz w:val="17"/>
                <w:szCs w:val="17"/>
              </w:rPr>
              <w:t xml:space="preserve">Alexandria</w:t>
            </w:r>
          </w:p>
        </w:tc>
        <w:tc>
          <w:tcPr>
            <w:tcW w:type="dxa" w:w="700"/>
            <w:shd w:fill="F2F2F2" w:val="clear"/>
          </w:tcPr>
          <w:p>
            <w:pPr>
              <w:jc w:val="center"/>
            </w:pPr>
            <w:r>
              <w:rPr>
                <w:b w:val="false"/>
                <w:bCs w:val="false"/>
                <w:color w:val="000000"/>
                <w:sz w:val="17"/>
                <w:szCs w:val="17"/>
              </w:rPr>
              <w:t xml:space="preserve">49</w:t>
            </w:r>
          </w:p>
        </w:tc>
        <w:tc>
          <w:tcPr>
            <w:tcW w:type="dxa" w:w="1500"/>
            <w:shd w:fill="F2F2F2" w:val="clear"/>
          </w:tcPr>
          <w:p>
            <w:pPr>
              <w:jc w:val="center"/>
            </w:pPr>
            <w:r>
              <w:rPr>
                <w:b w:val="false"/>
                <w:bCs w:val="false"/>
                <w:color w:val="000000"/>
                <w:sz w:val="17"/>
                <w:szCs w:val="17"/>
              </w:rPr>
              <w:t xml:space="preserve">43.8</w:t>
            </w:r>
          </w:p>
        </w:tc>
        <w:tc>
          <w:tcPr>
            <w:tcW w:type="dxa" w:w="1500"/>
            <w:shd w:fill="F2F2F2" w:val="clear"/>
          </w:tcPr>
          <w:p>
            <w:pPr>
              <w:jc w:val="center"/>
            </w:pPr>
            <w:r>
              <w:rPr>
                <w:b w:val="false"/>
                <w:bCs w:val="false"/>
                <w:color w:val="000000"/>
                <w:sz w:val="17"/>
                <w:szCs w:val="17"/>
              </w:rPr>
              <w:t xml:space="preserve">34.8</w:t>
            </w:r>
          </w:p>
        </w:tc>
        <w:tc>
          <w:tcPr>
            <w:tcW w:type="dxa" w:w="1100"/>
            <w:shd w:fill="F2F2F2" w:val="clear"/>
          </w:tcPr>
          <w:p>
            <w:pPr>
              <w:jc w:val="center"/>
            </w:pPr>
            <w:r>
              <w:rPr>
                <w:b w:val="false"/>
                <w:bCs w:val="false"/>
                <w:color w:val="000000"/>
                <w:sz w:val="17"/>
                <w:szCs w:val="17"/>
              </w:rPr>
              <w:t xml:space="preserve">37.1</w:t>
            </w:r>
          </w:p>
        </w:tc>
        <w:tc>
          <w:tcPr>
            <w:tcW w:type="dxa" w:w="1100"/>
            <w:shd w:fill="F2F2F2" w:val="clear"/>
          </w:tcPr>
          <w:p>
            <w:pPr>
              <w:jc w:val="center"/>
            </w:pPr>
            <w:r>
              <w:rPr>
                <w:b w:val="false"/>
                <w:bCs w:val="false"/>
                <w:color w:val="000000"/>
                <w:sz w:val="17"/>
                <w:szCs w:val="17"/>
              </w:rPr>
              <w:t xml:space="preserve">79.0</w:t>
            </w:r>
          </w:p>
        </w:tc>
        <w:tc>
          <w:tcPr>
            <w:tcW w:type="dxa" w:w="1200"/>
            <w:shd w:fill="F2F2F2" w:val="clear"/>
          </w:tcPr>
          <w:p>
            <w:pPr>
              <w:jc w:val="center"/>
            </w:pPr>
            <w:r>
              <w:rPr>
                <w:b w:val="false"/>
                <w:bCs w:val="false"/>
                <w:color w:val="000000"/>
                <w:sz w:val="17"/>
                <w:szCs w:val="17"/>
              </w:rPr>
              <w:t xml:space="preserve">78.5</w:t>
            </w:r>
          </w:p>
        </w:tc>
        <w:tc>
          <w:tcPr>
            <w:tcW w:type="dxa" w:w="1000"/>
            <w:shd w:fill="F2F2F2" w:val="clear"/>
          </w:tcPr>
          <w:p>
            <w:pPr>
              <w:jc w:val="center"/>
            </w:pPr>
            <w:r>
              <w:rPr>
                <w:b w:val="false"/>
                <w:bCs w:val="false"/>
                <w:color w:val="000000"/>
                <w:sz w:val="17"/>
                <w:szCs w:val="17"/>
              </w:rPr>
              <w:t xml:space="preserve">10.7</w:t>
            </w:r>
          </w:p>
        </w:tc>
      </w:tr>
      <w:tr>
        <w:tc>
          <w:tcPr>
            <w:tcW w:type="dxa" w:w="1400"/>
            <w:shd w:fill="FFFFFF" w:val="clear"/>
          </w:tcPr>
          <w:p>
            <w:pPr>
              <w:jc w:val="left"/>
            </w:pPr>
            <w:r>
              <w:rPr>
                <w:b w:val="false"/>
                <w:bCs w:val="false"/>
                <w:color w:val="000000"/>
                <w:sz w:val="17"/>
                <w:szCs w:val="17"/>
              </w:rPr>
              <w:t xml:space="preserve">Mansoura</w:t>
            </w:r>
          </w:p>
        </w:tc>
        <w:tc>
          <w:tcPr>
            <w:tcW w:type="dxa" w:w="700"/>
            <w:shd w:fill="FFFFFF" w:val="clear"/>
          </w:tcPr>
          <w:p>
            <w:pPr>
              <w:jc w:val="center"/>
            </w:pPr>
            <w:r>
              <w:rPr>
                <w:b w:val="false"/>
                <w:bCs w:val="false"/>
                <w:color w:val="000000"/>
                <w:sz w:val="17"/>
                <w:szCs w:val="17"/>
              </w:rPr>
              <w:t xml:space="preserve">40</w:t>
            </w:r>
          </w:p>
        </w:tc>
        <w:tc>
          <w:tcPr>
            <w:tcW w:type="dxa" w:w="1500"/>
            <w:shd w:fill="FFFFFF" w:val="clear"/>
          </w:tcPr>
          <w:p>
            <w:pPr>
              <w:jc w:val="center"/>
            </w:pPr>
            <w:r>
              <w:rPr>
                <w:b w:val="false"/>
                <w:bCs w:val="false"/>
                <w:color w:val="000000"/>
                <w:sz w:val="17"/>
                <w:szCs w:val="17"/>
              </w:rPr>
              <w:t xml:space="preserve">31.9</w:t>
            </w:r>
          </w:p>
        </w:tc>
        <w:tc>
          <w:tcPr>
            <w:tcW w:type="dxa" w:w="1500"/>
            <w:shd w:fill="FFFFFF" w:val="clear"/>
          </w:tcPr>
          <w:p>
            <w:pPr>
              <w:jc w:val="center"/>
            </w:pPr>
            <w:r>
              <w:rPr>
                <w:b w:val="false"/>
                <w:bCs w:val="false"/>
                <w:color w:val="000000"/>
                <w:sz w:val="17"/>
                <w:szCs w:val="17"/>
              </w:rPr>
              <w:t xml:space="preserve">26.0</w:t>
            </w:r>
          </w:p>
        </w:tc>
        <w:tc>
          <w:tcPr>
            <w:tcW w:type="dxa" w:w="1100"/>
            <w:shd w:fill="FFFFFF" w:val="clear"/>
          </w:tcPr>
          <w:p>
            <w:pPr>
              <w:jc w:val="center"/>
            </w:pPr>
            <w:r>
              <w:rPr>
                <w:b w:val="false"/>
                <w:bCs w:val="false"/>
                <w:color w:val="000000"/>
                <w:sz w:val="17"/>
                <w:szCs w:val="17"/>
              </w:rPr>
              <w:t xml:space="preserve">30.7</w:t>
            </w:r>
          </w:p>
        </w:tc>
        <w:tc>
          <w:tcPr>
            <w:tcW w:type="dxa" w:w="1100"/>
            <w:shd w:fill="FFFFFF" w:val="clear"/>
          </w:tcPr>
          <w:p>
            <w:pPr>
              <w:jc w:val="center"/>
            </w:pPr>
            <w:r>
              <w:rPr>
                <w:b w:val="false"/>
                <w:bCs w:val="false"/>
                <w:color w:val="000000"/>
                <w:sz w:val="17"/>
                <w:szCs w:val="17"/>
              </w:rPr>
              <w:t xml:space="preserve">77.6</w:t>
            </w:r>
          </w:p>
        </w:tc>
        <w:tc>
          <w:tcPr>
            <w:tcW w:type="dxa" w:w="1200"/>
            <w:shd w:fill="FFFFFF" w:val="clear"/>
          </w:tcPr>
          <w:p>
            <w:pPr>
              <w:jc w:val="center"/>
            </w:pPr>
            <w:r>
              <w:rPr>
                <w:b w:val="false"/>
                <w:bCs w:val="false"/>
                <w:color w:val="000000"/>
                <w:sz w:val="17"/>
                <w:szCs w:val="17"/>
              </w:rPr>
              <w:t xml:space="preserve">77.0</w:t>
            </w:r>
          </w:p>
        </w:tc>
        <w:tc>
          <w:tcPr>
            <w:tcW w:type="dxa" w:w="1000"/>
            <w:shd w:fill="FFFFFF" w:val="clear"/>
          </w:tcPr>
          <w:p>
            <w:pPr>
              <w:jc w:val="center"/>
            </w:pPr>
            <w:r>
              <w:rPr>
                <w:b w:val="false"/>
                <w:bCs w:val="false"/>
                <w:color w:val="000000"/>
                <w:sz w:val="17"/>
                <w:szCs w:val="17"/>
              </w:rPr>
              <w:t xml:space="preserve">9.2</w:t>
            </w:r>
          </w:p>
        </w:tc>
      </w:tr>
      <w:tr>
        <w:tc>
          <w:tcPr>
            <w:tcW w:type="dxa" w:w="1400"/>
            <w:shd w:fill="F2F2F2" w:val="clear"/>
          </w:tcPr>
          <w:p>
            <w:pPr>
              <w:jc w:val="left"/>
            </w:pPr>
            <w:r>
              <w:rPr>
                <w:b w:val="false"/>
                <w:bCs w:val="false"/>
                <w:color w:val="000000"/>
                <w:sz w:val="17"/>
                <w:szCs w:val="17"/>
              </w:rPr>
              <w:t xml:space="preserve">Menoufia</w:t>
            </w:r>
          </w:p>
        </w:tc>
        <w:tc>
          <w:tcPr>
            <w:tcW w:type="dxa" w:w="700"/>
            <w:shd w:fill="F2F2F2" w:val="clear"/>
          </w:tcPr>
          <w:p>
            <w:pPr>
              <w:jc w:val="center"/>
            </w:pPr>
            <w:r>
              <w:rPr>
                <w:b w:val="false"/>
                <w:bCs w:val="false"/>
                <w:color w:val="000000"/>
                <w:sz w:val="17"/>
                <w:szCs w:val="17"/>
              </w:rPr>
              <w:t xml:space="preserve">30</w:t>
            </w:r>
          </w:p>
        </w:tc>
        <w:tc>
          <w:tcPr>
            <w:tcW w:type="dxa" w:w="1500"/>
            <w:shd w:fill="F2F2F2" w:val="clear"/>
          </w:tcPr>
          <w:p>
            <w:pPr>
              <w:jc w:val="center"/>
            </w:pPr>
            <w:r>
              <w:rPr>
                <w:b w:val="false"/>
                <w:bCs w:val="false"/>
                <w:color w:val="000000"/>
                <w:sz w:val="17"/>
                <w:szCs w:val="17"/>
              </w:rPr>
              <w:t xml:space="preserve">35.7</w:t>
            </w:r>
          </w:p>
        </w:tc>
        <w:tc>
          <w:tcPr>
            <w:tcW w:type="dxa" w:w="1500"/>
            <w:shd w:fill="F2F2F2" w:val="clear"/>
          </w:tcPr>
          <w:p>
            <w:pPr>
              <w:jc w:val="center"/>
            </w:pPr>
            <w:r>
              <w:rPr>
                <w:b w:val="false"/>
                <w:bCs w:val="false"/>
                <w:color w:val="000000"/>
                <w:sz w:val="17"/>
                <w:szCs w:val="17"/>
              </w:rPr>
              <w:t xml:space="preserve">25.8</w:t>
            </w:r>
          </w:p>
        </w:tc>
        <w:tc>
          <w:tcPr>
            <w:tcW w:type="dxa" w:w="1100"/>
            <w:shd w:fill="F2F2F2" w:val="clear"/>
          </w:tcPr>
          <w:p>
            <w:pPr>
              <w:jc w:val="center"/>
            </w:pPr>
            <w:r>
              <w:rPr>
                <w:b w:val="false"/>
                <w:bCs w:val="false"/>
                <w:color w:val="000000"/>
                <w:sz w:val="17"/>
                <w:szCs w:val="17"/>
              </w:rPr>
              <w:t xml:space="preserve">37.9</w:t>
            </w:r>
          </w:p>
        </w:tc>
        <w:tc>
          <w:tcPr>
            <w:tcW w:type="dxa" w:w="1100"/>
            <w:shd w:fill="F2F2F2" w:val="clear"/>
          </w:tcPr>
          <w:p>
            <w:pPr>
              <w:jc w:val="center"/>
            </w:pPr>
            <w:r>
              <w:rPr>
                <w:b w:val="false"/>
                <w:bCs w:val="false"/>
                <w:color w:val="000000"/>
                <w:sz w:val="17"/>
                <w:szCs w:val="17"/>
              </w:rPr>
              <w:t xml:space="preserve">77.2</w:t>
            </w:r>
          </w:p>
        </w:tc>
        <w:tc>
          <w:tcPr>
            <w:tcW w:type="dxa" w:w="1200"/>
            <w:shd w:fill="F2F2F2" w:val="clear"/>
          </w:tcPr>
          <w:p>
            <w:pPr>
              <w:jc w:val="center"/>
            </w:pPr>
            <w:r>
              <w:rPr>
                <w:b w:val="false"/>
                <w:bCs w:val="false"/>
                <w:color w:val="000000"/>
                <w:sz w:val="17"/>
                <w:szCs w:val="17"/>
              </w:rPr>
              <w:t xml:space="preserve">77.0</w:t>
            </w:r>
          </w:p>
        </w:tc>
        <w:tc>
          <w:tcPr>
            <w:tcW w:type="dxa" w:w="1000"/>
            <w:shd w:fill="F2F2F2" w:val="clear"/>
          </w:tcPr>
          <w:p>
            <w:pPr>
              <w:jc w:val="center"/>
            </w:pPr>
            <w:r>
              <w:rPr>
                <w:b w:val="false"/>
                <w:bCs w:val="false"/>
                <w:color w:val="000000"/>
                <w:sz w:val="17"/>
                <w:szCs w:val="17"/>
              </w:rPr>
              <w:t xml:space="preserve">8.8</w:t>
            </w:r>
          </w:p>
        </w:tc>
      </w:tr>
      <w:tr>
        <w:tc>
          <w:tcPr>
            <w:tcW w:type="dxa" w:w="1400"/>
            <w:shd w:fill="FFFFFF" w:val="clear"/>
          </w:tcPr>
          <w:p>
            <w:pPr>
              <w:jc w:val="left"/>
            </w:pPr>
            <w:r>
              <w:rPr>
                <w:b w:val="false"/>
                <w:bCs w:val="false"/>
                <w:color w:val="000000"/>
                <w:sz w:val="17"/>
                <w:szCs w:val="17"/>
              </w:rPr>
              <w:t xml:space="preserve">Assiut</w:t>
            </w:r>
          </w:p>
        </w:tc>
        <w:tc>
          <w:tcPr>
            <w:tcW w:type="dxa" w:w="700"/>
            <w:shd w:fill="FFFFFF" w:val="clear"/>
          </w:tcPr>
          <w:p>
            <w:pPr>
              <w:jc w:val="center"/>
            </w:pPr>
            <w:r>
              <w:rPr>
                <w:b w:val="false"/>
                <w:bCs w:val="false"/>
                <w:color w:val="000000"/>
                <w:sz w:val="17"/>
                <w:szCs w:val="17"/>
              </w:rPr>
              <w:t xml:space="preserve">29</w:t>
            </w:r>
          </w:p>
        </w:tc>
        <w:tc>
          <w:tcPr>
            <w:tcW w:type="dxa" w:w="1500"/>
            <w:shd w:fill="FFFFFF" w:val="clear"/>
          </w:tcPr>
          <w:p>
            <w:pPr>
              <w:jc w:val="center"/>
            </w:pPr>
            <w:r>
              <w:rPr>
                <w:b w:val="false"/>
                <w:bCs w:val="false"/>
                <w:color w:val="000000"/>
                <w:sz w:val="17"/>
                <w:szCs w:val="17"/>
              </w:rPr>
              <w:t xml:space="preserve">25.9</w:t>
            </w:r>
          </w:p>
        </w:tc>
        <w:tc>
          <w:tcPr>
            <w:tcW w:type="dxa" w:w="1500"/>
            <w:shd w:fill="FFFFFF" w:val="clear"/>
          </w:tcPr>
          <w:p>
            <w:pPr>
              <w:jc w:val="center"/>
            </w:pPr>
            <w:r>
              <w:rPr>
                <w:b w:val="false"/>
                <w:bCs w:val="false"/>
                <w:color w:val="000000"/>
                <w:sz w:val="17"/>
                <w:szCs w:val="17"/>
              </w:rPr>
              <w:t xml:space="preserve">24.0</w:t>
            </w:r>
          </w:p>
        </w:tc>
        <w:tc>
          <w:tcPr>
            <w:tcW w:type="dxa" w:w="1100"/>
            <w:shd w:fill="FFFFFF" w:val="clear"/>
          </w:tcPr>
          <w:p>
            <w:pPr>
              <w:jc w:val="center"/>
            </w:pPr>
            <w:r>
              <w:rPr>
                <w:b w:val="false"/>
                <w:bCs w:val="false"/>
                <w:color w:val="000000"/>
                <w:sz w:val="17"/>
                <w:szCs w:val="17"/>
              </w:rPr>
              <w:t xml:space="preserve">16.4</w:t>
            </w:r>
          </w:p>
        </w:tc>
        <w:tc>
          <w:tcPr>
            <w:tcW w:type="dxa" w:w="1100"/>
            <w:shd w:fill="FFFFFF" w:val="clear"/>
          </w:tcPr>
          <w:p>
            <w:pPr>
              <w:jc w:val="center"/>
            </w:pPr>
            <w:r>
              <w:rPr>
                <w:b w:val="false"/>
                <w:bCs w:val="false"/>
                <w:color w:val="000000"/>
                <w:sz w:val="17"/>
                <w:szCs w:val="17"/>
              </w:rPr>
              <w:t xml:space="preserve">80.5</w:t>
            </w:r>
          </w:p>
        </w:tc>
        <w:tc>
          <w:tcPr>
            <w:tcW w:type="dxa" w:w="1200"/>
            <w:shd w:fill="FFFFFF" w:val="clear"/>
          </w:tcPr>
          <w:p>
            <w:pPr>
              <w:jc w:val="center"/>
            </w:pPr>
            <w:r>
              <w:rPr>
                <w:b w:val="false"/>
                <w:bCs w:val="false"/>
                <w:color w:val="000000"/>
                <w:sz w:val="17"/>
                <w:szCs w:val="17"/>
              </w:rPr>
              <w:t xml:space="preserve">82.4</w:t>
            </w:r>
          </w:p>
        </w:tc>
        <w:tc>
          <w:tcPr>
            <w:tcW w:type="dxa" w:w="1000"/>
            <w:shd w:fill="FFFFFF" w:val="clear"/>
          </w:tcPr>
          <w:p>
            <w:pPr>
              <w:jc w:val="center"/>
            </w:pPr>
            <w:r>
              <w:rPr>
                <w:b w:val="false"/>
                <w:bCs w:val="false"/>
                <w:color w:val="000000"/>
                <w:sz w:val="17"/>
                <w:szCs w:val="17"/>
              </w:rPr>
              <w:t xml:space="preserve">8.8</w:t>
            </w:r>
          </w:p>
        </w:tc>
      </w:tr>
    </w:tbl>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595959"/>
        <w:sz w:val="16"/>
        <w:szCs w:val="16"/>
      </w:rPr>
      <w:t xml:space="preserve">ITI Statistics Case Study 01 — The Commute Question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e770f16dbc1105d185f618d2cd56fa6f5138d5.png"/><Relationship Id="rId10" Type="http://schemas.openxmlformats.org/officeDocument/2006/relationships/image" Target="media/eef9542122d1cd71060ddc24971fb3aab74ec8d1.png"/><Relationship Id="rId11" Type="http://schemas.openxmlformats.org/officeDocument/2006/relationships/image" Target="media/a387ce87783f0fdcf2d12a63d175ba79d5b3064c.png"/><Relationship Id="rId12" Type="http://schemas.openxmlformats.org/officeDocument/2006/relationships/image" Target="media/65060a940bdd409c95fa2a55aa90937d22a6dce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2026-09-04T19:25:53.111Z</dcterms:created>
  <dcterms:modified xsi:type="dcterms:W3CDTF">2026-09-04T19:25:53.121Z</dcterms:modified>
</cp:coreProperties>
</file>

<file path=docProps/custom.xml><?xml version="1.0" encoding="utf-8"?>
<Properties xmlns="http://schemas.openxmlformats.org/officeDocument/2006/custom-properties" xmlns:vt="http://schemas.openxmlformats.org/officeDocument/2006/docPropsVTypes"/>
</file>