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1800" w:after="120" w:line="240" w:lineRule="auto"/>
        <w:jc w:val="center"/>
      </w:pPr>
      <w:r>
        <w:rPr>
          <w:rFonts w:ascii="Noto Sans CJK KR" w:hAnsi="Noto Sans CJK KR" w:eastAsia="Noto Sans CJK KR" w:cs="Noto Sans CJK KR"/>
          <w:b/>
          <w:i w:val="0"/>
          <w:color w:val="17324D"/>
          <w:sz w:val="48"/>
        </w:rPr>
        <w:t>프롬프트 인젝션 퍼징 자료 종합 보고서</w:t>
      </w:r>
    </w:p>
    <w:p>
      <w:pPr>
        <w:keepNext w:val="0"/>
        <w:keepLines w:val="0"/>
        <w:spacing w:before="0" w:after="200" w:line="276" w:lineRule="auto"/>
        <w:jc w:val="center"/>
      </w:pPr>
      <w:r>
        <w:rPr>
          <w:rFonts w:ascii="Noto Sans CJK KR" w:hAnsi="Noto Sans CJK KR" w:eastAsia="Noto Sans CJK KR" w:cs="Noto Sans CJK KR"/>
          <w:b w:val="0"/>
          <w:i w:val="0"/>
          <w:color w:val="646464"/>
          <w:sz w:val="23"/>
        </w:rPr>
        <w:t>한국어·영어 통합 taxonomy, 한국어 확장 유형, 데이터셋 설계 및 검증 프레임</w:t>
      </w:r>
    </w:p>
    <w:p>
      <w:pPr>
        <w:spacing w:after="160" w:before="40"/>
        <w:jc w:val="center"/>
        <w:pBdr>
          <w:bottom w:val="single" w:sz="12" w:space="1" w:color="284861"/>
        </w:pBdr>
      </w:pPr>
      <w:r>
        <w:t xml:space="preserve"> </w:t>
      </w:r>
    </w:p>
    <w:p>
      <w:pPr>
        <w:keepNext w:val="0"/>
        <w:keepLines w:val="0"/>
        <w:spacing w:before="120" w:after="440" w:line="264" w:lineRule="auto"/>
        <w:jc w:val="center"/>
      </w:pPr>
      <w:r>
        <w:rPr>
          <w:rFonts w:ascii="Noto Sans CJK KR" w:hAnsi="Noto Sans CJK KR" w:eastAsia="Noto Sans CJK KR" w:cs="Noto Sans CJK KR"/>
          <w:b w:val="0"/>
          <w:i w:val="0"/>
          <w:color w:val="2E6E9E"/>
          <w:sz w:val="21"/>
        </w:rPr>
        <w:t>기반 자료를 보고서 형식으로 재구성한 실무용 정리본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175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FF4FA" w:val="clea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9"/>
              </w:rPr>
              <w:t>작성 목적</w:t>
            </w:r>
          </w:p>
        </w:tc>
        <w:tc>
          <w:tcPr>
            <w:tcW w:type="dxa" w:w="71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9"/>
              </w:rPr>
              <w:t>통합 기준서와 비영어권 확장 자료를 바탕으로 prompt injection fuzzing corpus 설계, 유형 관리, 검증 운영에 바로 활용할 수 있는 Word 보고서로 재구성</w:t>
            </w:r>
          </w:p>
        </w:tc>
      </w:tr>
      <w:tr>
        <w:tc>
          <w:tcPr>
            <w:tcW w:type="dxa" w:w="175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FF4FA" w:val="clea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9"/>
              </w:rPr>
              <w:t>핵심 산출물</w:t>
            </w:r>
          </w:p>
        </w:tc>
        <w:tc>
          <w:tcPr>
            <w:tcW w:type="dxa" w:w="71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9"/>
              </w:rPr>
              <w:t>코어 taxonomy(EN 7유형 / KO 5유형), 한국어 확장 KPX-01~16, evidence 기반 우선순위, split 정책, metadata/QA 가이드</w:t>
            </w:r>
          </w:p>
        </w:tc>
      </w:tr>
      <w:tr>
        <w:tc>
          <w:tcPr>
            <w:tcW w:type="dxa" w:w="175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FF4FA" w:val="clea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9"/>
              </w:rPr>
              <w:t>참조 체계</w:t>
            </w:r>
          </w:p>
        </w:tc>
        <w:tc>
          <w:tcPr>
            <w:tcW w:type="dxa" w:w="714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9"/>
              </w:rPr>
              <w:t>[C1] 통합 기준서  [C2] 한국어 신규 유형 제안서  [E1]~[E4], [F1], [A1]~[A3] 보강 근거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8957"/>
      </w:tblGrid>
      <w:tr>
        <w:trPr>
          <w:tblHeader w:val="true"/>
        </w:trPr>
        <w:tc>
          <w:tcPr>
            <w:tcW w:type="dxa" w:w="9752"/>
            <w:shd w:fill="EEF6F0" w:val="clea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21"/>
              </w:rPr>
              <w:t>보고서의 핵심 판단</w:t>
            </w:r>
          </w:p>
          <w:p>
            <w:pPr>
              <w:keepNext w:val="0"/>
              <w:keepLines w:val="0"/>
              <w:spacing w:before="0" w:after="20" w:line="276" w:lineRule="auto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20"/>
              </w:rPr>
              <w:t>① flat prompt 목록보다 ‘type × family × carrier × style × language × split’ 구조로 관리해야 품질과 재현성이 올라간다.</w:t>
            </w:r>
          </w:p>
          <w:p>
            <w:pPr>
              <w:keepNext w:val="0"/>
              <w:keepLines w:val="0"/>
              <w:spacing w:before="0" w:after="20" w:line="276" w:lineRule="auto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20"/>
              </w:rPr>
              <w:t>② 한국어는 번역형 영어 seed만으로 충분하지 않으며, 자모·초성·한글숫자·조사/어미·경어체·혼합스크립트 전용 mutation layer가 필요하다.</w:t>
            </w:r>
          </w:p>
          <w:p>
            <w:pPr>
              <w:keepNext w:val="0"/>
              <w:keepLines w:val="0"/>
              <w:spacing w:before="0" w:after="20" w:line="276" w:lineRule="auto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20"/>
              </w:rPr>
              <w:t>③ direct 입력만 보지 말고 문서/RAG, 이메일, repo, tool/function-call, hidden document, spreadsheet 메타영역까지 attack surface를 분리해야 한다.</w:t>
            </w:r>
          </w:p>
          <w:p>
            <w:pPr>
              <w:keepNext w:val="0"/>
              <w:keepLines w:val="0"/>
              <w:spacing w:before="0" w:after="20" w:line="276" w:lineRule="auto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20"/>
              </w:rPr>
              <w:t>④ 내부 PII/guardrail 결과는 prompt injection 직접 벤치마크가 아니라 한국어 고유 변이의 우선순위를 정하는 transfer evidence로 해석하는 것이 적절하다.</w:t>
            </w:r>
          </w:p>
        </w:tc>
      </w:tr>
    </w:tbl>
    <w:p/>
    <w:p>
      <w:r>
        <w:br w:type="page"/>
      </w:r>
    </w:p>
    <w:p>
      <w:pPr>
        <w:pStyle w:val="Heading1"/>
        <w:keepNext/>
        <w:keepLines w:val="0"/>
        <w:spacing w:before="160" w:after="80" w:line="276" w:lineRule="auto"/>
      </w:pPr>
      <w:r>
        <w:rPr>
          <w:rFonts w:ascii="Noto Sans CJK KR" w:hAnsi="Noto Sans CJK KR" w:eastAsia="Noto Sans CJK KR" w:cs="Noto Sans CJK KR"/>
          <w:b/>
          <w:i w:val="0"/>
          <w:color w:val="17324D"/>
          <w:sz w:val="29"/>
        </w:rPr>
        <w:t>1. 문서 범위와 재구성 원칙</w:t>
      </w:r>
    </w:p>
    <w:p>
      <w:pPr>
        <w:keepNext w:val="0"/>
        <w:keepLines w:val="0"/>
        <w:spacing w:before="0" w:after="100" w:line="293" w:lineRule="auto"/>
      </w:pPr>
      <w:r>
        <w:rPr>
          <w:rFonts w:ascii="Noto Sans CJK KR" w:hAnsi="Noto Sans CJK KR" w:eastAsia="Noto Sans CJK KR" w:cs="Noto Sans CJK KR"/>
          <w:b w:val="0"/>
          <w:i w:val="0"/>
          <w:color w:val="232323"/>
          <w:sz w:val="20"/>
        </w:rPr>
        <w:t>본 보고서는 이미 정리된 프롬프트 인젝션 퍼징 자료를 ‘보고서형 산출물’로 다시 구성한 문서다. 기본 골격은 통합 기준서 [C1]를 따르고, 한국어 신규·확장 유형은 비영어권 자료 [C2]를 중심으로 보강했다. 한국어 우선순위와 Layer 1~4 검증 방향은 내부 비교·평가 문서 [E1]~[E4], [F1], 아키텍처 문서 [A1]~[A3]를 보강 근거로 사용했다.</w:t>
      </w:r>
    </w:p>
    <w:p>
      <w:pPr>
        <w:keepNext w:val="0"/>
        <w:keepLines w:val="0"/>
        <w:spacing w:before="0" w:after="100" w:line="293" w:lineRule="auto"/>
      </w:pPr>
      <w:r>
        <w:rPr>
          <w:rFonts w:ascii="Noto Sans CJK KR" w:hAnsi="Noto Sans CJK KR" w:eastAsia="Noto Sans CJK KR" w:cs="Noto Sans CJK KR"/>
          <w:b w:val="0"/>
          <w:i w:val="0"/>
          <w:color w:val="232323"/>
          <w:sz w:val="20"/>
        </w:rPr>
        <w:t>재구성 기준은 세 가지다. 첫째, 서로 목적·공격면·효과가 같은 유형은 공통 패밀리로 병합한다. 둘째, 공격면이 다른 경우에는 표면이 비슷해도 별도 유형으로 유지한다. 셋째, 한국어는 영어의 번역판이 아니라 독립 mutation layer와 서비스 carrier를 가진 별도 트랙으로 다룬다.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9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코드</w:t>
            </w:r>
          </w:p>
        </w:tc>
        <w:tc>
          <w:tcPr>
            <w:tcW w:type="dxa" w:w="345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파일</w:t>
            </w:r>
          </w:p>
        </w:tc>
        <w:tc>
          <w:tcPr>
            <w:tcW w:type="dxa" w:w="453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이 보고서에서의 역할</w:t>
            </w:r>
          </w:p>
        </w:tc>
      </w:tr>
      <w:tr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[C1]</w:t>
            </w:r>
          </w:p>
        </w:tc>
        <w:tc>
          <w:tcPr>
            <w:tcW w:type="dxa" w:w="345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prompt_injection_fuzzing_master_ko_en_v2.md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공통 유형 병합, EN/KO 코어 taxonomy, split discipline, metadata/QA 기준의 기본 문서</w:t>
            </w:r>
          </w:p>
        </w:tc>
      </w:tr>
      <w:tr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  <w:tc>
          <w:tcPr>
            <w:tcW w:type="dxa" w:w="345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비영어권 자료.md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한국어 신규 유형(KPX-01~16), 다국어 연구 방법군의 한국어 이식, P0/P1/P2 우선순위</w:t>
            </w:r>
          </w:p>
        </w:tc>
      </w:tr>
      <w:tr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[E1]</w:t>
            </w:r>
          </w:p>
        </w:tc>
        <w:tc>
          <w:tcPr>
            <w:tcW w:type="dxa" w:w="345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Phase1_종합분석_한국어vs영어_비교.docx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동일 Gateway·동일 Guardrail에서 한국어/영어 보호 격차를 보여주는 보강 근거</w:t>
            </w:r>
          </w:p>
        </w:tc>
      </w:tr>
      <w:tr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[E2]</w:t>
            </w:r>
          </w:p>
        </w:tc>
        <w:tc>
          <w:tcPr>
            <w:tcW w:type="dxa" w:w="345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Bedrock_INPUT_13382_분석보고서.md.pdf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한국어 32.1% vs 영어 0.6% 우회, 자모·초성·한글숫자 우선순위</w:t>
            </w:r>
          </w:p>
        </w:tc>
      </w:tr>
      <w:tr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[E3]</w:t>
            </w:r>
          </w:p>
        </w:tc>
        <w:tc>
          <w:tcPr>
            <w:tcW w:type="dxa" w:w="345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Layer1_3자비교_종합보고서.docx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3엔진 공통 취약 family와 L4 언어학 변형의 최대 위험 확인</w:t>
            </w:r>
          </w:p>
        </w:tc>
      </w:tr>
      <w:tr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[E4]</w:t>
            </w:r>
          </w:p>
        </w:tc>
        <w:tc>
          <w:tcPr>
            <w:tcW w:type="dxa" w:w="345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ccit2번Bedrock_OUTPUT_INPUT비교_상세보고서.md.pdf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OUTPUT에서도 자모/초성 계열이 유지됨을 보이는 보강 근거</w:t>
            </w:r>
          </w:p>
        </w:tc>
      </w:tr>
      <w:tr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[F1]</w:t>
            </w:r>
          </w:p>
        </w:tc>
        <w:tc>
          <w:tcPr>
            <w:tcW w:type="dxa" w:w="345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ccit2번4단계_검증_프레임워크_팀공유.md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Layer 1~4 검증 구조와 E2E/RAG 평가 레이어 정의</w:t>
            </w:r>
          </w:p>
        </w:tc>
      </w:tr>
      <w:tr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[A1~A3]</w:t>
            </w:r>
          </w:p>
        </w:tc>
        <w:tc>
          <w:tcPr>
            <w:tcW w:type="dxa" w:w="345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LLM Gateway 관련 검증/아키텍처 문서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tool, function-call, gateway, repo, RAG를 포함한 실제 운영 attack surface 보강</w:t>
            </w:r>
          </w:p>
        </w:tc>
      </w:tr>
    </w:tbl>
    <w:p/>
    <w:p>
      <w:pPr>
        <w:pStyle w:val="Heading1"/>
        <w:keepNext/>
        <w:keepLines w:val="0"/>
        <w:spacing w:before="160" w:after="80" w:line="276" w:lineRule="auto"/>
      </w:pPr>
      <w:r>
        <w:rPr>
          <w:rFonts w:ascii="Noto Sans CJK KR" w:hAnsi="Noto Sans CJK KR" w:eastAsia="Noto Sans CJK KR" w:cs="Noto Sans CJK KR"/>
          <w:b/>
          <w:i w:val="0"/>
          <w:color w:val="17324D"/>
          <w:sz w:val="29"/>
        </w:rPr>
        <w:t>2. 통합 기준의 핵심 구조</w:t>
      </w:r>
    </w:p>
    <w:p>
      <w:pPr>
        <w:keepNext w:val="0"/>
        <w:keepLines w:val="0"/>
        <w:spacing w:before="0" w:after="100" w:line="293" w:lineRule="auto"/>
      </w:pPr>
      <w:r>
        <w:rPr>
          <w:rFonts w:ascii="Noto Sans CJK KR" w:hAnsi="Noto Sans CJK KR" w:eastAsia="Noto Sans CJK KR" w:cs="Noto Sans CJK KR"/>
          <w:b w:val="0"/>
          <w:i w:val="0"/>
          <w:color w:val="232323"/>
          <w:sz w:val="20"/>
        </w:rPr>
        <w:t>통합 기준서 [C1]의 핵심은 ‘유형(type)’과 ‘확장 family’를 분리하는 것이다. 유형은 benchmark의 큰 축이고, family는 seed를 변형하는 조합 모듈이다. 실제 corpus 생성은 type × family × carrier_context × style × language_scope × evaluation_split 단위로 설계한다.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5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IR 축</w:t>
            </w:r>
          </w:p>
        </w:tc>
        <w:tc>
          <w:tcPr>
            <w:tcW w:type="dxa" w:w="32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대표 값</w:t>
            </w:r>
          </w:p>
        </w:tc>
        <w:tc>
          <w:tcPr>
            <w:tcW w:type="dxa" w:w="38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실무적 의미</w:t>
            </w:r>
          </w:p>
        </w:tc>
      </w:tr>
      <w:tr>
        <w:tc>
          <w:tcPr>
            <w:tcW w:type="dxa" w:w="175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attack_surface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direct_user / indirect_document / email / repo / tool_agent / multimodal</w:t>
            </w:r>
          </w:p>
        </w:tc>
        <w:tc>
          <w:tcPr>
            <w:tcW w:type="dxa" w:w="38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같은 의미라도 어디서 주입되는지 분리</w:t>
            </w:r>
          </w:p>
        </w:tc>
      </w:tr>
      <w:tr>
        <w:tc>
          <w:tcPr>
            <w:tcW w:type="dxa" w:w="175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goal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override / prompt_leak / output_steering / unauthorized_tool_use / pii_exfiltration / over_defense</w:t>
            </w:r>
          </w:p>
        </w:tc>
        <w:tc>
          <w:tcPr>
            <w:tcW w:type="dxa" w:w="38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표면보다 의도와 결과를 추적</w:t>
            </w:r>
          </w:p>
        </w:tc>
      </w:tr>
      <w:tr>
        <w:tc>
          <w:tcPr>
            <w:tcW w:type="dxa" w:w="175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carrier_context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plain chat / RAG chunk / HTML / JSON / YAML / table / mail / repo / tool output</w:t>
            </w:r>
          </w:p>
        </w:tc>
        <w:tc>
          <w:tcPr>
            <w:tcW w:type="dxa" w:w="38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실서비스 attack surface 보존</w:t>
            </w:r>
          </w:p>
        </w:tc>
      </w:tr>
      <w:tr>
        <w:tc>
          <w:tcPr>
            <w:tcW w:type="dxa" w:w="175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mutation_family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override / wrapper / obfuscation / jamo / choseong / kr_digits / style / urgency / separator</w:t>
            </w:r>
          </w:p>
        </w:tc>
        <w:tc>
          <w:tcPr>
            <w:tcW w:type="dxa" w:w="38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우회 성공 원인을 family 단위로 분석</w:t>
            </w:r>
          </w:p>
        </w:tc>
      </w:tr>
      <w:tr>
        <w:tc>
          <w:tcPr>
            <w:tcW w:type="dxa" w:w="175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language_scope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en_only / ko_only / en_ko_paired / multilingual</w:t>
            </w:r>
          </w:p>
        </w:tc>
        <w:tc>
          <w:tcPr>
            <w:tcW w:type="dxa" w:w="38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언어 차이와 carrier 차이를 분리</w:t>
            </w:r>
          </w:p>
        </w:tc>
      </w:tr>
      <w:tr>
        <w:tc>
          <w:tcPr>
            <w:tcW w:type="dxa" w:w="175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evaluation_split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public_train / external_heldout / private_adaptive / benign_hard_negative / bootstrap_only</w:t>
            </w:r>
          </w:p>
        </w:tc>
        <w:tc>
          <w:tcPr>
            <w:tcW w:type="dxa" w:w="38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과적합·오염 방지</w:t>
            </w:r>
          </w:p>
        </w:tc>
      </w:tr>
      <w:tr>
        <w:tc>
          <w:tcPr>
            <w:tcW w:type="dxa" w:w="175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recommended_layer</w:t>
            </w:r>
          </w:p>
        </w:tc>
        <w:tc>
          <w:tcPr>
            <w:tcW w:type="dxa" w:w="32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Layer 1 / 2 / 3 / 4</w:t>
            </w:r>
          </w:p>
        </w:tc>
        <w:tc>
          <w:tcPr>
            <w:tcW w:type="dxa" w:w="38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엔진·Gateway·LLM·RAG까지 어떤 레이어에서 검증할지 명시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9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병합 ID</w:t>
            </w:r>
          </w:p>
        </w:tc>
        <w:tc>
          <w:tcPr>
            <w:tcW w:type="dxa" w:w="170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병합명</w:t>
            </w:r>
          </w:p>
        </w:tc>
        <w:tc>
          <w:tcPr>
            <w:tcW w:type="dxa" w:w="29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설명</w:t>
            </w:r>
          </w:p>
        </w:tc>
        <w:tc>
          <w:tcPr>
            <w:tcW w:type="dxa" w:w="18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최종 배치</w:t>
            </w:r>
          </w:p>
        </w:tc>
        <w:tc>
          <w:tcPr>
            <w:tcW w:type="dxa" w:w="9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근거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M01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직접 지시 무효화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상위 지시 무시, 새 규칙 강제, prompt leak/hijack</w:t>
            </w:r>
          </w:p>
        </w:tc>
        <w:tc>
          <w:tcPr>
            <w:tcW w:type="dxa" w:w="187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EN-01, KO-01</w:t>
            </w:r>
          </w:p>
        </w:tc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[C1]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M02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간접 컨텍스트 인젝션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문서·웹·RAG·메일·repo·tool context를 통한 steering</w:t>
            </w:r>
          </w:p>
        </w:tc>
        <w:tc>
          <w:tcPr>
            <w:tcW w:type="dxa" w:w="187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EN-02~05, KO-03</w:t>
            </w:r>
          </w:p>
        </w:tc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[C1]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M03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난독화·언어 변형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obfuscation, linguistic mutation, code-switch, unicode noise</w:t>
            </w:r>
          </w:p>
        </w:tc>
        <w:tc>
          <w:tcPr>
            <w:tcW w:type="dxa" w:w="187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EN-06, KO-02</w:t>
            </w:r>
          </w:p>
        </w:tc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[C1][C2]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M04</w:t>
            </w:r>
          </w:p>
        </w:tc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문체·화용론 변이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존대/반말, 완곡 표현, 권위/긴박감 프레이밍</w:t>
            </w:r>
          </w:p>
        </w:tc>
        <w:tc>
          <w:tcPr>
            <w:tcW w:type="dxa" w:w="187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KO-02, KO-03, 일부 EN</w:t>
            </w:r>
          </w:p>
        </w:tc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[C1][C2]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8957"/>
      </w:tblGrid>
      <w:tr>
        <w:trPr>
          <w:tblHeader w:val="true"/>
        </w:trPr>
        <w:tc>
          <w:tcPr>
            <w:tcW w:type="dxa" w:w="9752"/>
            <w:shd w:fill="EFF4FA" w:val="clea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21"/>
              </w:rPr>
              <w:t>해석 주의</w:t>
            </w:r>
          </w:p>
          <w:p>
            <w:pPr>
              <w:keepNext w:val="0"/>
              <w:keepLines w:val="0"/>
              <w:spacing w:before="0" w:after="20" w:line="276" w:lineRule="auto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20"/>
              </w:rPr>
              <w:t>한국어 PII/Guardrail 문서 [E1]~[E4]는 prompt injection 자체를 직접 측정한 benchmark가 아니다. 다만 동일한 방어 장치 아래에서 한국어 고유 변이가 영어보다 훨씬 잘 우회된다는 점을 보여주므로, 한국어 prompt injection fuzzing에서 어떤 mutation family를 우선 배치할지 정하는 transfer evidence로 쓰기에 충분하다.</w:t>
            </w:r>
          </w:p>
        </w:tc>
      </w:tr>
    </w:tbl>
    <w:p/>
    <w:p>
      <w:pPr>
        <w:pStyle w:val="Heading1"/>
        <w:keepNext/>
        <w:keepLines w:val="0"/>
        <w:spacing w:before="160" w:after="80" w:line="276" w:lineRule="auto"/>
      </w:pPr>
      <w:r>
        <w:rPr>
          <w:rFonts w:ascii="Noto Sans CJK KR" w:hAnsi="Noto Sans CJK KR" w:eastAsia="Noto Sans CJK KR" w:cs="Noto Sans CJK KR"/>
          <w:b/>
          <w:i w:val="0"/>
          <w:color w:val="17324D"/>
          <w:sz w:val="29"/>
        </w:rPr>
        <w:t>3. 최종 코어 taxonomy</w:t>
      </w:r>
    </w:p>
    <w:p>
      <w:pPr>
        <w:keepNext w:val="0"/>
        <w:keepLines w:val="0"/>
        <w:spacing w:before="0" w:after="100" w:line="293" w:lineRule="auto"/>
      </w:pPr>
      <w:r>
        <w:rPr>
          <w:rFonts w:ascii="Noto Sans CJK KR" w:hAnsi="Noto Sans CJK KR" w:eastAsia="Noto Sans CJK KR" w:cs="Noto Sans CJK KR"/>
          <w:b w:val="0"/>
          <w:i w:val="0"/>
          <w:color w:val="232323"/>
          <w:sz w:val="20"/>
        </w:rPr>
        <w:t>보고서에서 권장하는 최상위 구조는 영어 7유형과 한국어 5유형이다. 영어는 글로벌 공개 benchmark와 application attack surface를 따라가고, 한국어는 paired base + native mutation + service context + hard negative + detector track으로 분리한다. 이 구조는 범용성과 한국어 특수성을 동시에 확보하기에 가장 실용적이다.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9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4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이름</w:t>
            </w:r>
          </w:p>
        </w:tc>
        <w:tc>
          <w:tcPr>
            <w:tcW w:type="dxa" w:w="266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핵심 attack surface</w:t>
            </w:r>
          </w:p>
        </w:tc>
        <w:tc>
          <w:tcPr>
            <w:tcW w:type="dxa" w:w="215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주목표</w:t>
            </w:r>
          </w:p>
        </w:tc>
        <w:tc>
          <w:tcPr>
            <w:tcW w:type="dxa" w:w="10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권장 Layer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EN-01</w:t>
            </w:r>
          </w:p>
        </w:tc>
        <w:tc>
          <w:tcPr>
            <w:tcW w:type="dxa" w:w="204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직접 사용자 인젝션</w:t>
            </w:r>
          </w:p>
        </w:tc>
        <w:tc>
          <w:tcPr>
            <w:tcW w:type="dxa" w:w="266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직접 입력, role confusion, fake system block</w:t>
            </w:r>
          </w:p>
        </w:tc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override / prompt_leak / output_steering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L1~L3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EN-02</w:t>
            </w:r>
          </w:p>
        </w:tc>
        <w:tc>
          <w:tcPr>
            <w:tcW w:type="dxa" w:w="204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문서·웹·RAG 간접 인젝션</w:t>
            </w:r>
          </w:p>
        </w:tc>
        <w:tc>
          <w:tcPr>
            <w:tcW w:type="dxa" w:w="266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외부 문서, 웹, RAG chunk, JSON/Markdown</w:t>
            </w:r>
          </w:p>
        </w:tc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indirect override / retrieval steering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L2~L4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EN-03</w:t>
            </w:r>
          </w:p>
        </w:tc>
        <w:tc>
          <w:tcPr>
            <w:tcW w:type="dxa" w:w="204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이메일 에이전트 인젝션</w:t>
            </w:r>
          </w:p>
        </w:tc>
        <w:tc>
          <w:tcPr>
            <w:tcW w:type="dxa" w:w="266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mail body, quoted reply, 업무 assistant</w:t>
            </w:r>
          </w:p>
        </w:tc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unauthorized action / exfiltration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L3~L4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EN-04</w:t>
            </w:r>
          </w:p>
        </w:tc>
        <w:tc>
          <w:tcPr>
            <w:tcW w:type="dxa" w:w="204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repo·코딩 에이전트 인젝션</w:t>
            </w:r>
          </w:p>
        </w:tc>
        <w:tc>
          <w:tcPr>
            <w:tcW w:type="dxa" w:w="266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README, config, comments, workflow, repo tree</w:t>
            </w:r>
          </w:p>
        </w:tc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repo steering / code-agent misuse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L3~L4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EN-05</w:t>
            </w:r>
          </w:p>
        </w:tc>
        <w:tc>
          <w:tcPr>
            <w:tcW w:type="dxa" w:w="204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도구·에이전트 오남용</w:t>
            </w:r>
          </w:p>
        </w:tc>
        <w:tc>
          <w:tcPr>
            <w:tcW w:type="dxa" w:w="266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tool output, function call, browser, memory</w:t>
            </w:r>
          </w:p>
        </w:tc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unauthorized tool use / privacy exfiltration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L3~L4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EN-06</w:t>
            </w:r>
          </w:p>
        </w:tc>
        <w:tc>
          <w:tcPr>
            <w:tcW w:type="dxa" w:w="204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적응형·자동 생성 퍼징</w:t>
            </w:r>
          </w:p>
        </w:tc>
        <w:tc>
          <w:tcPr>
            <w:tcW w:type="dxa" w:w="266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mutation search, RL/heuristic generation</w:t>
            </w:r>
          </w:p>
        </w:tc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defense-aware bypass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L2~L4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EN-07</w:t>
            </w:r>
          </w:p>
        </w:tc>
        <w:tc>
          <w:tcPr>
            <w:tcW w:type="dxa" w:w="204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정상·유사 공격 / 과잉방어</w:t>
            </w:r>
          </w:p>
        </w:tc>
        <w:tc>
          <w:tcPr>
            <w:tcW w:type="dxa" w:w="266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benign suspicious cases, refusal calibration</w:t>
            </w:r>
          </w:p>
        </w:tc>
        <w:tc>
          <w:tcPr>
            <w:tcW w:type="dxa" w:w="215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false positive / over-defense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L1~L3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9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21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이름</w:t>
            </w:r>
          </w:p>
        </w:tc>
        <w:tc>
          <w:tcPr>
            <w:tcW w:type="dxa" w:w="272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핵심 내용</w:t>
            </w:r>
          </w:p>
        </w:tc>
        <w:tc>
          <w:tcPr>
            <w:tcW w:type="dxa" w:w="19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운영 목적</w:t>
            </w:r>
          </w:p>
        </w:tc>
        <w:tc>
          <w:tcPr>
            <w:tcW w:type="dxa" w:w="85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권장 Layer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KO-01</w:t>
            </w:r>
          </w:p>
        </w:tc>
        <w:tc>
          <w:tcPr>
            <w:tcW w:type="dxa" w:w="221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EN-KO 대응 기본층</w:t>
            </w:r>
          </w:p>
        </w:tc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영어 seed와 같은 의미·위치·목표를 유지한 paired base</w:t>
            </w:r>
          </w:p>
        </w:tc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언어 차이와 carrier 차이 분리</w:t>
            </w:r>
          </w:p>
        </w:tc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L1~L3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KO-02</w:t>
            </w:r>
          </w:p>
        </w:tc>
        <w:tc>
          <w:tcPr>
            <w:tcW w:type="dxa" w:w="221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한국어 고유 언어·문자 변이</w:t>
            </w:r>
          </w:p>
        </w:tc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자모, 초성, 한글숫자, 조사, 띄어쓰기, 존대, 혼합스크립트</w:t>
            </w:r>
          </w:p>
        </w:tc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한국어 전용 bypass 노출</w:t>
            </w:r>
          </w:p>
        </w:tc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L1~L4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KO-03</w:t>
            </w:r>
          </w:p>
        </w:tc>
        <w:tc>
          <w:tcPr>
            <w:tcW w:type="dxa" w:w="221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한국 서비스 문맥 인젝션</w:t>
            </w:r>
          </w:p>
        </w:tc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사내메일, 전자결재, 고객센터, 금융/의료/공공 RAG</w:t>
            </w:r>
          </w:p>
        </w:tc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현실적 service carrier 확보</w:t>
            </w:r>
          </w:p>
        </w:tc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L3~L4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KO-04</w:t>
            </w:r>
          </w:p>
        </w:tc>
        <w:tc>
          <w:tcPr>
            <w:tcW w:type="dxa" w:w="221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한국어 hard negative / 과잉방어</w:t>
            </w:r>
          </w:p>
        </w:tc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교육·정책·인용·상담 문맥의 정상 입력</w:t>
            </w:r>
          </w:p>
        </w:tc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false positive / utility loss 측정</w:t>
            </w:r>
          </w:p>
        </w:tc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L1~L3</w:t>
            </w:r>
          </w:p>
        </w:tc>
      </w:tr>
      <w:tr>
        <w:tc>
          <w:tcPr>
            <w:tcW w:type="dxa" w:w="9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KO-05</w:t>
            </w:r>
          </w:p>
        </w:tc>
        <w:tc>
          <w:tcPr>
            <w:tcW w:type="dxa" w:w="221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한국어 detector / guardrail 평가 트랙</w:t>
            </w:r>
          </w:p>
        </w:tc>
        <w:tc>
          <w:tcPr>
            <w:tcW w:type="dxa" w:w="272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paired base + native mutation + service context + hard negative</w:t>
            </w:r>
          </w:p>
        </w:tc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ASR / FPR / utility gap 계측</w:t>
            </w:r>
          </w:p>
        </w:tc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L1~L4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8957"/>
      </w:tblGrid>
      <w:tr>
        <w:trPr>
          <w:tblHeader w:val="true"/>
        </w:trPr>
        <w:tc>
          <w:tcPr>
            <w:tcW w:type="dxa" w:w="9752"/>
            <w:shd w:fill="EEF6F0" w:val="clea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21"/>
              </w:rPr>
              <w:t>운영 권고</w:t>
            </w:r>
          </w:p>
          <w:p>
            <w:pPr>
              <w:keepNext w:val="0"/>
              <w:keepLines w:val="0"/>
              <w:spacing w:before="0" w:after="20" w:line="276" w:lineRule="auto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20"/>
              </w:rPr>
              <w:t>코어 taxonomy는 고정한다. 실제 확장은 family와 carrier에서 만든다.</w:t>
            </w:r>
          </w:p>
          <w:p>
            <w:pPr>
              <w:keepNext w:val="0"/>
              <w:keepLines w:val="0"/>
              <w:spacing w:before="0" w:after="20" w:line="276" w:lineRule="auto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20"/>
              </w:rPr>
              <w:t>영어는 application surface별 held-out 구성이 중요하고, 한국어는 KO-native mutation layer의 폭과 hard negative 품질이 성패를 좌우한다.</w:t>
            </w:r>
          </w:p>
          <w:p>
            <w:pPr>
              <w:keepNext w:val="0"/>
              <w:keepLines w:val="0"/>
              <w:spacing w:before="0" w:after="20" w:line="276" w:lineRule="auto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20"/>
              </w:rPr>
              <w:t>generator 계열은 공개 benchmark와 섞지 않고 private_adaptive split로 독립 관리한다.</w:t>
            </w:r>
          </w:p>
        </w:tc>
      </w:tr>
    </w:tbl>
    <w:p/>
    <w:p>
      <w:pPr>
        <w:pStyle w:val="Heading1"/>
        <w:keepNext/>
        <w:keepLines w:val="0"/>
        <w:spacing w:before="160" w:after="80" w:line="276" w:lineRule="auto"/>
      </w:pPr>
      <w:r>
        <w:rPr>
          <w:rFonts w:ascii="Noto Sans CJK KR" w:hAnsi="Noto Sans CJK KR" w:eastAsia="Noto Sans CJK KR" w:cs="Noto Sans CJK KR"/>
          <w:b/>
          <w:i w:val="0"/>
          <w:color w:val="17324D"/>
          <w:sz w:val="29"/>
        </w:rPr>
        <w:t>4. 한국어 확장 유형(KPX-01~16) 요약</w:t>
      </w:r>
    </w:p>
    <w:p>
      <w:pPr>
        <w:keepNext w:val="0"/>
        <w:keepLines w:val="0"/>
        <w:spacing w:before="0" w:after="100" w:line="293" w:lineRule="auto"/>
      </w:pPr>
      <w:r>
        <w:rPr>
          <w:rFonts w:ascii="Noto Sans CJK KR" w:hAnsi="Noto Sans CJK KR" w:eastAsia="Noto Sans CJK KR" w:cs="Noto Sans CJK KR"/>
          <w:b w:val="0"/>
          <w:i w:val="0"/>
          <w:color w:val="232323"/>
          <w:sz w:val="20"/>
        </w:rPr>
        <w:t>비영어권 자료 [C2]는 다른 언어 연구에서 확인된 method family를 한국어 문맥에 맞게 재설계해 KPX-01~16 확장 카탈로그로 제안한다. 이 카탈로그는 코어 taxonomy를 대체하는 것이 아니라, 한국어에서 corpus 다양성과 realism을 끌어올리기 위한 확장 모듈이다. 각 항목은 카테고리, 한국어 변형 방식, 우선순위(P0/P1/P2)를 함께 가진다.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0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ID</w:t>
            </w:r>
          </w:p>
        </w:tc>
        <w:tc>
          <w:tcPr>
            <w:tcW w:type="dxa" w:w="238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유형</w:t>
            </w:r>
          </w:p>
        </w:tc>
        <w:tc>
          <w:tcPr>
            <w:tcW w:type="dxa" w:w="351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핵심 아이디어</w:t>
            </w:r>
          </w:p>
        </w:tc>
        <w:tc>
          <w:tcPr>
            <w:tcW w:type="dxa" w:w="10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우선순위</w:t>
            </w:r>
          </w:p>
        </w:tc>
        <w:tc>
          <w:tcPr>
            <w:tcW w:type="dxa" w:w="6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근거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KPX-01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다국어 샌드위치 주입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코드스위칭 / multilingual split instruction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P0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KPX-02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번역체 직역 주입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영어식 어순·조사를 남긴 기계번역형 한국어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P1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KPX-10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한자·로마자·한글 혼합 라벨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주민번호/住民番号/jumin-beonho 식 혼합스크립트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P0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[C2][E4]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KPX-11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저자원 언어 샌드위치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저자원 언어 clause + 한국어 본문 + 2차 의미검수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P2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0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ID</w:t>
            </w:r>
          </w:p>
        </w:tc>
        <w:tc>
          <w:tcPr>
            <w:tcW w:type="dxa" w:w="238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유형</w:t>
            </w:r>
          </w:p>
        </w:tc>
        <w:tc>
          <w:tcPr>
            <w:tcW w:type="dxa" w:w="351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핵심 아이디어</w:t>
            </w:r>
          </w:p>
        </w:tc>
        <w:tc>
          <w:tcPr>
            <w:tcW w:type="dxa" w:w="10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우선순위</w:t>
            </w:r>
          </w:p>
        </w:tc>
        <w:tc>
          <w:tcPr>
            <w:tcW w:type="dxa" w:w="6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근거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KPX-03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경어체-평어체 지시전환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정중 문맥과 평어 imperative를 급격히 전환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P0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KPX-04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시조형·운문형 은유 주입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삼행시/시조/운문 프레임으로 표면 스타일 전환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P1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KPX-05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로컬 은어·완곡어 주입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표준 금칙어 대신 커뮤니티·업무 은어 활용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P2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KPX-14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민원서식·품의서식 설득형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민원/결재/장애보고 wrapper로 정상업무처럼 위장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P1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KPX-15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다중 화자 역할극·대본형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교사-학생, 선배-후배 등 관계 기반 role-play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P1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0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ID</w:t>
            </w:r>
          </w:p>
        </w:tc>
        <w:tc>
          <w:tcPr>
            <w:tcW w:type="dxa" w:w="238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유형</w:t>
            </w:r>
          </w:p>
        </w:tc>
        <w:tc>
          <w:tcPr>
            <w:tcW w:type="dxa" w:w="351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핵심 아이디어</w:t>
            </w:r>
          </w:p>
        </w:tc>
        <w:tc>
          <w:tcPr>
            <w:tcW w:type="dxa" w:w="10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우선순위</w:t>
            </w:r>
          </w:p>
        </w:tc>
        <w:tc>
          <w:tcPr>
            <w:tcW w:type="dxa" w:w="6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근거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KPX-06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구조화 필드 은닉 주입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JSON/XML/Markdown/표의 비고·메모·주석 필드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P0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KPX-07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툴응답·로그·OCR 위장 간접주입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tool result / OCR text / CRM note / 검색결과 snippet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P0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KPX-08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문서 숨김 텍스트·주석·ALT-TEXT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백색문자, tiny text, alt text, note, hidden sheet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P0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KPX-09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청크 경계 조사분리 주입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조사·어미를 chunk boundary에 걸쳐 잘라 의미 재조합 유도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P1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[C2][F1]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KPX-16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표·CSV·스프레드시트 메타영역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컬럼명, 셀 주석, 숨김 시트, 차트 제목, footnote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P2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0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ID</w:t>
            </w:r>
          </w:p>
        </w:tc>
        <w:tc>
          <w:tcPr>
            <w:tcW w:type="dxa" w:w="238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유형</w:t>
            </w:r>
          </w:p>
        </w:tc>
        <w:tc>
          <w:tcPr>
            <w:tcW w:type="dxa" w:w="351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핵심 아이디어</w:t>
            </w:r>
          </w:p>
        </w:tc>
        <w:tc>
          <w:tcPr>
            <w:tcW w:type="dxa" w:w="10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우선순위</w:t>
            </w:r>
          </w:p>
        </w:tc>
        <w:tc>
          <w:tcPr>
            <w:tcW w:type="dxa" w:w="6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근거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KPX-12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무띄어쓰기 교착형 접사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segmentation을 흔드는 무띄어쓰기·과도한 접사 결합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P0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</w:tr>
      <w:tr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KPX-13</w:t>
            </w:r>
          </w:p>
        </w:tc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Bidi / RTL 제어문자 역방향</w:t>
            </w:r>
          </w:p>
        </w:tc>
        <w:tc>
          <w:tcPr>
            <w:tcW w:type="dxa" w:w="351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시각 순서와 내부 순서를 어긋나게 하는 unicode control</w:t>
            </w:r>
          </w:p>
        </w:tc>
        <w:tc>
          <w:tcPr>
            <w:tcW w:type="dxa" w:w="10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P2</w:t>
            </w:r>
          </w:p>
        </w:tc>
        <w:tc>
          <w:tcPr>
            <w:tcW w:type="dxa" w:w="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8957"/>
      </w:tblGrid>
      <w:tr>
        <w:trPr>
          <w:tblHeader w:val="true"/>
        </w:trPr>
        <w:tc>
          <w:tcPr>
            <w:tcW w:type="dxa" w:w="9752"/>
            <w:shd w:fill="EFF4FA" w:val="clea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80" w:line="264" w:lineRule="auto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21"/>
              </w:rPr>
              <w:t>KPX 운영 방식</w:t>
            </w:r>
          </w:p>
          <w:p>
            <w:pPr>
              <w:keepNext w:val="0"/>
              <w:keepLines w:val="0"/>
              <w:spacing w:before="0" w:after="20" w:line="276" w:lineRule="auto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20"/>
              </w:rPr>
              <w:t>KPX는 코어 taxonomy의 하위 family pack처럼 붙인다. 예: KO-03 × B01 × A04 × K02 × KPX-06.</w:t>
            </w:r>
          </w:p>
          <w:p>
            <w:pPr>
              <w:keepNext w:val="0"/>
              <w:keepLines w:val="0"/>
              <w:spacing w:before="0" w:after="20" w:line="276" w:lineRule="auto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20"/>
              </w:rPr>
              <w:t>P0는 즉시 seed bank에 포함, P1은 2차 확장, P2는 검증 후 편입이 적절하다.</w:t>
            </w:r>
          </w:p>
          <w:p>
            <w:pPr>
              <w:keepNext w:val="0"/>
              <w:keepLines w:val="0"/>
              <w:spacing w:before="0" w:after="20" w:line="276" w:lineRule="auto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20"/>
              </w:rPr>
              <w:t>KPX는 hard benign 쌍을 반드시 동반해야 한다. 예를 들어 JSON 비고 필드 공격에는 정상 API 응답을, 시조형 공격에는 정상 시조/카피 문구를 같이 둔다.</w:t>
            </w:r>
          </w:p>
        </w:tc>
      </w:tr>
    </w:tbl>
    <w:p/>
    <w:p>
      <w:r>
        <w:br w:type="page"/>
      </w:r>
    </w:p>
    <w:p>
      <w:pPr>
        <w:pStyle w:val="Heading1"/>
        <w:keepNext/>
        <w:keepLines w:val="0"/>
        <w:spacing w:before="160" w:after="80" w:line="276" w:lineRule="auto"/>
      </w:pPr>
      <w:r>
        <w:rPr>
          <w:rFonts w:ascii="Noto Sans CJK KR" w:hAnsi="Noto Sans CJK KR" w:eastAsia="Noto Sans CJK KR" w:cs="Noto Sans CJK KR"/>
          <w:b/>
          <w:i w:val="0"/>
          <w:color w:val="17324D"/>
          <w:sz w:val="29"/>
        </w:rPr>
        <w:t>5. 한국어 우선순위를 뒷받침하는 보강 근거</w:t>
      </w:r>
    </w:p>
    <w:p>
      <w:pPr>
        <w:keepNext w:val="0"/>
        <w:keepLines w:val="0"/>
        <w:spacing w:before="0" w:after="100" w:line="293" w:lineRule="auto"/>
      </w:pPr>
      <w:r>
        <w:rPr>
          <w:rFonts w:ascii="Noto Sans CJK KR" w:hAnsi="Noto Sans CJK KR" w:eastAsia="Noto Sans CJK KR" w:cs="Noto Sans CJK KR"/>
          <w:b w:val="0"/>
          <w:i w:val="0"/>
          <w:color w:val="232323"/>
          <w:sz w:val="20"/>
        </w:rPr>
        <w:t>이 절은 prompt injection 자료 자체가 아니라, 한국어 고유 변이가 실제 보안 필터·가드레일 환경에서 어떤 우선순위를 가져야 하는지를 보여주는 보강 근거를 정리한다. 핵심 메시지는 일관된다. 동일한 보호 장치에서도 한국어는 영어보다 더 쉽게 우회되며, 특히 자모·초성·한글숫자·언어학적 변형이 반복적으로 상위 공격 family로 나타난다.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79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근거</w:t>
            </w:r>
          </w:p>
        </w:tc>
        <w:tc>
          <w:tcPr>
            <w:tcW w:type="dxa" w:w="19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문서</w:t>
            </w:r>
          </w:p>
        </w:tc>
        <w:tc>
          <w:tcPr>
            <w:tcW w:type="dxa" w:w="29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핵심 결과</w:t>
            </w:r>
          </w:p>
        </w:tc>
        <w:tc>
          <w:tcPr>
            <w:tcW w:type="dxa" w:w="29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퍼징 설계에 주는 의미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[E1]</w:t>
            </w:r>
          </w:p>
        </w:tc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LiteLLM + Presidio 비교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한국어 이름 100% 유출, 영어 이름 0% 유출.</w:t>
              <w:br/>
            </w: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전체 PII 유출률은 한국어 50%, 영어 30%.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KO-native 이름/표기 변형을 separate track으로 운영해야 함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[E2]</w:t>
            </w:r>
          </w:p>
        </w:tc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Bedrock INPUT 13,382건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한국어 우회 32.1%, 영어 우회 0.6%.</w:t>
              <w:br/>
            </w: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자모분리 59.3%, 초성 58.5%, 한글숫자 47.9%.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한국어 고유 mutation을 corpus 상위 priority로 배치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[E3]</w:t>
            </w:r>
          </w:p>
        </w:tc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가드레일 3자 비교 66,910건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3엔진 모두 L4 언어학 변형에서 최대 취약.</w:t>
              <w:br/>
            </w: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choseong 60.4%, jamo 58.4%, kr_digits 58.3%(평균 미탐지).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단일 엔진 의존 대신 family-aware 평가와 다중 방어 설계 필요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[E4]</w:t>
            </w:r>
          </w:p>
        </w:tc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Bedrock OUTPUT vs INPUT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OUTPUT이 전체적으로 약간 강하지만 jamo 60.2%, choseong 56.9%로 거의 개선 없음.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입력단 hardening만으로 충분하지 않으며 output/RAG 경로를 별도 검증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[F1]</w:t>
            </w:r>
          </w:p>
        </w:tc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4단계 검증 프레임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Layer 1~4를 엔진→Gateway→LLM→E2E RAG 순으로 분리.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prompt injection corpus도 layer-target을 메타데이터에 포함</w:t>
            </w:r>
          </w:p>
        </w:tc>
      </w:tr>
      <w:tr>
        <w:tc>
          <w:tcPr>
            <w:tcW w:type="dxa" w:w="79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[A1~A3]</w:t>
            </w:r>
          </w:p>
        </w:tc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Gateway/아키텍처 문서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tool, function-call, repo, RAG, hidden document, gateway chain이 실제 운영 attack surface로 확장됨.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문서형·도구형·agent형 carrier를 코퍼스에 포함</w:t>
            </w:r>
          </w:p>
        </w:tc>
      </w:tr>
    </w:tbl>
    <w:p/>
    <w:p>
      <w:pPr>
        <w:pStyle w:val="Heading1"/>
        <w:keepNext/>
        <w:keepLines w:val="0"/>
        <w:spacing w:before="160" w:after="80" w:line="276" w:lineRule="auto"/>
      </w:pPr>
      <w:r>
        <w:rPr>
          <w:rFonts w:ascii="Noto Sans CJK KR" w:hAnsi="Noto Sans CJK KR" w:eastAsia="Noto Sans CJK KR" w:cs="Noto Sans CJK KR"/>
          <w:b/>
          <w:i w:val="0"/>
          <w:color w:val="17324D"/>
          <w:sz w:val="29"/>
        </w:rPr>
        <w:t>6. corpus 설계 권고안</w:t>
      </w:r>
    </w:p>
    <w:p>
      <w:pPr>
        <w:keepNext w:val="0"/>
        <w:keepLines w:val="0"/>
        <w:spacing w:before="0" w:after="100" w:line="293" w:lineRule="auto"/>
      </w:pPr>
      <w:r>
        <w:rPr>
          <w:rFonts w:ascii="Noto Sans CJK KR" w:hAnsi="Noto Sans CJK KR" w:eastAsia="Noto Sans CJK KR" w:cs="Noto Sans CJK KR"/>
          <w:b w:val="0"/>
          <w:i w:val="0"/>
          <w:color w:val="232323"/>
          <w:sz w:val="20"/>
        </w:rPr>
        <w:t>고품질 퍼징 자료의 목표는 ‘공격 성공 사례를 많이 모으는 것’이 아니라, 어떤 조건에서 왜 우회가 일어났는지를 추적할 수 있는 데이터 구조를 만드는 것이다. 따라서 seed 수보다 split discipline, evidence 연결, hard negative, carrier realism이 더 중요하다.</w:t>
      </w:r>
    </w:p>
    <w:p>
      <w:pPr>
        <w:pStyle w:val="Heading2"/>
        <w:keepNext/>
        <w:keepLines w:val="0"/>
        <w:spacing w:before="80" w:after="80" w:line="276" w:lineRule="auto"/>
      </w:pPr>
      <w:r>
        <w:rPr>
          <w:rFonts w:ascii="Noto Sans CJK KR" w:hAnsi="Noto Sans CJK KR" w:eastAsia="Noto Sans CJK KR" w:cs="Noto Sans CJK KR"/>
          <w:b/>
          <w:i w:val="0"/>
          <w:color w:val="2E6E9E"/>
          <w:sz w:val="23"/>
        </w:rPr>
        <w:t>6.1 seed 생성 단위와 권장 규모</w:t>
      </w:r>
    </w:p>
    <w:p>
      <w:pPr>
        <w:keepNext w:val="0"/>
        <w:keepLines w:val="0"/>
        <w:spacing w:before="0" w:after="100" w:line="293" w:lineRule="auto"/>
      </w:pPr>
      <w:r>
        <w:rPr>
          <w:rFonts w:ascii="Noto Sans CJK KR" w:hAnsi="Noto Sans CJK KR" w:eastAsia="Noto Sans CJK KR" w:cs="Noto Sans CJK KR"/>
          <w:b w:val="0"/>
          <w:i w:val="0"/>
          <w:color w:val="232323"/>
          <w:sz w:val="20"/>
        </w:rPr>
        <w:t>권장 기본식은 다음과 같다. 총 seed 수 = type 수 × base seed 수 × carrier 수 × difficulty 수 × language 수. [C1]의 예시를 적용하면, 12개 type × 유형당 5개 base × carrier 4종 × difficulty 4종 × 언어 2종으로 약 1,920개의 기본 seed를 만들 수 있다. 여기에 KO-native mutation pack(K01~K05, KPX 일부)을 곱해 실전형 corpus로 확장한다.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7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구성축</w:t>
            </w:r>
          </w:p>
        </w:tc>
        <w:tc>
          <w:tcPr>
            <w:tcW w:type="dxa" w:w="317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권장 비율</w:t>
            </w:r>
          </w:p>
        </w:tc>
        <w:tc>
          <w:tcPr>
            <w:tcW w:type="dxa" w:w="3969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AF7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18"/>
              </w:rPr>
              <w:t>설명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영어 MVP</w:t>
            </w:r>
          </w:p>
        </w:tc>
        <w:tc>
          <w:tcPr>
            <w:tcW w:type="dxa" w:w="317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core public 40% / format &amp; container 30% / adaptive 20% / benign 10%</w:t>
            </w:r>
          </w:p>
        </w:tc>
        <w:tc>
          <w:tcPr>
            <w:tcW w:type="dxa" w:w="39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직접·간접·도구형 held-out과 benign calibration 균형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한국어 MVP</w:t>
            </w:r>
          </w:p>
        </w:tc>
        <w:tc>
          <w:tcPr>
            <w:tcW w:type="dxa" w:w="317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EN-KO paired 35% / KO-native mutation 45% / service-context 20%</w:t>
            </w:r>
          </w:p>
        </w:tc>
        <w:tc>
          <w:tcPr>
            <w:tcW w:type="dxa" w:w="39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번역형보다 native mutation을 더 크게 배치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Korean hard negative</w:t>
            </w:r>
          </w:p>
        </w:tc>
        <w:tc>
          <w:tcPr>
            <w:tcW w:type="dxa" w:w="317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전체 attack set의 별도 20~30% 라인</w:t>
            </w:r>
          </w:p>
        </w:tc>
        <w:tc>
          <w:tcPr>
            <w:tcW w:type="dxa" w:w="3969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과잉방어·유틸리티 손실을 별도 측정</w:t>
            </w:r>
          </w:p>
        </w:tc>
      </w:tr>
    </w:tbl>
    <w:p/>
    <w:p>
      <w:pPr>
        <w:pStyle w:val="Heading2"/>
        <w:keepNext/>
        <w:keepLines w:val="0"/>
        <w:spacing w:before="80" w:after="80" w:line="276" w:lineRule="auto"/>
      </w:pPr>
      <w:r>
        <w:rPr>
          <w:rFonts w:ascii="Noto Sans CJK KR" w:hAnsi="Noto Sans CJK KR" w:eastAsia="Noto Sans CJK KR" w:cs="Noto Sans CJK KR"/>
          <w:b/>
          <w:i w:val="0"/>
          <w:color w:val="2E6E9E"/>
          <w:sz w:val="23"/>
        </w:rPr>
        <w:t>6.2 split discipline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split</w:t>
            </w:r>
          </w:p>
        </w:tc>
        <w:tc>
          <w:tcPr>
            <w:tcW w:type="dxa" w:w="29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정의</w:t>
            </w:r>
          </w:p>
        </w:tc>
        <w:tc>
          <w:tcPr>
            <w:tcW w:type="dxa" w:w="38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public_train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초기 학습·부트스트랩에 사용할 공개 자료</w:t>
            </w:r>
          </w:p>
        </w:tc>
        <w:tc>
          <w:tcPr>
            <w:tcW w:type="dxa" w:w="38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translated/pair set, 공개 direct seed, 일부 benign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external_heldout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공개이지만 학습과 분리해 평가만 수행</w:t>
            </w:r>
          </w:p>
        </w:tc>
        <w:tc>
          <w:tcPr>
            <w:tcW w:type="dxa" w:w="38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PINT/agent benchmark/메일·repo held-out 성격 자료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private_adaptive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내부 생성 generator 결과와 adaptive variants</w:t>
            </w:r>
          </w:p>
        </w:tc>
        <w:tc>
          <w:tcPr>
            <w:tcW w:type="dxa" w:w="38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PromptFuzz류, search-based mutation, MAC/GCG 계열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benign_hard_negative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공격처럼 보이지만 정상인 입력</w:t>
            </w:r>
          </w:p>
        </w:tc>
        <w:tc>
          <w:tcPr>
            <w:tcW w:type="dxa" w:w="38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정책 문서, 교육 자료, 예시 인용, 정상 JSON/메일/표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bootstrap_only</w:t>
            </w:r>
          </w:p>
        </w:tc>
        <w:tc>
          <w:tcPr>
            <w:tcW w:type="dxa" w:w="29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초기 detector 보정용으로만 사용</w:t>
            </w:r>
          </w:p>
        </w:tc>
        <w:tc>
          <w:tcPr>
            <w:tcW w:type="dxa" w:w="385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translated seed, 약한 synthetic set</w:t>
            </w:r>
          </w:p>
        </w:tc>
      </w:tr>
    </w:tbl>
    <w:p/>
    <w:p>
      <w:pPr>
        <w:pStyle w:val="Heading2"/>
        <w:keepNext/>
        <w:keepLines w:val="0"/>
        <w:spacing w:before="80" w:after="80" w:line="276" w:lineRule="auto"/>
      </w:pPr>
      <w:r>
        <w:rPr>
          <w:rFonts w:ascii="Noto Sans CJK KR" w:hAnsi="Noto Sans CJK KR" w:eastAsia="Noto Sans CJK KR" w:cs="Noto Sans CJK KR"/>
          <w:b/>
          <w:i w:val="0"/>
          <w:color w:val="2E6E9E"/>
          <w:sz w:val="23"/>
        </w:rPr>
        <w:t>6.3 metadata와 품질 게이트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65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실행 기준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핵심 메타데이터</w:t>
            </w:r>
          </w:p>
        </w:tc>
        <w:tc>
          <w:tcPr>
            <w:tcW w:type="dxa" w:w="65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type_id, family_id, attack_surface, carrier_context, style, language_scope, mutation_recipe, oracle, recommended_layer, evaluation_split, evidence_source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paired rule</w:t>
            </w:r>
          </w:p>
        </w:tc>
        <w:tc>
          <w:tcPr>
            <w:tcW w:type="dxa" w:w="65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EN-KO paired set은 same-goal / same-position / same-carrier를 유지하고 literal translation은 지양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hard negative rule</w:t>
            </w:r>
          </w:p>
        </w:tc>
        <w:tc>
          <w:tcPr>
            <w:tcW w:type="dxa" w:w="65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각 공격 seed마다 최소 1개 이상의 surface-matched benign 샘플을 함께 관리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generator rule</w:t>
            </w:r>
          </w:p>
        </w:tc>
        <w:tc>
          <w:tcPr>
            <w:tcW w:type="dxa" w:w="65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generator output은 public benchmark와 섞지 않고 private_adaptive로 저장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oracle rule</w:t>
            </w:r>
          </w:p>
        </w:tc>
        <w:tc>
          <w:tcPr>
            <w:tcW w:type="dxa" w:w="65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no_tool_use, no_exfiltration, refusal, benign_accept 등 성공 조건을 명시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dedup rule</w:t>
            </w:r>
          </w:p>
        </w:tc>
        <w:tc>
          <w:tcPr>
            <w:tcW w:type="dxa" w:w="65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문자열 중복이 아니라 의미 기준 dedup을 수행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8957"/>
      </w:tblGrid>
      <w:tr>
        <w:trPr>
          <w:tblHeader w:val="true"/>
        </w:trPr>
        <w:tc>
          <w:tcPr>
            <w:tcW w:type="dxa" w:w="9752"/>
            <w:shd w:fill="EEF6F0" w:val="clea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/>
              <w:keepLines/>
              <w:spacing w:before="0" w:after="4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17324D"/>
                <w:sz w:val="21"/>
              </w:rPr>
              <w:t>권장 metadata 스켈레톤</w:t>
            </w:r>
          </w:p>
          <w:p>
            <w:pPr>
              <w:keepNext/>
              <w:keepLines/>
              <w:spacing w:before="0" w:after="1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id/lang/type_id/family_id/directness/attack_surface/carrier_context/style/surface_variant/attack_goal/seed_template/mutation_recipe/oracle</w:t>
            </w:r>
          </w:p>
          <w:p>
            <w:pPr>
              <w:keepNext/>
              <w:keepLines/>
              <w:spacing w:before="0" w:after="1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recommended_layer/evaluation_split/evidence_source/evidence_note/public_basis/notes</w:t>
            </w:r>
          </w:p>
        </w:tc>
      </w:tr>
    </w:tbl>
    <w:p/>
    <w:p>
      <w:pPr>
        <w:pStyle w:val="Heading1"/>
        <w:keepNext/>
        <w:keepLines w:val="0"/>
        <w:spacing w:before="160" w:after="80" w:line="276" w:lineRule="auto"/>
      </w:pPr>
      <w:r>
        <w:rPr>
          <w:rFonts w:ascii="Noto Sans CJK KR" w:hAnsi="Noto Sans CJK KR" w:eastAsia="Noto Sans CJK KR" w:cs="Noto Sans CJK KR"/>
          <w:b/>
          <w:i w:val="0"/>
          <w:color w:val="17324D"/>
          <w:sz w:val="29"/>
        </w:rPr>
        <w:t>7. 실무 적용 우선순위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9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이름</w:t>
            </w:r>
          </w:p>
        </w:tc>
        <w:tc>
          <w:tcPr>
            <w:tcW w:type="dxa" w:w="368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주요 작업</w:t>
            </w:r>
          </w:p>
        </w:tc>
        <w:tc>
          <w:tcPr>
            <w:tcW w:type="dxa" w:w="23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기대 효과</w:t>
            </w:r>
          </w:p>
        </w:tc>
      </w:tr>
      <w:tr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1단계</w:t>
            </w:r>
          </w:p>
        </w:tc>
        <w:tc>
          <w:tcPr>
            <w:tcW w:type="dxa" w:w="158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코어 baseline</w:t>
            </w:r>
          </w:p>
        </w:tc>
        <w:tc>
          <w:tcPr>
            <w:tcW w:type="dxa" w:w="368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EN 7 + KO 5 기준으로 paired base, direct/indirect/document/tool 기본 seed bank 구성</w:t>
            </w:r>
          </w:p>
        </w:tc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KO-02/KO-03을 위한 측정 기준선 확보</w:t>
            </w:r>
          </w:p>
        </w:tc>
      </w:tr>
      <w:tr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2단계</w:t>
            </w:r>
          </w:p>
        </w:tc>
        <w:tc>
          <w:tcPr>
            <w:tcW w:type="dxa" w:w="158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한국어 고유 확장</w:t>
            </w:r>
          </w:p>
        </w:tc>
        <w:tc>
          <w:tcPr>
            <w:tcW w:type="dxa" w:w="368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P0: KPX-01, 03, 06, 07, 08, 10, 12 + K01~K05 native mutation pack 적용</w:t>
            </w:r>
          </w:p>
        </w:tc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실전성 높은 한국어 우회 family 집중</w:t>
            </w:r>
          </w:p>
        </w:tc>
      </w:tr>
      <w:tr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3단계</w:t>
            </w:r>
          </w:p>
        </w:tc>
        <w:tc>
          <w:tcPr>
            <w:tcW w:type="dxa" w:w="158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carrier realism 확장</w:t>
            </w:r>
          </w:p>
        </w:tc>
        <w:tc>
          <w:tcPr>
            <w:tcW w:type="dxa" w:w="368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전자결재, 민원, 고객센터, repo, OCR, spreadsheet, hidden note, function-call 결과물 추가</w:t>
            </w:r>
          </w:p>
        </w:tc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Layer 3~4 공격면 반영</w:t>
            </w:r>
          </w:p>
        </w:tc>
      </w:tr>
      <w:tr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4단계</w:t>
            </w:r>
          </w:p>
        </w:tc>
        <w:tc>
          <w:tcPr>
            <w:tcW w:type="dxa" w:w="158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adaptive/private 강화</w:t>
            </w:r>
          </w:p>
        </w:tc>
        <w:tc>
          <w:tcPr>
            <w:tcW w:type="dxa" w:w="368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generator-only variants, search-based mutation, detector-aware private_adaptive 구축</w:t>
            </w:r>
          </w:p>
        </w:tc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공개 benchmark 과적합 방지</w:t>
            </w:r>
          </w:p>
        </w:tc>
      </w:tr>
      <w:tr>
        <w:tc>
          <w:tcPr>
            <w:tcW w:type="dxa" w:w="90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5단계</w:t>
            </w:r>
          </w:p>
        </w:tc>
        <w:tc>
          <w:tcPr>
            <w:tcW w:type="dxa" w:w="158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hard negative 병행</w:t>
            </w:r>
          </w:p>
        </w:tc>
        <w:tc>
          <w:tcPr>
            <w:tcW w:type="dxa" w:w="368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정상 JSON/메일/정책문서/예시 인용/시조체/다국어 문서로 false positive 트랙 확보</w:t>
            </w:r>
          </w:p>
        </w:tc>
        <w:tc>
          <w:tcPr>
            <w:tcW w:type="dxa" w:w="23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운영 유틸리티 손실 최소화</w:t>
            </w:r>
          </w:p>
        </w:tc>
      </w:tr>
    </w:tbl>
    <w:p/>
    <w:p>
      <w:pPr>
        <w:pStyle w:val="Heading1"/>
        <w:keepNext/>
        <w:keepLines w:val="0"/>
        <w:spacing w:before="160" w:after="80" w:line="276" w:lineRule="auto"/>
      </w:pPr>
      <w:r>
        <w:rPr>
          <w:rFonts w:ascii="Noto Sans CJK KR" w:hAnsi="Noto Sans CJK KR" w:eastAsia="Noto Sans CJK KR" w:cs="Noto Sans CJK KR"/>
          <w:b/>
          <w:i w:val="0"/>
          <w:color w:val="17324D"/>
          <w:sz w:val="29"/>
        </w:rPr>
        <w:t>8. 결론</w:t>
      </w:r>
    </w:p>
    <w:p>
      <w:pPr>
        <w:keepNext w:val="0"/>
        <w:keepLines w:val="0"/>
        <w:spacing w:before="0" w:after="100" w:line="293" w:lineRule="auto"/>
      </w:pPr>
      <w:r>
        <w:rPr>
          <w:rFonts w:ascii="Noto Sans CJK KR" w:hAnsi="Noto Sans CJK KR" w:eastAsia="Noto Sans CJK KR" w:cs="Noto Sans CJK KR"/>
          <w:b w:val="0"/>
          <w:i w:val="0"/>
          <w:color w:val="232323"/>
          <w:sz w:val="20"/>
        </w:rPr>
        <w:t>제공 자료를 기준으로 할 때, 가장 실용적인 구성은 ‘EN 7유형 + KO 5유형’ 코어 taxonomy를 유지하고, 여기에 한국어 확장 카탈로그(KPX-01~16)와 K01~K05 native mutation pack을 family 형태로 붙이는 방식이다. 이렇게 하면 영어 benchmark의 비교 가능성을 유지하면서도 한국어 서비스 문맥, 한국어 문자 체계, 한국어 문체 차이까지 흡수할 수 있다.</w:t>
      </w:r>
    </w:p>
    <w:p>
      <w:pPr>
        <w:keepNext w:val="0"/>
        <w:keepLines w:val="0"/>
        <w:spacing w:before="0" w:after="100" w:line="293" w:lineRule="auto"/>
      </w:pPr>
      <w:r>
        <w:rPr>
          <w:rFonts w:ascii="Noto Sans CJK KR" w:hAnsi="Noto Sans CJK KR" w:eastAsia="Noto Sans CJK KR" w:cs="Noto Sans CJK KR"/>
          <w:b w:val="0"/>
          <w:i w:val="0"/>
          <w:color w:val="232323"/>
          <w:sz w:val="20"/>
        </w:rPr>
        <w:t>최대한 다양하고 양질의 프롬프트 인젝션 퍼징 자료를 만들기 위해서는 seed 수를 늘리는 것보다, 공통 IR, held-out discipline, hard negative, layered evaluation, evidence-source 추적을 먼저 고정해야 한다. 특히 한국어는 번역형 데이터로는 충분하지 않으며, 자모·초성·한글숫자·경어체·혼합스크립트·문서형 hidden injection을 독립 축으로 다뤄야 한다.</w:t>
      </w:r>
    </w:p>
    <w:p>
      <w:pPr>
        <w:keepNext w:val="0"/>
        <w:keepLines w:val="0"/>
        <w:spacing w:before="0" w:after="100" w:line="293" w:lineRule="auto"/>
      </w:pPr>
      <w:r>
        <w:rPr>
          <w:rFonts w:ascii="Noto Sans CJK KR" w:hAnsi="Noto Sans CJK KR" w:eastAsia="Noto Sans CJK KR" w:cs="Noto Sans CJK KR"/>
          <w:b w:val="0"/>
          <w:i w:val="0"/>
          <w:color w:val="232323"/>
          <w:sz w:val="20"/>
        </w:rPr>
        <w:t>즉, 이 보고서의 권고안은 단순한 prompt list를 만드는 것이 아니라 ‘운영 가능한 fuzzing library’를 만드는 방향이다. 코어 taxonomy로 비교 가능성을 확보하고, KPX 및 KO-native mutation으로 현실성을 보강하며, Layer 1~4와 split 정책으로 검증 신뢰성을 유지하는 것이 최종 목표다.</w:t>
      </w:r>
    </w:p>
    <w:p>
      <w:pPr>
        <w:pStyle w:val="Heading1"/>
        <w:keepNext/>
        <w:keepLines w:val="0"/>
        <w:spacing w:before="160" w:after="80" w:line="276" w:lineRule="auto"/>
      </w:pPr>
      <w:r>
        <w:rPr>
          <w:rFonts w:ascii="Noto Sans CJK KR" w:hAnsi="Noto Sans CJK KR" w:eastAsia="Noto Sans CJK KR" w:cs="Noto Sans CJK KR"/>
          <w:b/>
          <w:i w:val="0"/>
          <w:color w:val="17324D"/>
          <w:sz w:val="29"/>
        </w:rPr>
        <w:t>참고자료 코드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1EC"/>
          <w:left w:val="single" w:sz="8" w:space="0" w:color="D7E1EC"/>
          <w:bottom w:val="single" w:sz="8" w:space="0" w:color="D7E1EC"/>
          <w:right w:val="single" w:sz="8" w:space="0" w:color="D7E1EC"/>
          <w:insideH w:val="single" w:sz="8" w:space="0" w:color="D7E1EC"/>
          <w:insideV w:val="single" w:sz="8" w:space="0" w:color="D7E1EC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85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코드</w:t>
            </w:r>
          </w:p>
        </w:tc>
        <w:tc>
          <w:tcPr>
            <w:tcW w:type="dxa" w:w="453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파일</w:t>
            </w:r>
          </w:p>
        </w:tc>
        <w:tc>
          <w:tcPr>
            <w:tcW w:type="dxa" w:w="317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84861" w:val="clear"/>
          </w:tcPr>
          <w:p>
            <w:pPr>
              <w:keepNext/>
              <w:keepLines w:val="0"/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[C1]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prompt_injection_fuzzing_master_ko_en_v2.md</w:t>
            </w:r>
          </w:p>
        </w:tc>
        <w:tc>
          <w:tcPr>
            <w:tcW w:type="dxa" w:w="317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통합 기준서</w:t>
            </w:r>
          </w:p>
        </w:tc>
      </w:tr>
      <w:tr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[C2]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비영어권 자료.md</w:t>
            </w:r>
          </w:p>
        </w:tc>
        <w:tc>
          <w:tcPr>
            <w:tcW w:type="dxa" w:w="317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한국어 Prompt Injection 신규 유형 제안서</w:t>
            </w:r>
          </w:p>
        </w:tc>
      </w:tr>
      <w:tr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[E1]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Phase1_종합분석_한국어vs영어_비교.docx</w:t>
            </w:r>
          </w:p>
        </w:tc>
        <w:tc>
          <w:tcPr>
            <w:tcW w:type="dxa" w:w="317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한국어 vs 영어 PII 보호 격차 실증</w:t>
            </w:r>
          </w:p>
        </w:tc>
      </w:tr>
      <w:tr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[E2]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Bedrock_INPUT_13382_분석보고서.md.pdf</w:t>
            </w:r>
          </w:p>
        </w:tc>
        <w:tc>
          <w:tcPr>
            <w:tcW w:type="dxa" w:w="317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Layer 1 INPUT 13,382건 분석</w:t>
            </w:r>
          </w:p>
        </w:tc>
      </w:tr>
      <w:tr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[E3]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Layer1_3자비교_종합보고서.docx</w:t>
            </w:r>
          </w:p>
        </w:tc>
        <w:tc>
          <w:tcPr>
            <w:tcW w:type="dxa" w:w="317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Presidio vs Bedrock vs Kanana 비교</w:t>
            </w:r>
          </w:p>
        </w:tc>
      </w:tr>
      <w:tr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[E4]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ccit2번Bedrock_OUTPUT_INPUT비교_상세보고서.md.pdf</w:t>
            </w:r>
          </w:p>
        </w:tc>
        <w:tc>
          <w:tcPr>
            <w:tcW w:type="dxa" w:w="317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OUTPUT + INPUT 비교</w:t>
            </w:r>
          </w:p>
        </w:tc>
      </w:tr>
      <w:tr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[F1]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ccit2번4단계_검증_프레임워크_팀공유.md</w:t>
            </w:r>
          </w:p>
        </w:tc>
        <w:tc>
          <w:tcPr>
            <w:tcW w:type="dxa" w:w="317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Layer 1~4 프레임워크</w:t>
            </w:r>
          </w:p>
        </w:tc>
      </w:tr>
      <w:tr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[A1]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LLM_Gateway_검증.docx</w:t>
            </w:r>
          </w:p>
        </w:tc>
        <w:tc>
          <w:tcPr>
            <w:tcW w:type="dxa" w:w="317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Gateway 검증 문서</w:t>
            </w:r>
          </w:p>
        </w:tc>
      </w:tr>
      <w:tr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[A2]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LLM_Gateway 아키텍쳐.pdf</w:t>
            </w:r>
          </w:p>
        </w:tc>
        <w:tc>
          <w:tcPr>
            <w:tcW w:type="dxa" w:w="317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7F9FC" w:val="clear"/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Gateway 아키텍처</w:t>
            </w:r>
          </w:p>
        </w:tc>
      </w:tr>
      <w:tr>
        <w:tc>
          <w:tcPr>
            <w:tcW w:type="dxa" w:w="85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[A3]</w:t>
            </w:r>
          </w:p>
        </w:tc>
        <w:tc>
          <w:tcPr>
            <w:tcW w:type="dxa" w:w="453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김민우 LLM_Gateway_아키텍쳐_v2 (1).pdf</w:t>
            </w:r>
          </w:p>
        </w:tc>
        <w:tc>
          <w:tcPr>
            <w:tcW w:type="dxa" w:w="3175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keepLines w:val="0"/>
              <w:spacing w:before="0" w:after="0" w:line="252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i w:val="0"/>
                <w:color w:val="232323"/>
                <w:sz w:val="18"/>
              </w:rPr>
              <w:t>Gateway 아키텍처 v2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077" w:bottom="907" w:left="107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40" w:lineRule="auto"/>
      <w:jc w:val="center"/>
    </w:pPr>
    <w:r>
      <w:rPr>
        <w:rFonts w:ascii="Noto Sans CJK KR" w:hAnsi="Noto Sans CJK KR" w:eastAsia="Noto Sans CJK KR" w:cs="Noto Sans CJK KR"/>
        <w:b w:val="0"/>
        <w:i w:val="0"/>
        <w:color w:val="646464"/>
        <w:sz w:val="17"/>
      </w:rPr>
      <w:t>프롬프트 인젝션 퍼징 자료 종합 보고서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 w:cs="Noto Sans CJK KR"/>
      <w:b w:val="0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7324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2E6E9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 w:cs="Noto Sans CJK KR"/>
      <w:b w:val="0"/>
      <w:i/>
      <w:iCs/>
      <w:color w:val="6464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 w:cs="Noto Sans CJK KR"/>
      <w:b w:val="0"/>
      <w:color w:val="23232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