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56"/>
          <w:szCs w:val="56"/>
        </w:rPr>
        <w:t xml:space="preserve">PETROVA 300K</w:t>
      </w:r>
    </w:p>
    <w:p>
      <w:pPr>
        <w:spacing w:after="80"/>
        <w:jc w:val="center"/>
      </w:pPr>
      <w:r>
        <w:rPr>
          <w:rFonts w:ascii="Arial" w:cs="Arial" w:eastAsia="Arial" w:hAnsi="Arial"/>
          <w:color w:val="C00000"/>
          <w:sz w:val="36"/>
          <w:szCs w:val="36"/>
        </w:rPr>
        <w:t xml:space="preserve">Pipeline Weakness Analysis</w:t>
      </w:r>
    </w:p>
    <w:p>
      <w:pPr>
        <w:spacing w:after="80"/>
        <w:jc w:val="center"/>
      </w:pPr>
      <w:r>
        <w:rPr>
          <w:rFonts w:ascii="Arial" w:cs="Arial" w:eastAsia="Arial" w:hAnsi="Arial"/>
          <w:color w:val="999999"/>
          <w:sz w:val="28"/>
          <w:szCs w:val="28"/>
        </w:rPr>
        <w:t xml:space="preserve">&amp;</w:t>
      </w:r>
    </w:p>
    <w:p>
      <w:pPr>
        <w:spacing w:after="600"/>
        <w:jc w:val="center"/>
      </w:pPr>
      <w:r>
        <w:rPr>
          <w:rFonts w:ascii="Arial" w:cs="Arial" w:eastAsia="Arial" w:hAnsi="Arial"/>
          <w:color w:val="548235"/>
          <w:sz w:val="36"/>
          <w:szCs w:val="36"/>
        </w:rPr>
        <w:t xml:space="preserve">Professional Interview Report</w:t>
      </w:r>
    </w:p>
    <w:p>
      <w:pPr>
        <w:pBdr>
          <w:top w:val="single" w:color="2E75B6" w:sz="2"/>
        </w:pBdr>
        <w:spacing w:after="100"/>
        <w:jc w:val="center"/>
      </w:pPr>
    </w:p>
    <w:p>
      <w:pPr>
        <w:spacing w:after="80"/>
        <w:jc w:val="center"/>
      </w:pPr>
      <w:r>
        <w:rPr>
          <w:rFonts w:ascii="Arial" w:cs="Arial" w:eastAsia="Arial" w:hAnsi="Arial"/>
          <w:color w:val="444444"/>
          <w:sz w:val="22"/>
          <w:szCs w:val="22"/>
        </w:rPr>
        <w:t xml:space="preserve">Prepared by: Jay Pechnarai</w:t>
      </w:r>
    </w:p>
    <w:p>
      <w:pPr>
        <w:spacing w:after="80"/>
        <w:jc w:val="center"/>
      </w:pPr>
      <w:r>
        <w:rPr>
          <w:rFonts w:ascii="Arial" w:cs="Arial" w:eastAsia="Arial" w:hAnsi="Arial"/>
          <w:b/>
          <w:bCs/>
          <w:color w:val="ED7D31"/>
          <w:sz w:val="22"/>
          <w:szCs w:val="22"/>
        </w:rPr>
        <w:t xml:space="preserve">May 2026 | Target: $300K+ Senior/Staff Data Engineer</w:t>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PART 1: Pipeline Weakness Analysis</w:t>
      </w:r>
    </w:p>
    <w:p>
      <w:pPr>
        <w:spacing w:after="120"/>
      </w:pPr>
      <w:r>
        <w:rPr>
          <w:rFonts w:ascii="Arial" w:cs="Arial" w:eastAsia="Arial" w:hAnsi="Arial"/>
          <w:sz w:val="22"/>
          <w:szCs w:val="22"/>
        </w:rPr>
        <w:t xml:space="preserve">This section identifies gaps, risks, and improvement opportunities in the PETROVA 300K pipeline. Each weakness is rated by severity and paired with a recommended fix and interview-ready explanation.</w:t>
      </w:r>
    </w:p>
    <w:p>
      <w:pPr>
        <w:pStyle w:val="Heading2"/>
      </w:pPr>
      <w:r>
        <w:t xml:space="preserve">1.1 Critical Weaknesses (Must Fix)</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200"/>
        <w:gridCol w:w="2600"/>
        <w:gridCol w:w="1160"/>
      </w:tblGrid>
      <w:tr>
        <w:tc>
          <w:tcPr>
            <w:tcW w:type="dxa" w:w="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Weakness</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Recommended Fix</w:t>
            </w:r>
          </w:p>
        </w:tc>
        <w:tc>
          <w:tcPr>
            <w:tcW w:type="dxa" w:w="1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4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bCs/>
                <w:color w:val="333333"/>
                <w:sz w:val="20"/>
                <w:szCs w:val="20"/>
              </w:rPr>
              <w:t xml:space="preserve">W1</w:t>
            </w:r>
          </w:p>
        </w:tc>
        <w:tc>
          <w:tcPr>
            <w:tcW w:type="dxa" w:w="20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color w:val="333333"/>
                <w:sz w:val="20"/>
                <w:szCs w:val="20"/>
              </w:rPr>
              <w:t xml:space="preserve">No automated testing in CI/CD</w:t>
            </w:r>
          </w:p>
        </w:tc>
        <w:tc>
          <w:tcPr>
            <w:tcW w:type="dxa" w:w="22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color w:val="333333"/>
                <w:sz w:val="20"/>
                <w:szCs w:val="20"/>
              </w:rPr>
              <w:t xml:space="preserve">Broken models can reach production undetected</w:t>
            </w:r>
          </w:p>
        </w:tc>
        <w:tc>
          <w:tcPr>
            <w:tcW w:type="dxa" w:w="26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dbt test + SQLFluff lint to GitHub Actions CI pipeline</w:t>
            </w:r>
          </w:p>
        </w:tc>
        <w:tc>
          <w:tcPr>
            <w:tcW w:type="dxa" w:w="11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color w:val="C00000"/>
                <w:sz w:val="20"/>
                <w:szCs w:val="20"/>
              </w:rPr>
              <w:t xml:space="preserve">HIGH</w:t>
            </w:r>
          </w:p>
        </w:tc>
      </w:tr>
      <w:tr>
        <w:tc>
          <w:tcPr>
            <w:tcW w:type="dxa" w:w="4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bCs/>
                <w:color w:val="333333"/>
                <w:sz w:val="20"/>
                <w:szCs w:val="20"/>
              </w:rPr>
              <w:t xml:space="preserve">W2</w:t>
            </w:r>
          </w:p>
        </w:tc>
        <w:tc>
          <w:tcPr>
            <w:tcW w:type="dxa" w:w="20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color w:val="333333"/>
                <w:sz w:val="20"/>
                <w:szCs w:val="20"/>
              </w:rPr>
              <w:t xml:space="preserve">No unit tests for PySpark code</w:t>
            </w:r>
          </w:p>
        </w:tc>
        <w:tc>
          <w:tcPr>
            <w:tcW w:type="dxa" w:w="22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color w:val="333333"/>
                <w:sz w:val="20"/>
                <w:szCs w:val="20"/>
              </w:rPr>
              <w:t xml:space="preserve">Regression bugs in DataFrame transformations</w:t>
            </w:r>
          </w:p>
        </w:tc>
        <w:tc>
          <w:tcPr>
            <w:tcW w:type="dxa" w:w="26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pytest + chispa (PySpark testing library) for notebook logic</w:t>
            </w:r>
          </w:p>
        </w:tc>
        <w:tc>
          <w:tcPr>
            <w:tcW w:type="dxa" w:w="11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color w:val="C00000"/>
                <w:sz w:val="20"/>
                <w:szCs w:val="20"/>
              </w:rPr>
              <w:t xml:space="preserve">HIGH</w:t>
            </w:r>
          </w:p>
        </w:tc>
      </w:tr>
      <w:tr>
        <w:tc>
          <w:tcPr>
            <w:tcW w:type="dxa" w:w="4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bCs/>
                <w:color w:val="333333"/>
                <w:sz w:val="20"/>
                <w:szCs w:val="20"/>
              </w:rPr>
              <w:t xml:space="preserve">W3</w:t>
            </w:r>
          </w:p>
        </w:tc>
        <w:tc>
          <w:tcPr>
            <w:tcW w:type="dxa" w:w="20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color w:val="333333"/>
                <w:sz w:val="20"/>
                <w:szCs w:val="20"/>
              </w:rPr>
              <w:t xml:space="preserve">Secrets in docker-compose.yml</w:t>
            </w:r>
          </w:p>
        </w:tc>
        <w:tc>
          <w:tcPr>
            <w:tcW w:type="dxa" w:w="22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color w:val="333333"/>
                <w:sz w:val="20"/>
                <w:szCs w:val="20"/>
              </w:rPr>
              <w:t xml:space="preserve">Fernet key and DB passwords exposed in Git</w:t>
            </w:r>
          </w:p>
        </w:tc>
        <w:tc>
          <w:tcPr>
            <w:tcW w:type="dxa" w:w="26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color w:val="333333"/>
                <w:sz w:val="20"/>
                <w:szCs w:val="20"/>
              </w:rPr>
              <w:t xml:space="preserve">Move to .env file (gitignored) or Docker secrets / Azure Key Vault</w:t>
            </w:r>
          </w:p>
        </w:tc>
        <w:tc>
          <w:tcPr>
            <w:tcW w:type="dxa" w:w="11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color w:val="C00000"/>
                <w:sz w:val="20"/>
                <w:szCs w:val="20"/>
              </w:rPr>
              <w:t xml:space="preserve">HIGH</w:t>
            </w:r>
          </w:p>
        </w:tc>
      </w:tr>
      <w:tr>
        <w:tc>
          <w:tcPr>
            <w:tcW w:type="dxa" w:w="4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bCs/>
                <w:color w:val="333333"/>
                <w:sz w:val="20"/>
                <w:szCs w:val="20"/>
              </w:rPr>
              <w:t xml:space="preserve">W4</w:t>
            </w:r>
          </w:p>
        </w:tc>
        <w:tc>
          <w:tcPr>
            <w:tcW w:type="dxa" w:w="20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color w:val="333333"/>
                <w:sz w:val="20"/>
                <w:szCs w:val="20"/>
              </w:rPr>
              <w:t xml:space="preserve">No data contracts between layers</w:t>
            </w:r>
          </w:p>
        </w:tc>
        <w:tc>
          <w:tcPr>
            <w:tcW w:type="dxa" w:w="22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color w:val="333333"/>
                <w:sz w:val="20"/>
                <w:szCs w:val="20"/>
              </w:rPr>
              <w:t xml:space="preserve">Schema changes in Bronze break Silver silently</w:t>
            </w:r>
          </w:p>
        </w:tc>
        <w:tc>
          <w:tcPr>
            <w:tcW w:type="dxa" w:w="26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color w:val="333333"/>
                <w:sz w:val="20"/>
                <w:szCs w:val="20"/>
              </w:rPr>
              <w:t xml:space="preserve">Implement schema registry or dbt contracts (dbt 1.5+ model contracts)</w:t>
            </w:r>
          </w:p>
        </w:tc>
        <w:tc>
          <w:tcPr>
            <w:tcW w:type="dxa" w:w="11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color w:val="C00000"/>
                <w:sz w:val="20"/>
                <w:szCs w:val="20"/>
              </w:rPr>
              <w:t xml:space="preserve">HIGH</w:t>
            </w:r>
          </w:p>
        </w:tc>
      </w:tr>
      <w:tr>
        <w:tc>
          <w:tcPr>
            <w:tcW w:type="dxa" w:w="400"/>
            <w:tcBorders>
              <w:top w:val="single" w:color="CCCCCC" w:sz="1"/>
              <w:left w:val="single" w:color="CCCCCC" w:sz="1"/>
              <w:bottom w:val="single" w:color="CCCCCC" w:sz="1"/>
              <w:right w:val="single" w:color="CCCCCC" w:sz="1"/>
            </w:tcBorders>
            <w:shd w:fill="FBE5D6" w:val="clear"/>
            <w:tcMar>
              <w:top w:type="dxa" w:w="80"/>
              <w:left w:type="dxa" w:w="120"/>
              <w:bottom w:type="dxa" w:w="80"/>
              <w:right w:type="dxa" w:w="120"/>
            </w:tcMar>
          </w:tcPr>
          <w:p>
            <w:r>
              <w:rPr>
                <w:rFonts w:ascii="Arial" w:cs="Arial" w:eastAsia="Arial" w:hAnsi="Arial"/>
                <w:b/>
                <w:bCs/>
                <w:color w:val="333333"/>
                <w:sz w:val="20"/>
                <w:szCs w:val="20"/>
              </w:rPr>
              <w:t xml:space="preserve">W5</w:t>
            </w:r>
          </w:p>
        </w:tc>
        <w:tc>
          <w:tcPr>
            <w:tcW w:type="dxa" w:w="2000"/>
            <w:tcBorders>
              <w:top w:val="single" w:color="CCCCCC" w:sz="1"/>
              <w:left w:val="single" w:color="CCCCCC" w:sz="1"/>
              <w:bottom w:val="single" w:color="CCCCCC" w:sz="1"/>
              <w:right w:val="single" w:color="CCCCCC" w:sz="1"/>
            </w:tcBorders>
            <w:shd w:fill="FBE5D6" w:val="clear"/>
            <w:tcMar>
              <w:top w:type="dxa" w:w="80"/>
              <w:left w:type="dxa" w:w="120"/>
              <w:bottom w:type="dxa" w:w="80"/>
              <w:right w:type="dxa" w:w="120"/>
            </w:tcMar>
          </w:tcPr>
          <w:p>
            <w:r>
              <w:rPr>
                <w:rFonts w:ascii="Arial" w:cs="Arial" w:eastAsia="Arial" w:hAnsi="Arial"/>
                <w:b w:val="false"/>
                <w:bCs w:val="false"/>
                <w:color w:val="333333"/>
                <w:sz w:val="20"/>
                <w:szCs w:val="20"/>
              </w:rPr>
              <w:t xml:space="preserve">dim_customer is placeholder</w:t>
            </w:r>
          </w:p>
        </w:tc>
        <w:tc>
          <w:tcPr>
            <w:tcW w:type="dxa" w:w="2200"/>
            <w:tcBorders>
              <w:top w:val="single" w:color="CCCCCC" w:sz="1"/>
              <w:left w:val="single" w:color="CCCCCC" w:sz="1"/>
              <w:bottom w:val="single" w:color="CCCCCC" w:sz="1"/>
              <w:right w:val="single" w:color="CCCCCC" w:sz="1"/>
            </w:tcBorders>
            <w:shd w:fill="FBE5D6" w:val="clear"/>
            <w:tcMar>
              <w:top w:type="dxa" w:w="80"/>
              <w:left w:type="dxa" w:w="120"/>
              <w:bottom w:type="dxa" w:w="80"/>
              <w:right w:type="dxa" w:w="120"/>
            </w:tcMar>
          </w:tcPr>
          <w:p>
            <w:r>
              <w:rPr>
                <w:rFonts w:ascii="Arial" w:cs="Arial" w:eastAsia="Arial" w:hAnsi="Arial"/>
                <w:b w:val="false"/>
                <w:bCs w:val="false"/>
                <w:color w:val="333333"/>
                <w:sz w:val="20"/>
                <w:szCs w:val="20"/>
              </w:rPr>
              <w:t xml:space="preserve">Incomplete star schema, cannot join customer to revenue</w:t>
            </w:r>
          </w:p>
        </w:tc>
        <w:tc>
          <w:tcPr>
            <w:tcW w:type="dxa" w:w="2600"/>
            <w:tcBorders>
              <w:top w:val="single" w:color="CCCCCC" w:sz="1"/>
              <w:left w:val="single" w:color="CCCCCC" w:sz="1"/>
              <w:bottom w:val="single" w:color="CCCCCC" w:sz="1"/>
              <w:right w:val="single" w:color="CCCCCC" w:sz="1"/>
            </w:tcBorders>
            <w:shd w:fill="FBE5D6" w:val="clear"/>
            <w:tcMar>
              <w:top w:type="dxa" w:w="80"/>
              <w:left w:type="dxa" w:w="120"/>
              <w:bottom w:type="dxa" w:w="80"/>
              <w:right w:type="dxa" w:w="120"/>
            </w:tcMar>
          </w:tcPr>
          <w:p>
            <w:r>
              <w:rPr>
                <w:rFonts w:ascii="Arial" w:cs="Arial" w:eastAsia="Arial" w:hAnsi="Arial"/>
                <w:b w:val="false"/>
                <w:bCs w:val="false"/>
                <w:color w:val="333333"/>
                <w:sz w:val="20"/>
                <w:szCs w:val="20"/>
              </w:rPr>
              <w:t xml:space="preserve">Wire to SAP customer master when source available; document as known gap</w:t>
            </w:r>
          </w:p>
        </w:tc>
        <w:tc>
          <w:tcPr>
            <w:tcW w:type="dxa" w:w="1160"/>
            <w:tcBorders>
              <w:top w:val="single" w:color="CCCCCC" w:sz="1"/>
              <w:left w:val="single" w:color="CCCCCC" w:sz="1"/>
              <w:bottom w:val="single" w:color="CCCCCC" w:sz="1"/>
              <w:right w:val="single" w:color="CCCCCC" w:sz="1"/>
            </w:tcBorders>
            <w:shd w:fill="FBE5D6"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r>
    </w:tbl>
    <w:p>
      <w:pPr>
        <w:spacing w:after="120"/>
      </w:pPr>
      <w:r>
        <w:rPr>
          <w:rFonts w:ascii="Arial" w:cs="Arial" w:eastAsia="Arial" w:hAnsi="Arial"/>
          <w:sz w:val="22"/>
          <w:szCs w:val="22"/>
        </w:rPr>
        <w:t xml:space="preserve"/>
      </w:r>
    </w:p>
    <w:p>
      <w:pPr>
        <w:pStyle w:val="Heading2"/>
      </w:pPr>
      <w:r>
        <w:t xml:space="preserve">1.2 Architectural Gaps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000"/>
        <w:gridCol w:w="2600"/>
        <w:gridCol w:w="1160"/>
      </w:tblGrid>
      <w:tr>
        <w:tc>
          <w:tcPr>
            <w:tcW w:type="dxa" w:w="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Current State</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Production Standard</w:t>
            </w:r>
          </w:p>
        </w:tc>
        <w:tc>
          <w:tcPr>
            <w:tcW w:type="dxa" w:w="1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400"/>
            <w:tcBorders>
              <w:top w:val="single" w:color="CCCCCC" w:sz="1"/>
              <w:left w:val="single" w:color="CCCCCC" w:sz="1"/>
              <w:bottom w:val="single" w:color="CCCCCC" w:sz="1"/>
              <w:right w:val="single" w:color="CCCCCC" w:sz="1"/>
            </w:tcBorders>
            <w:shd w:fill="FBE5D6" w:val="clear"/>
            <w:tcMar>
              <w:top w:type="dxa" w:w="80"/>
              <w:left w:type="dxa" w:w="120"/>
              <w:bottom w:type="dxa" w:w="80"/>
              <w:right w:type="dxa" w:w="120"/>
            </w:tcMar>
          </w:tcPr>
          <w:p>
            <w:r>
              <w:rPr>
                <w:rFonts w:ascii="Arial" w:cs="Arial" w:eastAsia="Arial" w:hAnsi="Arial"/>
                <w:b/>
                <w:bCs/>
                <w:color w:val="333333"/>
                <w:sz w:val="20"/>
                <w:szCs w:val="20"/>
              </w:rPr>
              <w:t xml:space="preserve">G1</w:t>
            </w:r>
          </w:p>
        </w:tc>
        <w:tc>
          <w:tcPr>
            <w:tcW w:type="dxa" w:w="2200"/>
            <w:tcBorders>
              <w:top w:val="single" w:color="CCCCCC" w:sz="1"/>
              <w:left w:val="single" w:color="CCCCCC" w:sz="1"/>
              <w:bottom w:val="single" w:color="CCCCCC" w:sz="1"/>
              <w:right w:val="single" w:color="CCCCCC" w:sz="1"/>
            </w:tcBorders>
            <w:shd w:fill="FBE5D6" w:val="clear"/>
            <w:tcMar>
              <w:top w:type="dxa" w:w="80"/>
              <w:left w:type="dxa" w:w="120"/>
              <w:bottom w:type="dxa" w:w="80"/>
              <w:right w:type="dxa" w:w="120"/>
            </w:tcMar>
          </w:tcPr>
          <w:p>
            <w:r>
              <w:rPr>
                <w:rFonts w:ascii="Arial" w:cs="Arial" w:eastAsia="Arial" w:hAnsi="Arial"/>
                <w:b w:val="false"/>
                <w:bCs w:val="false"/>
                <w:color w:val="333333"/>
                <w:sz w:val="20"/>
                <w:szCs w:val="20"/>
              </w:rPr>
              <w:t xml:space="preserve">No data catalog / discovery</w:t>
            </w:r>
          </w:p>
        </w:tc>
        <w:tc>
          <w:tcPr>
            <w:tcW w:type="dxa" w:w="2000"/>
            <w:tcBorders>
              <w:top w:val="single" w:color="CCCCCC" w:sz="1"/>
              <w:left w:val="single" w:color="CCCCCC" w:sz="1"/>
              <w:bottom w:val="single" w:color="CCCCCC" w:sz="1"/>
              <w:right w:val="single" w:color="CCCCCC" w:sz="1"/>
            </w:tcBorders>
            <w:shd w:fill="FBE5D6" w:val="clear"/>
            <w:tcMar>
              <w:top w:type="dxa" w:w="80"/>
              <w:left w:type="dxa" w:w="120"/>
              <w:bottom w:type="dxa" w:w="80"/>
              <w:right w:type="dxa" w:w="120"/>
            </w:tcMar>
          </w:tcPr>
          <w:p>
            <w:r>
              <w:rPr>
                <w:rFonts w:ascii="Arial" w:cs="Arial" w:eastAsia="Arial" w:hAnsi="Arial"/>
                <w:b w:val="false"/>
                <w:bCs w:val="false"/>
                <w:color w:val="333333"/>
                <w:sz w:val="20"/>
                <w:szCs w:val="20"/>
              </w:rPr>
              <w:t xml:space="preserve">Column docs only in dbt YAML</w:t>
            </w:r>
          </w:p>
        </w:tc>
        <w:tc>
          <w:tcPr>
            <w:tcW w:type="dxa" w:w="2600"/>
            <w:tcBorders>
              <w:top w:val="single" w:color="CCCCCC" w:sz="1"/>
              <w:left w:val="single" w:color="CCCCCC" w:sz="1"/>
              <w:bottom w:val="single" w:color="CCCCCC" w:sz="1"/>
              <w:right w:val="single" w:color="CCCCCC" w:sz="1"/>
            </w:tcBorders>
            <w:shd w:fill="FBE5D6" w:val="clear"/>
            <w:tcMar>
              <w:top w:type="dxa" w:w="80"/>
              <w:left w:type="dxa" w:w="120"/>
              <w:bottom w:type="dxa" w:w="80"/>
              <w:right w:type="dxa" w:w="120"/>
            </w:tcMar>
          </w:tcPr>
          <w:p>
            <w:r>
              <w:rPr>
                <w:rFonts w:ascii="Arial" w:cs="Arial" w:eastAsia="Arial" w:hAnsi="Arial"/>
                <w:b w:val="false"/>
                <w:bCs w:val="false"/>
                <w:color w:val="333333"/>
                <w:sz w:val="20"/>
                <w:szCs w:val="20"/>
              </w:rPr>
              <w:t xml:space="preserve">Unity Catalog with tags, lineage, column-level masking</w:t>
            </w:r>
          </w:p>
        </w:tc>
        <w:tc>
          <w:tcPr>
            <w:tcW w:type="dxa" w:w="1160"/>
            <w:tcBorders>
              <w:top w:val="single" w:color="CCCCCC" w:sz="1"/>
              <w:left w:val="single" w:color="CCCCCC" w:sz="1"/>
              <w:bottom w:val="single" w:color="CCCCCC" w:sz="1"/>
              <w:right w:val="single" w:color="CCCCCC" w:sz="1"/>
            </w:tcBorders>
            <w:shd w:fill="FBE5D6"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r>
      <w:tr>
        <w:tc>
          <w:tcPr>
            <w:tcW w:type="dxa" w:w="400"/>
            <w:tcBorders>
              <w:top w:val="single" w:color="CCCCCC" w:sz="1"/>
              <w:left w:val="single" w:color="CCCCCC" w:sz="1"/>
              <w:bottom w:val="single" w:color="CCCCCC" w:sz="1"/>
              <w:right w:val="single" w:color="CCCCCC" w:sz="1"/>
            </w:tcBorders>
            <w:shd w:fill="FBE5D6" w:val="clear"/>
            <w:tcMar>
              <w:top w:type="dxa" w:w="80"/>
              <w:left w:type="dxa" w:w="120"/>
              <w:bottom w:type="dxa" w:w="80"/>
              <w:right w:type="dxa" w:w="120"/>
            </w:tcMar>
          </w:tcPr>
          <w:p>
            <w:r>
              <w:rPr>
                <w:rFonts w:ascii="Arial" w:cs="Arial" w:eastAsia="Arial" w:hAnsi="Arial"/>
                <w:b/>
                <w:bCs/>
                <w:color w:val="333333"/>
                <w:sz w:val="20"/>
                <w:szCs w:val="20"/>
              </w:rPr>
              <w:t xml:space="preserve">G2</w:t>
            </w:r>
          </w:p>
        </w:tc>
        <w:tc>
          <w:tcPr>
            <w:tcW w:type="dxa" w:w="2200"/>
            <w:tcBorders>
              <w:top w:val="single" w:color="CCCCCC" w:sz="1"/>
              <w:left w:val="single" w:color="CCCCCC" w:sz="1"/>
              <w:bottom w:val="single" w:color="CCCCCC" w:sz="1"/>
              <w:right w:val="single" w:color="CCCCCC" w:sz="1"/>
            </w:tcBorders>
            <w:shd w:fill="FBE5D6" w:val="clear"/>
            <w:tcMar>
              <w:top w:type="dxa" w:w="80"/>
              <w:left w:type="dxa" w:w="120"/>
              <w:bottom w:type="dxa" w:w="80"/>
              <w:right w:type="dxa" w:w="120"/>
            </w:tcMar>
          </w:tcPr>
          <w:p>
            <w:r>
              <w:rPr>
                <w:rFonts w:ascii="Arial" w:cs="Arial" w:eastAsia="Arial" w:hAnsi="Arial"/>
                <w:b w:val="false"/>
                <w:bCs w:val="false"/>
                <w:color w:val="333333"/>
                <w:sz w:val="20"/>
                <w:szCs w:val="20"/>
              </w:rPr>
              <w:t xml:space="preserve">Single-node Airflow</w:t>
            </w:r>
          </w:p>
        </w:tc>
        <w:tc>
          <w:tcPr>
            <w:tcW w:type="dxa" w:w="2000"/>
            <w:tcBorders>
              <w:top w:val="single" w:color="CCCCCC" w:sz="1"/>
              <w:left w:val="single" w:color="CCCCCC" w:sz="1"/>
              <w:bottom w:val="single" w:color="CCCCCC" w:sz="1"/>
              <w:right w:val="single" w:color="CCCCCC" w:sz="1"/>
            </w:tcBorders>
            <w:shd w:fill="FBE5D6" w:val="clear"/>
            <w:tcMar>
              <w:top w:type="dxa" w:w="80"/>
              <w:left w:type="dxa" w:w="120"/>
              <w:bottom w:type="dxa" w:w="80"/>
              <w:right w:type="dxa" w:w="120"/>
            </w:tcMar>
          </w:tcPr>
          <w:p>
            <w:r>
              <w:rPr>
                <w:rFonts w:ascii="Arial" w:cs="Arial" w:eastAsia="Arial" w:hAnsi="Arial"/>
                <w:b w:val="false"/>
                <w:bCs w:val="false"/>
                <w:color w:val="333333"/>
                <w:sz w:val="20"/>
                <w:szCs w:val="20"/>
              </w:rPr>
              <w:t xml:space="preserve">LocalExecutor in Docker</w:t>
            </w:r>
          </w:p>
        </w:tc>
        <w:tc>
          <w:tcPr>
            <w:tcW w:type="dxa" w:w="2600"/>
            <w:tcBorders>
              <w:top w:val="single" w:color="CCCCCC" w:sz="1"/>
              <w:left w:val="single" w:color="CCCCCC" w:sz="1"/>
              <w:bottom w:val="single" w:color="CCCCCC" w:sz="1"/>
              <w:right w:val="single" w:color="CCCCCC" w:sz="1"/>
            </w:tcBorders>
            <w:shd w:fill="FBE5D6" w:val="clear"/>
            <w:tcMar>
              <w:top w:type="dxa" w:w="80"/>
              <w:left w:type="dxa" w:w="120"/>
              <w:bottom w:type="dxa" w:w="80"/>
              <w:right w:type="dxa" w:w="120"/>
            </w:tcMar>
          </w:tcPr>
          <w:p>
            <w:r>
              <w:rPr>
                <w:rFonts w:ascii="Arial" w:cs="Arial" w:eastAsia="Arial" w:hAnsi="Arial"/>
                <w:b w:val="false"/>
                <w:bCs w:val="false"/>
                <w:color w:val="333333"/>
                <w:sz w:val="20"/>
                <w:szCs w:val="20"/>
              </w:rPr>
              <w:t xml:space="preserve">CeleryExecutor or KubernetesExecutor for parallel task execution</w:t>
            </w:r>
          </w:p>
        </w:tc>
        <w:tc>
          <w:tcPr>
            <w:tcW w:type="dxa" w:w="1160"/>
            <w:tcBorders>
              <w:top w:val="single" w:color="CCCCCC" w:sz="1"/>
              <w:left w:val="single" w:color="CCCCCC" w:sz="1"/>
              <w:bottom w:val="single" w:color="CCCCCC" w:sz="1"/>
              <w:right w:val="single" w:color="CCCCCC" w:sz="1"/>
            </w:tcBorders>
            <w:shd w:fill="FBE5D6"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r>
      <w:tr>
        <w:tc>
          <w:tcPr>
            <w:tcW w:type="dxa" w:w="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33333"/>
                <w:sz w:val="20"/>
                <w:szCs w:val="20"/>
              </w:rPr>
              <w:t xml:space="preserve">G3</w:t>
            </w:r>
          </w:p>
        </w:tc>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33333"/>
                <w:sz w:val="20"/>
                <w:szCs w:val="20"/>
              </w:rPr>
              <w:t xml:space="preserve">No CDC from source systems</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Full-load batch ingestion</w:t>
            </w:r>
          </w:p>
        </w:tc>
        <w:tc>
          <w:tcPr>
            <w:tcW w:type="dxa" w:w="2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33333"/>
                <w:sz w:val="20"/>
                <w:szCs w:val="20"/>
              </w:rPr>
              <w:t xml:space="preserve">Debezium / Kafka for real-time change capture from SAP</w:t>
            </w:r>
          </w:p>
        </w:tc>
        <w:tc>
          <w:tcPr>
            <w:tcW w:type="dxa" w:w="1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r>
      <w:tr>
        <w:tc>
          <w:tcPr>
            <w:tcW w:type="dxa" w:w="400"/>
            <w:tcBorders>
              <w:top w:val="single" w:color="CCCCCC" w:sz="1"/>
              <w:left w:val="single" w:color="CCCCCC" w:sz="1"/>
              <w:bottom w:val="single" w:color="CCCCCC" w:sz="1"/>
              <w:right w:val="single" w:color="CCCCCC" w:sz="1"/>
            </w:tcBorders>
            <w:shd w:fill="FBE5D6" w:val="clear"/>
            <w:tcMar>
              <w:top w:type="dxa" w:w="80"/>
              <w:left w:type="dxa" w:w="120"/>
              <w:bottom w:type="dxa" w:w="80"/>
              <w:right w:type="dxa" w:w="120"/>
            </w:tcMar>
          </w:tcPr>
          <w:p>
            <w:r>
              <w:rPr>
                <w:rFonts w:ascii="Arial" w:cs="Arial" w:eastAsia="Arial" w:hAnsi="Arial"/>
                <w:b/>
                <w:bCs/>
                <w:color w:val="333333"/>
                <w:sz w:val="20"/>
                <w:szCs w:val="20"/>
              </w:rPr>
              <w:t xml:space="preserve">G4</w:t>
            </w:r>
          </w:p>
        </w:tc>
        <w:tc>
          <w:tcPr>
            <w:tcW w:type="dxa" w:w="2200"/>
            <w:tcBorders>
              <w:top w:val="single" w:color="CCCCCC" w:sz="1"/>
              <w:left w:val="single" w:color="CCCCCC" w:sz="1"/>
              <w:bottom w:val="single" w:color="CCCCCC" w:sz="1"/>
              <w:right w:val="single" w:color="CCCCCC" w:sz="1"/>
            </w:tcBorders>
            <w:shd w:fill="FBE5D6" w:val="clear"/>
            <w:tcMar>
              <w:top w:type="dxa" w:w="80"/>
              <w:left w:type="dxa" w:w="120"/>
              <w:bottom w:type="dxa" w:w="80"/>
              <w:right w:type="dxa" w:w="120"/>
            </w:tcMar>
          </w:tcPr>
          <w:p>
            <w:r>
              <w:rPr>
                <w:rFonts w:ascii="Arial" w:cs="Arial" w:eastAsia="Arial" w:hAnsi="Arial"/>
                <w:b w:val="false"/>
                <w:bCs w:val="false"/>
                <w:color w:val="333333"/>
                <w:sz w:val="20"/>
                <w:szCs w:val="20"/>
              </w:rPr>
              <w:t xml:space="preserve">No data observability tool</w:t>
            </w:r>
          </w:p>
        </w:tc>
        <w:tc>
          <w:tcPr>
            <w:tcW w:type="dxa" w:w="2000"/>
            <w:tcBorders>
              <w:top w:val="single" w:color="CCCCCC" w:sz="1"/>
              <w:left w:val="single" w:color="CCCCCC" w:sz="1"/>
              <w:bottom w:val="single" w:color="CCCCCC" w:sz="1"/>
              <w:right w:val="single" w:color="CCCCCC" w:sz="1"/>
            </w:tcBorders>
            <w:shd w:fill="FBE5D6" w:val="clear"/>
            <w:tcMar>
              <w:top w:type="dxa" w:w="80"/>
              <w:left w:type="dxa" w:w="120"/>
              <w:bottom w:type="dxa" w:w="80"/>
              <w:right w:type="dxa" w:w="120"/>
            </w:tcMar>
          </w:tcPr>
          <w:p>
            <w:r>
              <w:rPr>
                <w:rFonts w:ascii="Arial" w:cs="Arial" w:eastAsia="Arial" w:hAnsi="Arial"/>
                <w:b w:val="false"/>
                <w:bCs w:val="false"/>
                <w:color w:val="333333"/>
                <w:sz w:val="20"/>
                <w:szCs w:val="20"/>
              </w:rPr>
              <w:t xml:space="preserve">Manual quality checks</w:t>
            </w:r>
          </w:p>
        </w:tc>
        <w:tc>
          <w:tcPr>
            <w:tcW w:type="dxa" w:w="2600"/>
            <w:tcBorders>
              <w:top w:val="single" w:color="CCCCCC" w:sz="1"/>
              <w:left w:val="single" w:color="CCCCCC" w:sz="1"/>
              <w:bottom w:val="single" w:color="CCCCCC" w:sz="1"/>
              <w:right w:val="single" w:color="CCCCCC" w:sz="1"/>
            </w:tcBorders>
            <w:shd w:fill="FBE5D6" w:val="clear"/>
            <w:tcMar>
              <w:top w:type="dxa" w:w="80"/>
              <w:left w:type="dxa" w:w="120"/>
              <w:bottom w:type="dxa" w:w="80"/>
              <w:right w:type="dxa" w:w="120"/>
            </w:tcMar>
          </w:tcPr>
          <w:p>
            <w:r>
              <w:rPr>
                <w:rFonts w:ascii="Arial" w:cs="Arial" w:eastAsia="Arial" w:hAnsi="Arial"/>
                <w:b w:val="false"/>
                <w:bCs w:val="false"/>
                <w:color w:val="333333"/>
                <w:sz w:val="20"/>
                <w:szCs w:val="20"/>
              </w:rPr>
              <w:t xml:space="preserve">Monte Carlo, Elementary, or Datafold for automated anomaly detection</w:t>
            </w:r>
          </w:p>
        </w:tc>
        <w:tc>
          <w:tcPr>
            <w:tcW w:type="dxa" w:w="1160"/>
            <w:tcBorders>
              <w:top w:val="single" w:color="CCCCCC" w:sz="1"/>
              <w:left w:val="single" w:color="CCCCCC" w:sz="1"/>
              <w:bottom w:val="single" w:color="CCCCCC" w:sz="1"/>
              <w:right w:val="single" w:color="CCCCCC" w:sz="1"/>
            </w:tcBorders>
            <w:shd w:fill="FBE5D6"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r>
      <w:tr>
        <w:tc>
          <w:tcPr>
            <w:tcW w:type="dxa" w:w="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33333"/>
                <w:sz w:val="20"/>
                <w:szCs w:val="20"/>
              </w:rPr>
              <w:t xml:space="preserve">G5</w:t>
            </w:r>
          </w:p>
        </w:tc>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33333"/>
                <w:sz w:val="20"/>
                <w:szCs w:val="20"/>
              </w:rPr>
              <w:t xml:space="preserve">No cost monitoring</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33333"/>
                <w:sz w:val="20"/>
                <w:szCs w:val="20"/>
              </w:rPr>
              <w:t xml:space="preserve">No Snowflake credit tracking</w:t>
            </w:r>
          </w:p>
        </w:tc>
        <w:tc>
          <w:tcPr>
            <w:tcW w:type="dxa" w:w="2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33333"/>
                <w:sz w:val="20"/>
                <w:szCs w:val="20"/>
              </w:rPr>
              <w:t xml:space="preserve">Snowflake Resource Monitors + Databricks Budget Alerts</w:t>
            </w:r>
          </w:p>
        </w:tc>
        <w:tc>
          <w:tcPr>
            <w:tcW w:type="dxa" w:w="1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r>
      <w:tr>
        <w:tc>
          <w:tcPr>
            <w:tcW w:type="dxa" w:w="400"/>
            <w:tcBorders>
              <w:top w:val="single" w:color="CCCCCC" w:sz="1"/>
              <w:left w:val="single" w:color="CCCCCC" w:sz="1"/>
              <w:bottom w:val="single" w:color="CCCCCC" w:sz="1"/>
              <w:right w:val="single" w:color="CCCCCC" w:sz="1"/>
            </w:tcBorders>
            <w:shd w:fill="FBE5D6" w:val="clear"/>
            <w:tcMar>
              <w:top w:type="dxa" w:w="80"/>
              <w:left w:type="dxa" w:w="120"/>
              <w:bottom w:type="dxa" w:w="80"/>
              <w:right w:type="dxa" w:w="120"/>
            </w:tcMar>
          </w:tcPr>
          <w:p>
            <w:r>
              <w:rPr>
                <w:rFonts w:ascii="Arial" w:cs="Arial" w:eastAsia="Arial" w:hAnsi="Arial"/>
                <w:b/>
                <w:bCs/>
                <w:color w:val="333333"/>
                <w:sz w:val="20"/>
                <w:szCs w:val="20"/>
              </w:rPr>
              <w:t xml:space="preserve">G6</w:t>
            </w:r>
          </w:p>
        </w:tc>
        <w:tc>
          <w:tcPr>
            <w:tcW w:type="dxa" w:w="2200"/>
            <w:tcBorders>
              <w:top w:val="single" w:color="CCCCCC" w:sz="1"/>
              <w:left w:val="single" w:color="CCCCCC" w:sz="1"/>
              <w:bottom w:val="single" w:color="CCCCCC" w:sz="1"/>
              <w:right w:val="single" w:color="CCCCCC" w:sz="1"/>
            </w:tcBorders>
            <w:shd w:fill="FBE5D6" w:val="clear"/>
            <w:tcMar>
              <w:top w:type="dxa" w:w="80"/>
              <w:left w:type="dxa" w:w="120"/>
              <w:bottom w:type="dxa" w:w="80"/>
              <w:right w:type="dxa" w:w="120"/>
            </w:tcMar>
          </w:tcPr>
          <w:p>
            <w:r>
              <w:rPr>
                <w:rFonts w:ascii="Arial" w:cs="Arial" w:eastAsia="Arial" w:hAnsi="Arial"/>
                <w:b w:val="false"/>
                <w:bCs w:val="false"/>
                <w:color w:val="333333"/>
                <w:sz w:val="20"/>
                <w:szCs w:val="20"/>
              </w:rPr>
              <w:t xml:space="preserve">Missing Terraform state management</w:t>
            </w:r>
          </w:p>
        </w:tc>
        <w:tc>
          <w:tcPr>
            <w:tcW w:type="dxa" w:w="2000"/>
            <w:tcBorders>
              <w:top w:val="single" w:color="CCCCCC" w:sz="1"/>
              <w:left w:val="single" w:color="CCCCCC" w:sz="1"/>
              <w:bottom w:val="single" w:color="CCCCCC" w:sz="1"/>
              <w:right w:val="single" w:color="CCCCCC" w:sz="1"/>
            </w:tcBorders>
            <w:shd w:fill="FBE5D6" w:val="clear"/>
            <w:tcMar>
              <w:top w:type="dxa" w:w="80"/>
              <w:left w:type="dxa" w:w="120"/>
              <w:bottom w:type="dxa" w:w="80"/>
              <w:right w:type="dxa" w:w="120"/>
            </w:tcMar>
          </w:tcPr>
          <w:p>
            <w:r>
              <w:rPr>
                <w:rFonts w:ascii="Arial" w:cs="Arial" w:eastAsia="Arial" w:hAnsi="Arial"/>
                <w:b w:val="false"/>
                <w:bCs w:val="false"/>
                <w:color w:val="333333"/>
                <w:sz w:val="20"/>
                <w:szCs w:val="20"/>
              </w:rPr>
              <w:t xml:space="preserve">Local state file</w:t>
            </w:r>
          </w:p>
        </w:tc>
        <w:tc>
          <w:tcPr>
            <w:tcW w:type="dxa" w:w="2600"/>
            <w:tcBorders>
              <w:top w:val="single" w:color="CCCCCC" w:sz="1"/>
              <w:left w:val="single" w:color="CCCCCC" w:sz="1"/>
              <w:bottom w:val="single" w:color="CCCCCC" w:sz="1"/>
              <w:right w:val="single" w:color="CCCCCC" w:sz="1"/>
            </w:tcBorders>
            <w:shd w:fill="FBE5D6" w:val="clear"/>
            <w:tcMar>
              <w:top w:type="dxa" w:w="80"/>
              <w:left w:type="dxa" w:w="120"/>
              <w:bottom w:type="dxa" w:w="80"/>
              <w:right w:type="dxa" w:w="120"/>
            </w:tcMar>
          </w:tcPr>
          <w:p>
            <w:r>
              <w:rPr>
                <w:rFonts w:ascii="Arial" w:cs="Arial" w:eastAsia="Arial" w:hAnsi="Arial"/>
                <w:b w:val="false"/>
                <w:bCs w:val="false"/>
                <w:color w:val="333333"/>
                <w:sz w:val="20"/>
                <w:szCs w:val="20"/>
              </w:rPr>
              <w:t xml:space="preserve">Terraform Cloud or Azure Blob backend for remote state locking</w:t>
            </w:r>
          </w:p>
        </w:tc>
        <w:tc>
          <w:tcPr>
            <w:tcW w:type="dxa" w:w="1160"/>
            <w:tcBorders>
              <w:top w:val="single" w:color="CCCCCC" w:sz="1"/>
              <w:left w:val="single" w:color="CCCCCC" w:sz="1"/>
              <w:bottom w:val="single" w:color="CCCCCC" w:sz="1"/>
              <w:right w:val="single" w:color="CCCCCC" w:sz="1"/>
            </w:tcBorders>
            <w:shd w:fill="FBE5D6"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r>
    </w:tbl>
    <w:p>
      <w:pPr>
        <w:spacing w:after="120"/>
      </w:pPr>
      <w:r>
        <w:rPr>
          <w:rFonts w:ascii="Arial" w:cs="Arial" w:eastAsia="Arial" w:hAnsi="Arial"/>
          <w:sz w:val="22"/>
          <w:szCs w:val="22"/>
        </w:rPr>
        <w:t xml:space="preserve"/>
      </w:r>
    </w:p>
    <w:p>
      <w:pPr>
        <w:pStyle w:val="Heading2"/>
      </w:pPr>
      <w:r>
        <w:t xml:space="preserve">1.3 Code Quality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600"/>
        <w:gridCol w:w="2600"/>
        <w:gridCol w:w="1560"/>
      </w:tblGrid>
      <w:tr>
        <w:tc>
          <w:tcPr>
            <w:tcW w:type="dxa" w:w="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Fix</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33333"/>
                <w:sz w:val="20"/>
                <w:szCs w:val="20"/>
              </w:rPr>
              <w:t xml:space="preserve">C1</w:t>
            </w:r>
          </w:p>
        </w:tc>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33333"/>
                <w:sz w:val="20"/>
                <w:szCs w:val="20"/>
              </w:rPr>
              <w:t xml:space="preserve">Typo in notebook cell (ssss prefix)</w:t>
            </w:r>
          </w:p>
        </w:tc>
        <w:tc>
          <w:tcPr>
            <w:tcW w:type="dxa" w:w="2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33333"/>
                <w:sz w:val="20"/>
                <w:szCs w:val="20"/>
              </w:rPr>
              <w:t xml:space="preserve">00_local_delta_lab.ipynb cell-2</w:t>
            </w:r>
          </w:p>
        </w:tc>
        <w:tc>
          <w:tcPr>
            <w:tcW w:type="dxa" w:w="2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33333"/>
                <w:sz w:val="20"/>
                <w:szCs w:val="20"/>
              </w:rPr>
              <w:t xml:space="preserve">Remove ssss from SparkSession config string</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r>
      <w:tr>
        <w:tc>
          <w:tcPr>
            <w:tcW w:type="dxa" w:w="400"/>
            <w:tcBorders>
              <w:top w:val="single" w:color="CCCCCC" w:sz="1"/>
              <w:left w:val="single" w:color="CCCCCC" w:sz="1"/>
              <w:bottom w:val="single" w:color="CCCCCC" w:sz="1"/>
              <w:right w:val="single" w:color="CCCCCC" w:sz="1"/>
            </w:tcBorders>
            <w:shd w:fill="FBE5D6" w:val="clear"/>
            <w:tcMar>
              <w:top w:type="dxa" w:w="80"/>
              <w:left w:type="dxa" w:w="120"/>
              <w:bottom w:type="dxa" w:w="80"/>
              <w:right w:type="dxa" w:w="120"/>
            </w:tcMar>
          </w:tcPr>
          <w:p>
            <w:r>
              <w:rPr>
                <w:rFonts w:ascii="Arial" w:cs="Arial" w:eastAsia="Arial" w:hAnsi="Arial"/>
                <w:b/>
                <w:bCs/>
                <w:color w:val="333333"/>
                <w:sz w:val="20"/>
                <w:szCs w:val="20"/>
              </w:rPr>
              <w:t xml:space="preserve">C2</w:t>
            </w:r>
          </w:p>
        </w:tc>
        <w:tc>
          <w:tcPr>
            <w:tcW w:type="dxa" w:w="2200"/>
            <w:tcBorders>
              <w:top w:val="single" w:color="CCCCCC" w:sz="1"/>
              <w:left w:val="single" w:color="CCCCCC" w:sz="1"/>
              <w:bottom w:val="single" w:color="CCCCCC" w:sz="1"/>
              <w:right w:val="single" w:color="CCCCCC" w:sz="1"/>
            </w:tcBorders>
            <w:shd w:fill="FBE5D6" w:val="clear"/>
            <w:tcMar>
              <w:top w:type="dxa" w:w="80"/>
              <w:left w:type="dxa" w:w="120"/>
              <w:bottom w:type="dxa" w:w="80"/>
              <w:right w:type="dxa" w:w="120"/>
            </w:tcMar>
          </w:tcPr>
          <w:p>
            <w:r>
              <w:rPr>
                <w:rFonts w:ascii="Arial" w:cs="Arial" w:eastAsia="Arial" w:hAnsi="Arial"/>
                <w:b w:val="false"/>
                <w:bCs w:val="false"/>
                <w:color w:val="333333"/>
                <w:sz w:val="20"/>
                <w:szCs w:val="20"/>
              </w:rPr>
              <w:t xml:space="preserve">Hardcoded paths in notebooks</w:t>
            </w:r>
          </w:p>
        </w:tc>
        <w:tc>
          <w:tcPr>
            <w:tcW w:type="dxa" w:w="2600"/>
            <w:tcBorders>
              <w:top w:val="single" w:color="CCCCCC" w:sz="1"/>
              <w:left w:val="single" w:color="CCCCCC" w:sz="1"/>
              <w:bottom w:val="single" w:color="CCCCCC" w:sz="1"/>
              <w:right w:val="single" w:color="CCCCCC" w:sz="1"/>
            </w:tcBorders>
            <w:shd w:fill="FBE5D6"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.py notebooks use /mnt/petrova/</w:t>
            </w:r>
          </w:p>
        </w:tc>
        <w:tc>
          <w:tcPr>
            <w:tcW w:type="dxa" w:w="2600"/>
            <w:tcBorders>
              <w:top w:val="single" w:color="CCCCCC" w:sz="1"/>
              <w:left w:val="single" w:color="CCCCCC" w:sz="1"/>
              <w:bottom w:val="single" w:color="CCCCCC" w:sz="1"/>
              <w:right w:val="single" w:color="CCCCCC" w:sz="1"/>
            </w:tcBorders>
            <w:shd w:fill="FBE5D6" w:val="clear"/>
            <w:tcMar>
              <w:top w:type="dxa" w:w="80"/>
              <w:left w:type="dxa" w:w="120"/>
              <w:bottom w:type="dxa" w:w="80"/>
              <w:right w:type="dxa" w:w="120"/>
            </w:tcMar>
          </w:tcPr>
          <w:p>
            <w:r>
              <w:rPr>
                <w:rFonts w:ascii="Arial" w:cs="Arial" w:eastAsia="Arial" w:hAnsi="Arial"/>
                <w:b w:val="false"/>
                <w:bCs w:val="false"/>
                <w:color w:val="333333"/>
                <w:sz w:val="20"/>
                <w:szCs w:val="20"/>
              </w:rPr>
              <w:t xml:space="preserve">Use Databricks widgets or environment variables for path config</w:t>
            </w:r>
          </w:p>
        </w:tc>
        <w:tc>
          <w:tcPr>
            <w:tcW w:type="dxa" w:w="1560"/>
            <w:tcBorders>
              <w:top w:val="single" w:color="CCCCCC" w:sz="1"/>
              <w:left w:val="single" w:color="CCCCCC" w:sz="1"/>
              <w:bottom w:val="single" w:color="CCCCCC" w:sz="1"/>
              <w:right w:val="single" w:color="CCCCCC" w:sz="1"/>
            </w:tcBorders>
            <w:shd w:fill="FBE5D6"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r>
      <w:tr>
        <w:tc>
          <w:tcPr>
            <w:tcW w:type="dxa" w:w="400"/>
            <w:tcBorders>
              <w:top w:val="single" w:color="CCCCCC" w:sz="1"/>
              <w:left w:val="single" w:color="CCCCCC" w:sz="1"/>
              <w:bottom w:val="single" w:color="CCCCCC" w:sz="1"/>
              <w:right w:val="single" w:color="CCCCCC" w:sz="1"/>
            </w:tcBorders>
            <w:shd w:fill="FBE5D6" w:val="clear"/>
            <w:tcMar>
              <w:top w:type="dxa" w:w="80"/>
              <w:left w:type="dxa" w:w="120"/>
              <w:bottom w:type="dxa" w:w="80"/>
              <w:right w:type="dxa" w:w="120"/>
            </w:tcMar>
          </w:tcPr>
          <w:p>
            <w:r>
              <w:rPr>
                <w:rFonts w:ascii="Arial" w:cs="Arial" w:eastAsia="Arial" w:hAnsi="Arial"/>
                <w:b/>
                <w:bCs/>
                <w:color w:val="333333"/>
                <w:sz w:val="20"/>
                <w:szCs w:val="20"/>
              </w:rPr>
              <w:t xml:space="preserve">C3</w:t>
            </w:r>
          </w:p>
        </w:tc>
        <w:tc>
          <w:tcPr>
            <w:tcW w:type="dxa" w:w="2200"/>
            <w:tcBorders>
              <w:top w:val="single" w:color="CCCCCC" w:sz="1"/>
              <w:left w:val="single" w:color="CCCCCC" w:sz="1"/>
              <w:bottom w:val="single" w:color="CCCCCC" w:sz="1"/>
              <w:right w:val="single" w:color="CCCCCC" w:sz="1"/>
            </w:tcBorders>
            <w:shd w:fill="FBE5D6" w:val="clear"/>
            <w:tcMar>
              <w:top w:type="dxa" w:w="80"/>
              <w:left w:type="dxa" w:w="120"/>
              <w:bottom w:type="dxa" w:w="80"/>
              <w:right w:type="dxa" w:w="120"/>
            </w:tcMar>
          </w:tcPr>
          <w:p>
            <w:r>
              <w:rPr>
                <w:rFonts w:ascii="Arial" w:cs="Arial" w:eastAsia="Arial" w:hAnsi="Arial"/>
                <w:b w:val="false"/>
                <w:bCs w:val="false"/>
                <w:color w:val="333333"/>
                <w:sz w:val="20"/>
                <w:szCs w:val="20"/>
              </w:rPr>
              <w:t xml:space="preserve">Column mismatch between notebooks</w:t>
            </w:r>
          </w:p>
        </w:tc>
        <w:tc>
          <w:tcPr>
            <w:tcW w:type="dxa" w:w="2600"/>
            <w:tcBorders>
              <w:top w:val="single" w:color="CCCCCC" w:sz="1"/>
              <w:left w:val="single" w:color="CCCCCC" w:sz="1"/>
              <w:bottom w:val="single" w:color="CCCCCC" w:sz="1"/>
              <w:right w:val="single" w:color="CCCCCC" w:sz="1"/>
            </w:tcBorders>
            <w:shd w:fill="FBE5D6" w:val="clear"/>
            <w:tcMar>
              <w:top w:type="dxa" w:w="80"/>
              <w:left w:type="dxa" w:w="120"/>
              <w:bottom w:type="dxa" w:w="80"/>
              <w:right w:type="dxa" w:w="120"/>
            </w:tcMar>
          </w:tcPr>
          <w:p>
            <w:r>
              <w:rPr>
                <w:rFonts w:ascii="Arial" w:cs="Arial" w:eastAsia="Arial" w:hAnsi="Arial"/>
                <w:b w:val="false"/>
                <w:bCs w:val="false"/>
                <w:color w:val="333333"/>
                <w:sz w:val="20"/>
                <w:szCs w:val="20"/>
              </w:rPr>
              <w:t xml:space="preserve">01_bronze uses sensor_id; 00_lab uses equipment_id</w:t>
            </w:r>
          </w:p>
        </w:tc>
        <w:tc>
          <w:tcPr>
            <w:tcW w:type="dxa" w:w="2600"/>
            <w:tcBorders>
              <w:top w:val="single" w:color="CCCCCC" w:sz="1"/>
              <w:left w:val="single" w:color="CCCCCC" w:sz="1"/>
              <w:bottom w:val="single" w:color="CCCCCC" w:sz="1"/>
              <w:right w:val="single" w:color="CCCCCC" w:sz="1"/>
            </w:tcBorders>
            <w:shd w:fill="FBE5D6" w:val="clear"/>
            <w:tcMar>
              <w:top w:type="dxa" w:w="80"/>
              <w:left w:type="dxa" w:w="120"/>
              <w:bottom w:type="dxa" w:w="80"/>
              <w:right w:type="dxa" w:w="120"/>
            </w:tcMar>
          </w:tcPr>
          <w:p>
            <w:r>
              <w:rPr>
                <w:rFonts w:ascii="Arial" w:cs="Arial" w:eastAsia="Arial" w:hAnsi="Arial"/>
                <w:b w:val="false"/>
                <w:bCs w:val="false"/>
                <w:color w:val="333333"/>
                <w:sz w:val="20"/>
                <w:szCs w:val="20"/>
              </w:rPr>
              <w:t xml:space="preserve">Standardize naming convention across all notebooks</w:t>
            </w:r>
          </w:p>
        </w:tc>
        <w:tc>
          <w:tcPr>
            <w:tcW w:type="dxa" w:w="1560"/>
            <w:tcBorders>
              <w:top w:val="single" w:color="CCCCCC" w:sz="1"/>
              <w:left w:val="single" w:color="CCCCCC" w:sz="1"/>
              <w:bottom w:val="single" w:color="CCCCCC" w:sz="1"/>
              <w:right w:val="single" w:color="CCCCCC" w:sz="1"/>
            </w:tcBorders>
            <w:shd w:fill="FBE5D6"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r>
      <w:tr>
        <w:tc>
          <w:tcPr>
            <w:tcW w:type="dxa" w:w="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33333"/>
                <w:sz w:val="20"/>
                <w:szCs w:val="20"/>
              </w:rPr>
              <w:t xml:space="preserve">C4</w:t>
            </w:r>
          </w:p>
        </w:tc>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33333"/>
                <w:sz w:val="20"/>
                <w:szCs w:val="20"/>
              </w:rPr>
              <w:t xml:space="preserve">Missing import in streaming notebook</w:t>
            </w:r>
          </w:p>
        </w:tc>
        <w:tc>
          <w:tcPr>
            <w:tcW w:type="dxa" w:w="2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33333"/>
                <w:sz w:val="20"/>
                <w:szCs w:val="20"/>
              </w:rPr>
              <w:t xml:space="preserve">02_structured_streaming.py uses F before importing</w:t>
            </w:r>
          </w:p>
        </w:tc>
        <w:tc>
          <w:tcPr>
            <w:tcW w:type="dxa" w:w="2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33333"/>
                <w:sz w:val="20"/>
                <w:szCs w:val="20"/>
              </w:rPr>
              <w:t xml:space="preserve">Move pyspark.sql.functions import to top of notebook</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r>
      <w:tr>
        <w:tc>
          <w:tcPr>
            <w:tcW w:type="dxa" w:w="400"/>
            <w:tcBorders>
              <w:top w:val="single" w:color="CCCCCC" w:sz="1"/>
              <w:left w:val="single" w:color="CCCCCC" w:sz="1"/>
              <w:bottom w:val="single" w:color="CCCCCC" w:sz="1"/>
              <w:right w:val="single" w:color="CCCCCC" w:sz="1"/>
            </w:tcBorders>
            <w:shd w:fill="FBE5D6" w:val="clear"/>
            <w:tcMar>
              <w:top w:type="dxa" w:w="80"/>
              <w:left w:type="dxa" w:w="120"/>
              <w:bottom w:type="dxa" w:w="80"/>
              <w:right w:type="dxa" w:w="120"/>
            </w:tcMar>
          </w:tcPr>
          <w:p>
            <w:r>
              <w:rPr>
                <w:rFonts w:ascii="Arial" w:cs="Arial" w:eastAsia="Arial" w:hAnsi="Arial"/>
                <w:b/>
                <w:bCs/>
                <w:color w:val="333333"/>
                <w:sz w:val="20"/>
                <w:szCs w:val="20"/>
              </w:rPr>
              <w:t xml:space="preserve">C5</w:t>
            </w:r>
          </w:p>
        </w:tc>
        <w:tc>
          <w:tcPr>
            <w:tcW w:type="dxa" w:w="2200"/>
            <w:tcBorders>
              <w:top w:val="single" w:color="CCCCCC" w:sz="1"/>
              <w:left w:val="single" w:color="CCCCCC" w:sz="1"/>
              <w:bottom w:val="single" w:color="CCCCCC" w:sz="1"/>
              <w:right w:val="single" w:color="CCCCCC" w:sz="1"/>
            </w:tcBorders>
            <w:shd w:fill="FBE5D6" w:val="clear"/>
            <w:tcMar>
              <w:top w:type="dxa" w:w="80"/>
              <w:left w:type="dxa" w:w="120"/>
              <w:bottom w:type="dxa" w:w="80"/>
              <w:right w:type="dxa" w:w="120"/>
            </w:tcMar>
          </w:tcPr>
          <w:p>
            <w:r>
              <w:rPr>
                <w:rFonts w:ascii="Arial" w:cs="Arial" w:eastAsia="Arial" w:hAnsi="Arial"/>
                <w:b w:val="false"/>
                <w:bCs w:val="false"/>
                <w:color w:val="333333"/>
                <w:sz w:val="20"/>
                <w:szCs w:val="20"/>
              </w:rPr>
              <w:t xml:space="preserve">No notebook parameterization</w:t>
            </w:r>
          </w:p>
        </w:tc>
        <w:tc>
          <w:tcPr>
            <w:tcW w:type="dxa" w:w="2600"/>
            <w:tcBorders>
              <w:top w:val="single" w:color="CCCCCC" w:sz="1"/>
              <w:left w:val="single" w:color="CCCCCC" w:sz="1"/>
              <w:bottom w:val="single" w:color="CCCCCC" w:sz="1"/>
              <w:right w:val="single" w:color="CCCCCC" w:sz="1"/>
            </w:tcBorders>
            <w:shd w:fill="FBE5D6"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values hardcoded</w:t>
            </w:r>
          </w:p>
        </w:tc>
        <w:tc>
          <w:tcPr>
            <w:tcW w:type="dxa" w:w="2600"/>
            <w:tcBorders>
              <w:top w:val="single" w:color="CCCCCC" w:sz="1"/>
              <w:left w:val="single" w:color="CCCCCC" w:sz="1"/>
              <w:bottom w:val="single" w:color="CCCCCC" w:sz="1"/>
              <w:right w:val="single" w:color="CCCCCC" w:sz="1"/>
            </w:tcBorders>
            <w:shd w:fill="FBE5D6" w:val="clear"/>
            <w:tcMar>
              <w:top w:type="dxa" w:w="80"/>
              <w:left w:type="dxa" w:w="120"/>
              <w:bottom w:type="dxa" w:w="80"/>
              <w:right w:type="dxa" w:w="120"/>
            </w:tcMar>
          </w:tcPr>
          <w:p>
            <w:r>
              <w:rPr>
                <w:rFonts w:ascii="Arial" w:cs="Arial" w:eastAsia="Arial" w:hAnsi="Arial"/>
                <w:b w:val="false"/>
                <w:bCs w:val="false"/>
                <w:color w:val="333333"/>
                <w:sz w:val="20"/>
                <w:szCs w:val="20"/>
              </w:rPr>
              <w:t xml:space="preserve">Use Databricks widgets or dbutils.widgets for configurable runs</w:t>
            </w:r>
          </w:p>
        </w:tc>
        <w:tc>
          <w:tcPr>
            <w:tcW w:type="dxa" w:w="1560"/>
            <w:tcBorders>
              <w:top w:val="single" w:color="CCCCCC" w:sz="1"/>
              <w:left w:val="single" w:color="CCCCCC" w:sz="1"/>
              <w:bottom w:val="single" w:color="CCCCCC" w:sz="1"/>
              <w:right w:val="single" w:color="CCCCCC" w:sz="1"/>
            </w:tcBorders>
            <w:shd w:fill="FBE5D6"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r>
    </w:tbl>
    <w:p>
      <w:pPr>
        <w:spacing w:after="120"/>
      </w:pPr>
      <w:r>
        <w:rPr>
          <w:rFonts w:ascii="Arial" w:cs="Arial" w:eastAsia="Arial" w:hAnsi="Arial"/>
          <w:sz w:val="22"/>
          <w:szCs w:val="22"/>
        </w:rPr>
        <w:t xml:space="preserve"/>
      </w:r>
    </w:p>
    <w:p>
      <w:pPr>
        <w:pStyle w:val="Heading2"/>
      </w:pPr>
      <w:r>
        <w:t xml:space="preserve">1.4 Maturity Assessment</w:t>
      </w:r>
    </w:p>
    <w:p>
      <w:pPr>
        <w:spacing w:after="120"/>
      </w:pPr>
      <w:r>
        <w:rPr>
          <w:rFonts w:ascii="Arial" w:cs="Arial" w:eastAsia="Arial" w:hAnsi="Arial"/>
          <w:sz w:val="22"/>
          <w:szCs w:val="22"/>
        </w:rPr>
        <w:t xml:space="preserve">Overall pipeline maturity score based on industry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Current Level</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 Level</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Gap</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 Quality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Level 3 (Defined)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Level 4 (Managed)</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Automated anomaly detection, SLA tracking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Level 2 (Repeatable)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Level 4 (Managed)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CI/CD integration, regression suites, coverage metrics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Observability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Level 1 (Ad-hoc)</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Level 3 (Defined)</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Centralized logging, data freshness monitoring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Security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Level 2 (Repeatable)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Level 4 (Managed)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Column-level masking, audit logs, encryption at rest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Documentation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Level 3 (Defined)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Level 4 (Managed)</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Auto-generated lineage, data dictionary, runbooks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CI/CD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Level 2 (Repeatable)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Level 4 (Managed)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GitOps, blue-green deployments, rollback automation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Cost Management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Level 1 (Ad-hoc)</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Level 3 (Defined)</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Budget alerts, query optimization, warehouse right-sizing</w:t>
            </w:r>
          </w:p>
        </w:tc>
      </w:tr>
    </w:tbl>
    <w:p>
      <w:r>
        <w:br w:type="page"/>
      </w:r>
    </w:p>
    <w:p>
      <w:pPr>
        <w:pStyle w:val="Heading1"/>
      </w:pPr>
      <w:r>
        <w:t xml:space="preserve">PART 2: Interview Report</w:t>
      </w:r>
    </w:p>
    <w:p>
      <w:pPr>
        <w:spacing w:after="120"/>
      </w:pPr>
      <w:r>
        <w:rPr>
          <w:rFonts w:ascii="Arial" w:cs="Arial" w:eastAsia="Arial" w:hAnsi="Arial"/>
          <w:sz w:val="22"/>
          <w:szCs w:val="22"/>
        </w:rPr>
        <w:t xml:space="preserve">Structured Q&amp;A covering the top 20 questions a $300K+ data engineering interviewer would ask about this project. Each answer demonstrates depth, self-awareness, and production-readiness thinking.</w:t>
      </w:r>
    </w:p>
    <w:p>
      <w:pPr>
        <w:pStyle w:val="Heading2"/>
      </w:pPr>
      <w:r>
        <w:t xml:space="preserve">2.1 Architecture &amp; Design</w:t>
      </w:r>
    </w:p>
    <w:p>
      <w:pPr>
        <w:spacing w:after="80" w:before="200"/>
      </w:pPr>
      <w:r>
        <w:rPr>
          <w:rFonts w:ascii="Arial" w:cs="Arial" w:eastAsia="Arial" w:hAnsi="Arial"/>
          <w:b/>
          <w:bCs/>
          <w:color w:val="2E75B6"/>
          <w:sz w:val="22"/>
          <w:szCs w:val="22"/>
        </w:rPr>
        <w:t xml:space="preserve">Q: </w:t>
      </w:r>
      <w:r>
        <w:rPr>
          <w:rFonts w:ascii="Arial" w:cs="Arial" w:eastAsia="Arial" w:hAnsi="Arial"/>
          <w:b/>
          <w:bCs/>
          <w:color w:val="1B3A5C"/>
          <w:sz w:val="22"/>
          <w:szCs w:val="22"/>
        </w:rPr>
        <w:t xml:space="preserve">Walk me through your pipeline architecture end-to-end.</w:t>
      </w:r>
    </w:p>
    <w:p>
      <w:pPr>
        <w:spacing w:after="160"/>
        <w:ind w:left="360"/>
      </w:pPr>
      <w:r>
        <w:rPr>
          <w:rFonts w:ascii="Arial" w:cs="Arial" w:eastAsia="Arial" w:hAnsi="Arial"/>
          <w:color w:val="333333"/>
          <w:sz w:val="22"/>
          <w:szCs w:val="22"/>
        </w:rPr>
        <w:t xml:space="preserve">PETROVA uses a medallion architecture across two platforms: Azure Databricks for heavy compute (PySpark + Delta Lake) and Snowflake for SQL analytics. Source data from SAP ERP and IoT sensors lands in Azure Blob Storage. Auto Loader incrementally ingests into Bronze Delta tables, preserving raw data immutably. The Silver layer applies 10 cleaning logics organized in 3 validation gates: schema/type validation, business rules (including SCD2 merge), and cross-table referential integrity. Gold produces star schema models (dim_equipment, dim_vendor, fct_daily_sensor_kpi, fct_daily_revenue) ready for BI. Airflow orchestrates the full pipeline with retries and alerting. dbt handles SQL transformations in Snowflake, while PySpark handles compute-heavy operations in Databricks.</w:t>
      </w:r>
    </w:p>
    <w:p>
      <w:pPr>
        <w:spacing w:after="80" w:before="200"/>
      </w:pPr>
      <w:r>
        <w:rPr>
          <w:rFonts w:ascii="Arial" w:cs="Arial" w:eastAsia="Arial" w:hAnsi="Arial"/>
          <w:b/>
          <w:bCs/>
          <w:color w:val="2E75B6"/>
          <w:sz w:val="22"/>
          <w:szCs w:val="22"/>
        </w:rPr>
        <w:t xml:space="preserve">Q: </w:t>
      </w:r>
      <w:r>
        <w:rPr>
          <w:rFonts w:ascii="Arial" w:cs="Arial" w:eastAsia="Arial" w:hAnsi="Arial"/>
          <w:b/>
          <w:bCs/>
          <w:color w:val="1B3A5C"/>
          <w:sz w:val="22"/>
          <w:szCs w:val="22"/>
        </w:rPr>
        <w:t xml:space="preserve">Why did you choose both Databricks AND Snowflake? Isn't that redundant?</w:t>
      </w:r>
    </w:p>
    <w:p>
      <w:pPr>
        <w:spacing w:after="160"/>
        <w:ind w:left="360"/>
      </w:pPr>
      <w:r>
        <w:rPr>
          <w:rFonts w:ascii="Arial" w:cs="Arial" w:eastAsia="Arial" w:hAnsi="Arial"/>
          <w:color w:val="333333"/>
          <w:sz w:val="22"/>
          <w:szCs w:val="22"/>
        </w:rPr>
        <w:t xml:space="preserve">Not redundant — complementary. Databricks excels at large-scale PySpark processing, streaming with watermarks, and Delta Lake operations like MERGE and schema evolution. Snowflake excels at SQL analytics, semi-structured data (FLATTEN/PARSE_JSON), instant cloning for dev/test, and cost-efficient concurrency scaling. In real enterprises, you rarely get to choose just one — the hybrid approach mirrors how Fortune 500 companies actually operate. It also lets me demonstrate competency across both platforms for certification alignment.</w:t>
      </w:r>
    </w:p>
    <w:p>
      <w:pPr>
        <w:spacing w:after="80" w:before="200"/>
      </w:pPr>
      <w:r>
        <w:rPr>
          <w:rFonts w:ascii="Arial" w:cs="Arial" w:eastAsia="Arial" w:hAnsi="Arial"/>
          <w:b/>
          <w:bCs/>
          <w:color w:val="2E75B6"/>
          <w:sz w:val="22"/>
          <w:szCs w:val="22"/>
        </w:rPr>
        <w:t xml:space="preserve">Q: </w:t>
      </w:r>
      <w:r>
        <w:rPr>
          <w:rFonts w:ascii="Arial" w:cs="Arial" w:eastAsia="Arial" w:hAnsi="Arial"/>
          <w:b/>
          <w:bCs/>
          <w:color w:val="1B3A5C"/>
          <w:sz w:val="22"/>
          <w:szCs w:val="22"/>
        </w:rPr>
        <w:t xml:space="preserve">Explain your 3-Gate validation pattern. Why three gates instead of one?</w:t>
      </w:r>
    </w:p>
    <w:p>
      <w:pPr>
        <w:spacing w:after="160"/>
        <w:ind w:left="360"/>
      </w:pPr>
      <w:r>
        <w:rPr>
          <w:rFonts w:ascii="Arial" w:cs="Arial" w:eastAsia="Arial" w:hAnsi="Arial"/>
          <w:color w:val="333333"/>
          <w:sz w:val="22"/>
          <w:szCs w:val="22"/>
        </w:rPr>
        <w:t xml:space="preserve">A single validation pass would mix concerns and make debugging hard. Gate 1 (Schema) catches structural issues early — null detection, type casting, range validation. Gate 2 (Business Rules) applies domain logic — status filtering, deduplication by composite key, SCD2 merge for slowly changing dimensions. Gate 3 (Cross-Table) validates referential integrity and aggregation thresholds before promoting to Gold. Each gate produces a quality_flag, and only PASS/WARN records advance. This separation means when something fails, you know exactly which gate caught it and why.</w:t>
      </w:r>
    </w:p>
    <w:p>
      <w:pPr>
        <w:spacing w:after="80" w:before="200"/>
      </w:pPr>
      <w:r>
        <w:rPr>
          <w:rFonts w:ascii="Arial" w:cs="Arial" w:eastAsia="Arial" w:hAnsi="Arial"/>
          <w:b/>
          <w:bCs/>
          <w:color w:val="2E75B6"/>
          <w:sz w:val="22"/>
          <w:szCs w:val="22"/>
        </w:rPr>
        <w:t xml:space="preserve">Q: </w:t>
      </w:r>
      <w:r>
        <w:rPr>
          <w:rFonts w:ascii="Arial" w:cs="Arial" w:eastAsia="Arial" w:hAnsi="Arial"/>
          <w:b/>
          <w:bCs/>
          <w:color w:val="1B3A5C"/>
          <w:sz w:val="22"/>
          <w:szCs w:val="22"/>
        </w:rPr>
        <w:t xml:space="preserve">How do you handle late-arriving data?</w:t>
      </w:r>
    </w:p>
    <w:p>
      <w:pPr>
        <w:spacing w:after="160"/>
        <w:ind w:left="360"/>
      </w:pPr>
      <w:r>
        <w:rPr>
          <w:rFonts w:ascii="Arial" w:cs="Arial" w:eastAsia="Arial" w:hAnsi="Arial"/>
          <w:color w:val="333333"/>
          <w:sz w:val="22"/>
          <w:szCs w:val="22"/>
        </w:rPr>
        <w:t xml:space="preserve">Two approaches depending on context. For streaming workloads in Databricks, I use Spark Structured Streaming with a 2-hour watermark: withWatermark('reading_timestamp', '2 hours'). This allows late records to update aggregation windows without reprocessing everything. For batch workloads via Airflow, I use Delta Lake's MERGE operation — late records match on composite key (equipment_id + sensor_type + timestamp) and either update existing rows or insert as new. The Bronze layer's append-only design means we never lose late data; it just gets processed in the next batch.</w:t>
      </w:r>
    </w:p>
    <w:p>
      <w:r>
        <w:br w:type="page"/>
      </w:r>
    </w:p>
    <w:p>
      <w:pPr>
        <w:pStyle w:val="Heading2"/>
      </w:pPr>
      <w:r>
        <w:t xml:space="preserve">2.2 Data Quality &amp; Testing</w:t>
      </w:r>
    </w:p>
    <w:p>
      <w:pPr>
        <w:spacing w:after="80" w:before="200"/>
      </w:pPr>
      <w:r>
        <w:rPr>
          <w:rFonts w:ascii="Arial" w:cs="Arial" w:eastAsia="Arial" w:hAnsi="Arial"/>
          <w:b/>
          <w:bCs/>
          <w:color w:val="2E75B6"/>
          <w:sz w:val="22"/>
          <w:szCs w:val="22"/>
        </w:rPr>
        <w:t xml:space="preserve">Q: </w:t>
      </w:r>
      <w:r>
        <w:rPr>
          <w:rFonts w:ascii="Arial" w:cs="Arial" w:eastAsia="Arial" w:hAnsi="Arial"/>
          <w:b/>
          <w:bCs/>
          <w:color w:val="1B3A5C"/>
          <w:sz w:val="22"/>
          <w:szCs w:val="22"/>
        </w:rPr>
        <w:t xml:space="preserve">What testing strategy do you use? How would you improve it?</w:t>
      </w:r>
    </w:p>
    <w:p>
      <w:pPr>
        <w:spacing w:after="160"/>
        <w:ind w:left="360"/>
      </w:pPr>
      <w:r>
        <w:rPr>
          <w:rFonts w:ascii="Arial" w:cs="Arial" w:eastAsia="Arial" w:hAnsi="Arial"/>
          <w:color w:val="333333"/>
          <w:sz w:val="22"/>
          <w:szCs w:val="22"/>
        </w:rPr>
        <w:t xml:space="preserve">Currently: dbt schema tests (unique, not_null, accepted_values, relationships) on all models, plus Great Expectations suites for statistical validation at Bronze checkpoint. The gap: no PySpark unit tests and no automated CI/CD integration. To improve, I would add: (1) pytest + chispa for PySpark DataFrame assertions, (2) dbt test runs in GitHub Actions on every PR, (3) SQLFluff linting for SQL style consistency, and (4) data contract enforcement via dbt model contracts to prevent breaking schema changes.</w:t>
      </w:r>
    </w:p>
    <w:p>
      <w:pPr>
        <w:spacing w:after="80" w:before="200"/>
      </w:pPr>
      <w:r>
        <w:rPr>
          <w:rFonts w:ascii="Arial" w:cs="Arial" w:eastAsia="Arial" w:hAnsi="Arial"/>
          <w:b/>
          <w:bCs/>
          <w:color w:val="2E75B6"/>
          <w:sz w:val="22"/>
          <w:szCs w:val="22"/>
        </w:rPr>
        <w:t xml:space="preserve">Q: </w:t>
      </w:r>
      <w:r>
        <w:rPr>
          <w:rFonts w:ascii="Arial" w:cs="Arial" w:eastAsia="Arial" w:hAnsi="Arial"/>
          <w:b/>
          <w:bCs/>
          <w:color w:val="1B3A5C"/>
          <w:sz w:val="22"/>
          <w:szCs w:val="22"/>
        </w:rPr>
        <w:t xml:space="preserve">How do you ensure Gold layer data integrity?</w:t>
      </w:r>
    </w:p>
    <w:p>
      <w:pPr>
        <w:spacing w:after="160"/>
        <w:ind w:left="360"/>
      </w:pPr>
      <w:r>
        <w:rPr>
          <w:rFonts w:ascii="Arial" w:cs="Arial" w:eastAsia="Arial" w:hAnsi="Arial"/>
          <w:color w:val="333333"/>
          <w:sz w:val="22"/>
          <w:szCs w:val="22"/>
        </w:rPr>
        <w:t xml:space="preserve">Seven Immutability Commandments: no direct writes to Gold tables — all mutations go through stored procedures. MERGE pattern for all upserts ensures idempotency. Zero-Copy Clone provides instant rollback if something goes wrong. RBAC with 4-role hierarchy (Admin &gt; Engineer &gt; Analyst &gt; Reader) ensures only pipeline service accounts write to Gold. Every mutation is logged to AUDIT.PIPELINE_LOG with timestamp, user, and operation type. Post-write validation automatically runs quality checks and blocks if FMEA risk score exceeds threshold.</w:t>
      </w:r>
    </w:p>
    <w:p>
      <w:pPr>
        <w:spacing w:after="80" w:before="200"/>
      </w:pPr>
      <w:r>
        <w:rPr>
          <w:rFonts w:ascii="Arial" w:cs="Arial" w:eastAsia="Arial" w:hAnsi="Arial"/>
          <w:b/>
          <w:bCs/>
          <w:color w:val="2E75B6"/>
          <w:sz w:val="22"/>
          <w:szCs w:val="22"/>
        </w:rPr>
        <w:t xml:space="preserve">Q: </w:t>
      </w:r>
      <w:r>
        <w:rPr>
          <w:rFonts w:ascii="Arial" w:cs="Arial" w:eastAsia="Arial" w:hAnsi="Arial"/>
          <w:b/>
          <w:bCs/>
          <w:color w:val="1B3A5C"/>
          <w:sz w:val="22"/>
          <w:szCs w:val="22"/>
        </w:rPr>
        <w:t xml:space="preserve">What would you do if you discovered data quality issues in Gold that had been there for a week?</w:t>
      </w:r>
    </w:p>
    <w:p>
      <w:pPr>
        <w:spacing w:after="160"/>
        <w:ind w:left="360"/>
      </w:pPr>
      <w:r>
        <w:rPr>
          <w:rFonts w:ascii="Arial" w:cs="Arial" w:eastAsia="Arial" w:hAnsi="Arial"/>
          <w:color w:val="333333"/>
          <w:sz w:val="22"/>
          <w:szCs w:val="22"/>
        </w:rPr>
        <w:t xml:space="preserve">Step 1: Use Delta Lake Time Travel to identify exactly when the bad data entered (query by version or timestamp). Step 2: Check the Bronze layer — if raw data is clean, the bug is in Silver transformations. Step 3: Fix the transformation logic. Step 4: Use RESTORE or MERGE to correct Gold. Step 5: Run full dbt test suite to confirm fix. Step 6: Post-mortem — add a new dbt test or Great Expectations check that would have caught this. Step 7: Communicate impact to downstream consumers with the affected date range.</w:t>
      </w:r>
    </w:p>
    <w:p>
      <w:pPr>
        <w:pStyle w:val="Heading2"/>
      </w:pPr>
      <w:r>
        <w:t xml:space="preserve">2.3 Performance &amp; Scale</w:t>
      </w:r>
    </w:p>
    <w:p>
      <w:pPr>
        <w:spacing w:after="80" w:before="200"/>
      </w:pPr>
      <w:r>
        <w:rPr>
          <w:rFonts w:ascii="Arial" w:cs="Arial" w:eastAsia="Arial" w:hAnsi="Arial"/>
          <w:b/>
          <w:bCs/>
          <w:color w:val="2E75B6"/>
          <w:sz w:val="22"/>
          <w:szCs w:val="22"/>
        </w:rPr>
        <w:t xml:space="preserve">Q: </w:t>
      </w:r>
      <w:r>
        <w:rPr>
          <w:rFonts w:ascii="Arial" w:cs="Arial" w:eastAsia="Arial" w:hAnsi="Arial"/>
          <w:b/>
          <w:bCs/>
          <w:color w:val="1B3A5C"/>
          <w:sz w:val="22"/>
          <w:szCs w:val="22"/>
        </w:rPr>
        <w:t xml:space="preserve">How does your pipeline scale? What happens at 10x data volume?</w:t>
      </w:r>
    </w:p>
    <w:p>
      <w:pPr>
        <w:spacing w:after="160"/>
        <w:ind w:left="360"/>
      </w:pPr>
      <w:r>
        <w:rPr>
          <w:rFonts w:ascii="Arial" w:cs="Arial" w:eastAsia="Arial" w:hAnsi="Arial"/>
          <w:color w:val="333333"/>
          <w:sz w:val="22"/>
          <w:szCs w:val="22"/>
        </w:rPr>
        <w:t xml:space="preserve">Bronze: Auto Loader scales horizontally — add more workers in the Spark cluster. It processes files incrementally, so 10x volume means 10x files, not 10x reprocessing. Silver: The expensive operations (dedup, SCD2 merge) are partitioned by equipment_id, so they parallelize naturally. Gold: Aggregations use PySpark window functions that distribute across the cluster. For Snowflake, I would right-size warehouses (MEDIUM to LARGE) and enable auto-scaling clusters. The bottleneck would likely be the SCD2 merge on large dimension tables — I would switch to incremental processing with dbt's is_incremental() macro to avoid full-table scans.</w:t>
      </w:r>
    </w:p>
    <w:p>
      <w:pPr>
        <w:spacing w:after="80" w:before="200"/>
      </w:pPr>
      <w:r>
        <w:rPr>
          <w:rFonts w:ascii="Arial" w:cs="Arial" w:eastAsia="Arial" w:hAnsi="Arial"/>
          <w:b/>
          <w:bCs/>
          <w:color w:val="2E75B6"/>
          <w:sz w:val="22"/>
          <w:szCs w:val="22"/>
        </w:rPr>
        <w:t xml:space="preserve">Q: </w:t>
      </w:r>
      <w:r>
        <w:rPr>
          <w:rFonts w:ascii="Arial" w:cs="Arial" w:eastAsia="Arial" w:hAnsi="Arial"/>
          <w:b/>
          <w:bCs/>
          <w:color w:val="1B3A5C"/>
          <w:sz w:val="22"/>
          <w:szCs w:val="22"/>
        </w:rPr>
        <w:t xml:space="preserve">Have you used OPTIMIZE and ZORDER? When would you apply them?</w:t>
      </w:r>
    </w:p>
    <w:p>
      <w:pPr>
        <w:spacing w:after="160"/>
        <w:ind w:left="360"/>
      </w:pPr>
      <w:r>
        <w:rPr>
          <w:rFonts w:ascii="Arial" w:cs="Arial" w:eastAsia="Arial" w:hAnsi="Arial"/>
          <w:color w:val="333333"/>
          <w:sz w:val="22"/>
          <w:szCs w:val="22"/>
        </w:rPr>
        <w:t xml:space="preserve">OPTIMIZE compacts small files into larger ones for better read performance — critical after many small appends from Auto Loader or streaming. ZORDER co-locates related data by specified columns, improving query pruning. I would apply ZORDER on Gold tables by the most common filter columns (e.g., equipment_id for sensor KPIs, revenue_date for financial facts). Best practice: schedule OPTIMIZE as an Airflow task after the daily Gold write, not on every micro-batch.</w:t>
      </w:r>
    </w:p>
    <w:p>
      <w:r>
        <w:br w:type="page"/>
      </w:r>
    </w:p>
    <w:p>
      <w:pPr>
        <w:pStyle w:val="Heading2"/>
      </w:pPr>
      <w:r>
        <w:t xml:space="preserve">2.4 Technology Choices</w:t>
      </w:r>
    </w:p>
    <w:p>
      <w:pPr>
        <w:spacing w:after="80" w:before="200"/>
      </w:pPr>
      <w:r>
        <w:rPr>
          <w:rFonts w:ascii="Arial" w:cs="Arial" w:eastAsia="Arial" w:hAnsi="Arial"/>
          <w:b/>
          <w:bCs/>
          <w:color w:val="2E75B6"/>
          <w:sz w:val="22"/>
          <w:szCs w:val="22"/>
        </w:rPr>
        <w:t xml:space="preserve">Q: </w:t>
      </w:r>
      <w:r>
        <w:rPr>
          <w:rFonts w:ascii="Arial" w:cs="Arial" w:eastAsia="Arial" w:hAnsi="Arial"/>
          <w:b/>
          <w:bCs/>
          <w:color w:val="1B3A5C"/>
          <w:sz w:val="22"/>
          <w:szCs w:val="22"/>
        </w:rPr>
        <w:t xml:space="preserve">Why Airflow over ADF for orchestration?</w:t>
      </w:r>
    </w:p>
    <w:p>
      <w:pPr>
        <w:spacing w:after="160"/>
        <w:ind w:left="360"/>
      </w:pPr>
      <w:r>
        <w:rPr>
          <w:rFonts w:ascii="Arial" w:cs="Arial" w:eastAsia="Arial" w:hAnsi="Arial"/>
          <w:color w:val="333333"/>
          <w:sz w:val="22"/>
          <w:szCs w:val="22"/>
        </w:rPr>
        <w:t xml:space="preserve">Airflow gives Python-native DAG definitions, open-source vendor neutrality, and deep ecosystem integration (Snowflake/Databricks providers). ADF is great for Azure-native pipelines but locks you into the Microsoft ecosystem. In PETROVA, I use both: ADF for Azure Blob ingestion (its strength), and Airflow for the full pipeline orchestration including dbt runs, PySpark jobs, and quality checks. The Airflow DAG (petrova_validated_pipeline.py) uses TaskFlow API with retries, email alerts, and sensor-based triggers.</w:t>
      </w:r>
    </w:p>
    <w:p>
      <w:pPr>
        <w:spacing w:after="80" w:before="200"/>
      </w:pPr>
      <w:r>
        <w:rPr>
          <w:rFonts w:ascii="Arial" w:cs="Arial" w:eastAsia="Arial" w:hAnsi="Arial"/>
          <w:b/>
          <w:bCs/>
          <w:color w:val="2E75B6"/>
          <w:sz w:val="22"/>
          <w:szCs w:val="22"/>
        </w:rPr>
        <w:t xml:space="preserve">Q: </w:t>
      </w:r>
      <w:r>
        <w:rPr>
          <w:rFonts w:ascii="Arial" w:cs="Arial" w:eastAsia="Arial" w:hAnsi="Arial"/>
          <w:b/>
          <w:bCs/>
          <w:color w:val="1B3A5C"/>
          <w:sz w:val="22"/>
          <w:szCs w:val="22"/>
        </w:rPr>
        <w:t xml:space="preserve">What's the difference between Auto Loader and COPY INTO? When do you use each?</w:t>
      </w:r>
    </w:p>
    <w:p>
      <w:pPr>
        <w:spacing w:after="160"/>
        <w:ind w:left="360"/>
      </w:pPr>
      <w:r>
        <w:rPr>
          <w:rFonts w:ascii="Arial" w:cs="Arial" w:eastAsia="Arial" w:hAnsi="Arial"/>
          <w:color w:val="333333"/>
          <w:sz w:val="22"/>
          <w:szCs w:val="22"/>
        </w:rPr>
        <w:t xml:space="preserve">Auto Loader (cloudFiles) is streaming-based — it tracks which files have been processed using a checkpoint directory, supports schema inference and evolution, and is ideal for continuously arriving files. COPY INTO is batch-based and idempotent — it tracks processed files via internal metadata and is simpler for scheduled bulk loads. Rule of thumb: Auto Loader for high-frequency ingestion (minutes), COPY INTO for scheduled batches (hourly/daily). Auto Loader also handles schema evolution automatically with addNewColumns mode.</w:t>
      </w:r>
    </w:p>
    <w:p>
      <w:pPr>
        <w:spacing w:after="80" w:before="200"/>
      </w:pPr>
      <w:r>
        <w:rPr>
          <w:rFonts w:ascii="Arial" w:cs="Arial" w:eastAsia="Arial" w:hAnsi="Arial"/>
          <w:b/>
          <w:bCs/>
          <w:color w:val="2E75B6"/>
          <w:sz w:val="22"/>
          <w:szCs w:val="22"/>
        </w:rPr>
        <w:t xml:space="preserve">Q: </w:t>
      </w:r>
      <w:r>
        <w:rPr>
          <w:rFonts w:ascii="Arial" w:cs="Arial" w:eastAsia="Arial" w:hAnsi="Arial"/>
          <w:b/>
          <w:bCs/>
          <w:color w:val="1B3A5C"/>
          <w:sz w:val="22"/>
          <w:szCs w:val="22"/>
        </w:rPr>
        <w:t xml:space="preserve">Why dbt instead of just writing SQL directly in Snowflake?</w:t>
      </w:r>
    </w:p>
    <w:p>
      <w:pPr>
        <w:spacing w:after="160"/>
        <w:ind w:left="360"/>
      </w:pPr>
      <w:r>
        <w:rPr>
          <w:rFonts w:ascii="Arial" w:cs="Arial" w:eastAsia="Arial" w:hAnsi="Arial"/>
          <w:color w:val="333333"/>
          <w:sz w:val="22"/>
          <w:szCs w:val="22"/>
        </w:rPr>
        <w:t xml:space="preserve">Four reasons: (1) Lineage and dependency management — dbt builds a DAG of model dependencies via ref() macros, so models run in correct order. (2) Testing framework — built-in tests (unique, not_null, relationships) plus packages like dbt_expectations. (3) Environment management — the generate_schema_name macro routes models to dev/staging/prod schemas based on target. (4) Reusability — macros like scd2_merge and three_gate_validation can be applied across any model. Raw SQL in Snowflake gives you none of these.</w:t>
      </w:r>
    </w:p>
    <w:p>
      <w:pPr>
        <w:pStyle w:val="Heading2"/>
      </w:pPr>
      <w:r>
        <w:t xml:space="preserve">2.5 Self-Awareness &amp; Growth</w:t>
      </w:r>
    </w:p>
    <w:p>
      <w:pPr>
        <w:spacing w:after="80" w:before="200"/>
      </w:pPr>
      <w:r>
        <w:rPr>
          <w:rFonts w:ascii="Arial" w:cs="Arial" w:eastAsia="Arial" w:hAnsi="Arial"/>
          <w:b/>
          <w:bCs/>
          <w:color w:val="2E75B6"/>
          <w:sz w:val="22"/>
          <w:szCs w:val="22"/>
        </w:rPr>
        <w:t xml:space="preserve">Q: </w:t>
      </w:r>
      <w:r>
        <w:rPr>
          <w:rFonts w:ascii="Arial" w:cs="Arial" w:eastAsia="Arial" w:hAnsi="Arial"/>
          <w:b/>
          <w:bCs/>
          <w:color w:val="1B3A5C"/>
          <w:sz w:val="22"/>
          <w:szCs w:val="22"/>
        </w:rPr>
        <w:t xml:space="preserve">What are the biggest weaknesses in your pipeline?</w:t>
      </w:r>
    </w:p>
    <w:p>
      <w:pPr>
        <w:spacing w:after="160"/>
        <w:ind w:left="360"/>
      </w:pPr>
      <w:r>
        <w:rPr>
          <w:rFonts w:ascii="Arial" w:cs="Arial" w:eastAsia="Arial" w:hAnsi="Arial"/>
          <w:color w:val="333333"/>
          <w:sz w:val="22"/>
          <w:szCs w:val="22"/>
        </w:rPr>
        <w:t xml:space="preserve">Three honest gaps: (1) Testing coverage — I have dbt schema tests but no PySpark unit tests and no CI/CD test automation. This is my top priority fix. (2) Observability — I lack centralized monitoring; if a Bronze ingestion silently produces malformed data, I might not catch it until Gold aggregations look wrong. I would add Elementary or Monte Carlo for automated anomaly detection. (3) The dim_customer model is a placeholder — the star schema is incomplete without real customer data from SAP. I have documented all of these as known issues with remediation plans.</w:t>
      </w:r>
    </w:p>
    <w:p>
      <w:pPr>
        <w:spacing w:after="80" w:before="200"/>
      </w:pPr>
      <w:r>
        <w:rPr>
          <w:rFonts w:ascii="Arial" w:cs="Arial" w:eastAsia="Arial" w:hAnsi="Arial"/>
          <w:b/>
          <w:bCs/>
          <w:color w:val="2E75B6"/>
          <w:sz w:val="22"/>
          <w:szCs w:val="22"/>
        </w:rPr>
        <w:t xml:space="preserve">Q: </w:t>
      </w:r>
      <w:r>
        <w:rPr>
          <w:rFonts w:ascii="Arial" w:cs="Arial" w:eastAsia="Arial" w:hAnsi="Arial"/>
          <w:b/>
          <w:bCs/>
          <w:color w:val="1B3A5C"/>
          <w:sz w:val="22"/>
          <w:szCs w:val="22"/>
        </w:rPr>
        <w:t xml:space="preserve">Where do you see this pipeline in 6 months? What would you build next?</w:t>
      </w:r>
    </w:p>
    <w:p>
      <w:pPr>
        <w:spacing w:after="160"/>
        <w:ind w:left="360"/>
      </w:pPr>
      <w:r>
        <w:rPr>
          <w:rFonts w:ascii="Arial" w:cs="Arial" w:eastAsia="Arial" w:hAnsi="Arial"/>
          <w:color w:val="333333"/>
          <w:sz w:val="22"/>
          <w:szCs w:val="22"/>
        </w:rPr>
        <w:t xml:space="preserve">Four priorities: (1) Real-time streaming layer — add Kafka for CDC from SAP instead of batch extracts, enabling near-real-time Silver updates. (2) ML feature store — use the Gold sensor KPIs as features for a predictive maintenance model (detect equipment failures before they happen). (3) Cost optimization — implement Snowflake Resource Monitors and Databricks cluster policies to track and cap spend. (4) Data mesh evolution — split the monolithic pipeline into domain-owned data products (sensors domain, supply chain domain), each with its own Bronze/Silver/Gold and published data contracts.</w:t>
      </w:r>
    </w:p>
    <w:p>
      <w:pPr>
        <w:spacing w:after="80" w:before="200"/>
      </w:pPr>
      <w:r>
        <w:rPr>
          <w:rFonts w:ascii="Arial" w:cs="Arial" w:eastAsia="Arial" w:hAnsi="Arial"/>
          <w:b/>
          <w:bCs/>
          <w:color w:val="2E75B6"/>
          <w:sz w:val="22"/>
          <w:szCs w:val="22"/>
        </w:rPr>
        <w:t xml:space="preserve">Q: </w:t>
      </w:r>
      <w:r>
        <w:rPr>
          <w:rFonts w:ascii="Arial" w:cs="Arial" w:eastAsia="Arial" w:hAnsi="Arial"/>
          <w:b/>
          <w:bCs/>
          <w:color w:val="1B3A5C"/>
          <w:sz w:val="22"/>
          <w:szCs w:val="22"/>
        </w:rPr>
        <w:t xml:space="preserve">How do you handle schema evolution when IoT sensors add new fields?</w:t>
      </w:r>
    </w:p>
    <w:p>
      <w:pPr>
        <w:spacing w:after="160"/>
        <w:ind w:left="360"/>
      </w:pPr>
      <w:r>
        <w:rPr>
          <w:rFonts w:ascii="Arial" w:cs="Arial" w:eastAsia="Arial" w:hAnsi="Arial"/>
          <w:color w:val="333333"/>
          <w:sz w:val="22"/>
          <w:szCs w:val="22"/>
        </w:rPr>
        <w:t xml:space="preserve">Delta Lake's mergeSchema=true option handles this automatically at the storage layer — new columns are added without breaking existing queries. In dbt, the source YAML and staging model need updating to expose new columns. In production, I would pair this with dbt model contracts (dbt 1.5+) that enforce a minimum schema — new columns pass through, but removing or renaming existing columns triggers a CI failure. The Bronze layer's _rescued_data column (Auto Loader feature) captures any fields that don't match the expected schema, so nothing is lost even if schema inference lags behind.</w:t>
      </w:r>
    </w:p>
    <w:p>
      <w:r>
        <w:br w:type="page"/>
      </w:r>
    </w:p>
    <w:p>
      <w:pPr>
        <w:pStyle w:val="Heading2"/>
      </w:pPr>
      <w:r>
        <w:t xml:space="preserve">2.6 Behavioral &amp; Scenario Questions</w:t>
      </w:r>
    </w:p>
    <w:p>
      <w:pPr>
        <w:spacing w:after="80" w:before="200"/>
      </w:pPr>
      <w:r>
        <w:rPr>
          <w:rFonts w:ascii="Arial" w:cs="Arial" w:eastAsia="Arial" w:hAnsi="Arial"/>
          <w:b/>
          <w:bCs/>
          <w:color w:val="2E75B6"/>
          <w:sz w:val="22"/>
          <w:szCs w:val="22"/>
        </w:rPr>
        <w:t xml:space="preserve">Q: </w:t>
      </w:r>
      <w:r>
        <w:rPr>
          <w:rFonts w:ascii="Arial" w:cs="Arial" w:eastAsia="Arial" w:hAnsi="Arial"/>
          <w:b/>
          <w:bCs/>
          <w:color w:val="1B3A5C"/>
          <w:sz w:val="22"/>
          <w:szCs w:val="22"/>
        </w:rPr>
        <w:t xml:space="preserve">Tell me about a time you had to debug a complex data pipeline issue.</w:t>
      </w:r>
    </w:p>
    <w:p>
      <w:pPr>
        <w:spacing w:after="160"/>
        <w:ind w:left="360"/>
      </w:pPr>
      <w:r>
        <w:rPr>
          <w:rFonts w:ascii="Arial" w:cs="Arial" w:eastAsia="Arial" w:hAnsi="Arial"/>
          <w:color w:val="333333"/>
          <w:sz w:val="22"/>
          <w:szCs w:val="22"/>
        </w:rPr>
        <w:t xml:space="preserve">During development, the Jupyter Docker image failed to pull because the Jupyter Docker Stacks project migrated from Docker Hub to Quay.io without a deprecation notice. The error was cryptic: 'not found' on a valid-looking image tag. I diagnosed it by checking the Jupyter Stacks GitHub repo, found the registry migration, updated docker-compose.yml to use quay.io/jupyter/pyspark-notebook, and the 1.76GB image pulled successfully. The lesson: always pin container registries in documentation and docker-compose files, and monitor upstream project changes.</w:t>
      </w:r>
    </w:p>
    <w:p>
      <w:pPr>
        <w:spacing w:after="80" w:before="200"/>
      </w:pPr>
      <w:r>
        <w:rPr>
          <w:rFonts w:ascii="Arial" w:cs="Arial" w:eastAsia="Arial" w:hAnsi="Arial"/>
          <w:b/>
          <w:bCs/>
          <w:color w:val="2E75B6"/>
          <w:sz w:val="22"/>
          <w:szCs w:val="22"/>
        </w:rPr>
        <w:t xml:space="preserve">Q: </w:t>
      </w:r>
      <w:r>
        <w:rPr>
          <w:rFonts w:ascii="Arial" w:cs="Arial" w:eastAsia="Arial" w:hAnsi="Arial"/>
          <w:b/>
          <w:bCs/>
          <w:color w:val="1B3A5C"/>
          <w:sz w:val="22"/>
          <w:szCs w:val="22"/>
        </w:rPr>
        <w:t xml:space="preserve">How do you prioritize technical debt vs. new features?</w:t>
      </w:r>
    </w:p>
    <w:p>
      <w:pPr>
        <w:spacing w:after="160"/>
        <w:ind w:left="360"/>
      </w:pPr>
      <w:r>
        <w:rPr>
          <w:rFonts w:ascii="Arial" w:cs="Arial" w:eastAsia="Arial" w:hAnsi="Arial"/>
          <w:color w:val="333333"/>
          <w:sz w:val="22"/>
          <w:szCs w:val="22"/>
        </w:rPr>
        <w:t xml:space="preserve">I use a risk-impact matrix. High-impact debt (like missing CI/CD tests) gets prioritized over new features because undetected regressions compound. I maintain a weakness register (this document) with severity ratings. For PETROVA, my priority order is: (1) Fix secrets exposure in docker-compose, (2) Add CI/CD test pipeline, (3) PySpark unit tests, then (4) new features like streaming CDC. The principle: you can't build fast if you can't deploy safely.</w:t>
      </w:r>
    </w:p>
    <w:p>
      <w:pPr>
        <w:spacing w:after="80" w:before="200"/>
      </w:pPr>
      <w:r>
        <w:rPr>
          <w:rFonts w:ascii="Arial" w:cs="Arial" w:eastAsia="Arial" w:hAnsi="Arial"/>
          <w:b/>
          <w:bCs/>
          <w:color w:val="2E75B6"/>
          <w:sz w:val="22"/>
          <w:szCs w:val="22"/>
        </w:rPr>
        <w:t xml:space="preserve">Q: </w:t>
      </w:r>
      <w:r>
        <w:rPr>
          <w:rFonts w:ascii="Arial" w:cs="Arial" w:eastAsia="Arial" w:hAnsi="Arial"/>
          <w:b/>
          <w:bCs/>
          <w:color w:val="1B3A5C"/>
          <w:sz w:val="22"/>
          <w:szCs w:val="22"/>
        </w:rPr>
        <w:t xml:space="preserve">How do you communicate pipeline issues to non-technical stakeholders?</w:t>
      </w:r>
    </w:p>
    <w:p>
      <w:pPr>
        <w:spacing w:after="160"/>
        <w:ind w:left="360"/>
      </w:pPr>
      <w:r>
        <w:rPr>
          <w:rFonts w:ascii="Arial" w:cs="Arial" w:eastAsia="Arial" w:hAnsi="Arial"/>
          <w:color w:val="333333"/>
          <w:sz w:val="22"/>
          <w:szCs w:val="22"/>
        </w:rPr>
        <w:t xml:space="preserve">I translate technical issues into business impact. Instead of 'the SCD2 merge has a race condition,' I say 'vendor history tracking may show incorrect effective dates for changes made in the last 24 hours, affecting procurement reports.' I provide: what happened, who is affected, what we are doing to fix it, and when it will be resolved. For PETROVA, I have runbooks in docs/runbooks/incident_response.md that include stakeholder communication templates.</w:t>
      </w:r>
    </w:p>
    <w:p>
      <w:r>
        <w:br w:type="page"/>
      </w:r>
    </w:p>
    <w:p>
      <w:pPr>
        <w:pStyle w:val="Heading1"/>
      </w:pPr>
      <w:r>
        <w:t xml:space="preserve">PART 3: Improvement Roadmap</w:t>
      </w:r>
    </w:p>
    <w:p>
      <w:pPr>
        <w:spacing w:after="120"/>
      </w:pPr>
      <w:r>
        <w:rPr>
          <w:rFonts w:ascii="Arial" w:cs="Arial" w:eastAsia="Arial" w:hAnsi="Arial"/>
          <w:sz w:val="22"/>
          <w:szCs w:val="22"/>
        </w:rPr>
        <w:t xml:space="preserve">Prioritized action plan to close identified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200"/>
        <w:gridCol w:w="2200"/>
        <w:gridCol w:w="15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P0 (Now)</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Fix secrets exposure — move to .env + Key Vault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2 hours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Security risk eliminated</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This week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P0 (Now)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Fix notebook typo (ssss) and import order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30 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Clean code, no runtime errors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This week</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P1 (Sprint 1)</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dbt test + SQLFluff to GitHub Actions CI</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1 day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Catch broken models before merge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P1 (Sprint 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pytest + chispa PySpark unit tests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 days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Regression protection for transformations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 1-2</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P2 (Sprint 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Implement dbt model contracts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1 day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Schema breaking changes blocked in CI</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 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P2 (Sprint 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data observability (Elementary or similar)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 days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Automated anomaly detection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 3-4</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P3 (Sprint 3)</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Wire dim_customer to SAP source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3 days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 star schema</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 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P3 (Sprint 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Terraform remote state + CI plan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 day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Safe infrastructure changes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 5</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P4 (Future)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Kafka CDC from SAP</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2 weeks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Real-time data freshness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Month 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P4 (Future)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ML feature store on Gold KPIs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 weeks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Predictive maintenance capability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Month 3</w:t>
            </w:r>
          </w:p>
        </w:tc>
      </w:tr>
    </w:tbl>
    <w:p>
      <w:r>
        <w:br w:type="page"/>
      </w:r>
    </w:p>
    <w:p>
      <w:pPr>
        <w:pStyle w:val="Heading1"/>
      </w:pPr>
      <w:r>
        <w:t xml:space="preserve">PART 4: Summary Score Card</w:t>
      </w:r>
    </w:p>
    <w:p>
      <w:pPr>
        <w:spacing w:after="120"/>
      </w:pPr>
      <w:r>
        <w:rPr>
          <w:rFonts w:ascii="Arial" w:cs="Arial" w:eastAsia="Arial" w:hAnsi="Arial"/>
          <w:sz w:val="22"/>
          <w:szCs w:val="22"/>
        </w:rPr>
        <w:t xml:space="preserve">Self-assessment against $300K+ Senior/Staff Data Engineer expectations: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200"/>
        <w:gridCol w:w="27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Competency Area</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Score (1-5)</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Evidence</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Gap to Close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Architecture Design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4.5 / 5</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Medallion + hybrid cloud + 3-Gate pattern</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data mesh evolution plan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 Quality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4.0 / 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3-Gate validation + Great Expectations + dbt tests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automated anomaly detection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PySpark / Delta Lake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4.5 / 5</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MERGE, SCD2, Time Travel, Schema Evolution, Window Fns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unit tests with chispa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SQL (Snowflake)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4.0 / 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 DDL scripts covering all exam domains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advanced performance tuning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dbt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4.0 / 5</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16 models, 4 macros, staging&gt;intermediate&gt;marts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model contracts, metric layer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Orchestration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3.5 / 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Airflow DAG with retries, Docker Compose stack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Scale to CeleryExecutor, add SLAs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CI/CD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2.5 / 5</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GitHub Actions skeleton, SQLFluff config</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test automation in pipeline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Observability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 / 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PagerDuty config, basic alerting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data observability platform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Infrastructure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3.5 / 5</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Terraform for Azure, Docker for local dev</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Remote state, multi-env deployment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Communication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4.0 / 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Runbooks, architecture docs, teaching materials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ADRs (Architecture Decision Records)</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Overall Readiness: 3.7 / 5 — Strong architecture and data engineering fundamentals. Primary gaps are in CI/CD maturity and observability. These are addressable in 2-4 weeks of focused effort.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b/>
        <w:bCs/>
        <w:color w:val="1B3A5C"/>
        <w:sz w:val="18"/>
        <w:szCs w:val="18"/>
      </w:rPr>
      <w:t xml:space="preserve">PETROVA 300K</w:t>
    </w:r>
    <w:r>
      <w:t xml:space="preserve">	</w:t>
    </w:r>
    <w:r>
      <w:rPr>
        <w:rFonts w:ascii="Arial" w:cs="Arial" w:eastAsia="Arial" w:hAnsi="Arial"/>
        <w:color w:val="999999"/>
        <w:sz w:val="18"/>
        <w:szCs w:val="18"/>
      </w:rPr>
      <w:t xml:space="preserve">Weakness Analysis &amp; Interview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2026-05-18T16:00:37.274Z</dcterms:created>
  <dcterms:modified xsi:type="dcterms:W3CDTF">2026-05-18T16:00:37.275Z</dcterms:modified>
</cp:coreProperties>
</file>

<file path=docProps/custom.xml><?xml version="1.0" encoding="utf-8"?>
<Properties xmlns="http://schemas.openxmlformats.org/officeDocument/2006/custom-properties" xmlns:vt="http://schemas.openxmlformats.org/officeDocument/2006/docPropsVTypes"/>
</file>