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Specifica di Implementazione Low-Level: Editor Narrativo AI-Augmented (Local-First)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Questo documento definisce le specifiche tecniche di basso livello, i design pattern e le configurazioni esatte per l'implementazione dell'editor narrativo Zero-Knowledge. È redatto per guidare i team di ingegneria (Frontend, Security, AI/WASM e Backend) nella stesura del codice di produzione.</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1. Implementazione Frontend: React &amp; Ecosistema BlockNote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Il layer di presentazione richiede l'estensione del </w:t>
      </w:r>
      <w:r w:rsidDel="00000000" w:rsidR="00000000" w:rsidRPr="00000000">
        <w:rPr>
          <w:rFonts w:ascii="Google Sans" w:cs="Google Sans" w:eastAsia="Google Sans" w:hAnsi="Google Sans"/>
          <w:i w:val="1"/>
          <w:iCs w:val="1"/>
          <w:color w:val="1f1f1f"/>
          <w:rtl w:val="0"/>
        </w:rPr>
        <w:t xml:space="preserve">Default Schema</w:t>
      </w:r>
      <w:r w:rsidDel="00000000" w:rsidR="00000000" w:rsidRPr="00000000">
        <w:rPr>
          <w:rFonts w:ascii="Google Sans" w:cs="Google Sans" w:eastAsia="Google Sans" w:hAnsi="Google Sans"/>
          <w:color w:val="1f1f1f"/>
          <w:rtl w:val="0"/>
        </w:rPr>
        <w:t xml:space="preserve"> di BlockNote tramite la definizione di specifiche rigorose per blocchi e contenuti in-line.</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Custom Blocks (Es. Schede Personaggio / Alert Narrativi)</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Per implementare blocchi strutturati (es. un blocco per enfatizzare snodi di trama o schede personaggio), utilizzare l'API createReactBlockSpec.</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Pattern Implementativo:</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Definizione PropSchema:</w:t>
      </w:r>
      <w:r w:rsidDel="00000000" w:rsidR="00000000" w:rsidRPr="00000000">
        <w:rPr>
          <w:rFonts w:ascii="Google Sans" w:cs="Google Sans" w:eastAsia="Google Sans" w:hAnsi="Google Sans"/>
          <w:color w:val="1f1f1f"/>
          <w:rtl w:val="0"/>
        </w:rPr>
        <w:t xml:space="preserve"> Utilizzare propSchema per validare strettamente i dati. Se il blocco richiede testo editabile, impostare content: "inline"; se è un blocco puramente UI (es. un divisore), impostare content: "none".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Render Component:</w:t>
      </w:r>
      <w:r w:rsidDel="00000000" w:rsidR="00000000" w:rsidRPr="00000000">
        <w:rPr>
          <w:rFonts w:ascii="Google Sans" w:cs="Google Sans" w:eastAsia="Google Sans" w:hAnsi="Google Sans"/>
          <w:color w:val="1f1f1f"/>
          <w:rtl w:val="0"/>
        </w:rPr>
        <w:t xml:space="preserve"> Il componente React riceve le props (contenenti block ed editor). Per i blocchi toggleable (che nascondono/mostrano i figli), avvolgere il contenuto nel componente ToggleWrapper fornito da @blocknote/react.</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Integrazione Slash Menu:</w:t>
      </w:r>
      <w:r w:rsidDel="00000000" w:rsidR="00000000" w:rsidRPr="00000000">
        <w:rPr>
          <w:rFonts w:ascii="Google Sans" w:cs="Google Sans" w:eastAsia="Google Sans" w:hAnsi="Google Sans"/>
          <w:color w:val="1f1f1f"/>
          <w:rtl w:val="0"/>
        </w:rPr>
        <w:t xml:space="preserve"> Per permettere all'utente di inserire il blocco digitando /, estendere il menu utilizzando insertOrUpdateBlockForSlashMenu.</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Questo metodo intelligente converte il blocco corrente se è vuoto, altrimenti ne inserisce uno nuovo al di sotto.</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Custom Inline Content (Entity Tags &amp; Mentions)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Per tracciare entità (es. @Marco) in modo assoluto e non ambiguo per il motore RAG, utilizzare createReactInlineContentSpec.</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Pattern Implementativo:</w:t>
      </w:r>
    </w:p>
    <w:p w:rsidR="00000000" w:rsidDel="00000000" w:rsidP="00000000" w:rsidRDefault="00000000" w:rsidRPr="00000000" w14:paraId="0000000E">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Specifica Inline:</w:t>
      </w:r>
      <w:r w:rsidDel="00000000" w:rsidR="00000000" w:rsidRPr="00000000">
        <w:rPr>
          <w:rFonts w:ascii="Google Sans" w:cs="Google Sans" w:eastAsia="Google Sans" w:hAnsi="Google Sans"/>
          <w:color w:val="1f1f1f"/>
          <w:rtl w:val="0"/>
        </w:rPr>
        <w:t xml:space="preserve"> Definire il tag con content: "none" (poiché il nome del personaggio è un'entità monolitica non editabile a caratteri singoli) e un propSchema contenente l'UUID dell'entità.</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Suggestion Menu Controller:</w:t>
      </w:r>
      <w:r w:rsidDel="00000000" w:rsidR="00000000" w:rsidRPr="00000000">
        <w:rPr>
          <w:rFonts w:ascii="Google Sans" w:cs="Google Sans" w:eastAsia="Google Sans" w:hAnsi="Google Sans"/>
          <w:color w:val="1f1f1f"/>
          <w:rtl w:val="0"/>
        </w:rPr>
        <w:t xml:space="preserve"> Intercettare il carattere trigger (es. @) utilizzando il componente SuggestionMenuController nel JSX del BlockNoteView.</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Funzione di Filtraggio:</w:t>
      </w:r>
      <w:r w:rsidDel="00000000" w:rsidR="00000000" w:rsidRPr="00000000">
        <w:rPr>
          <w:rFonts w:ascii="Google Sans" w:cs="Google Sans" w:eastAsia="Google Sans" w:hAnsi="Google Sans"/>
          <w:color w:val="1f1f1f"/>
          <w:rtl w:val="0"/>
        </w:rPr>
        <w:t xml:space="preserve"> Implementare una funzione getMentionMenuItems che interroghi il database locale (es. Zustand o Redux store), filtri i risultati tramite filterSuggestionItems e invochi editor.insertInlineContent() iniettando il payload JSON formattato.</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Layer Crittografico: Client-Side Encryption (Web Crypto API)</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L'architettura Zero-Knowledge impone che nessun testo in chiaro o vettore embedding raggiunga lo storage persistente senza essere prima cifrato sul dispositivo dell'utente.</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Derivazione KEK tramite Argon2id (WASM)</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Non utilizzare PBKDF2 nativo per l'hashing della master password. Utilizzare </w:t>
      </w:r>
      <w:r w:rsidDel="00000000" w:rsidR="00000000" w:rsidRPr="00000000">
        <w:rPr>
          <w:rFonts w:ascii="Google Sans" w:cs="Google Sans" w:eastAsia="Google Sans" w:hAnsi="Google Sans"/>
          <w:b w:val="1"/>
          <w:bCs w:val="1"/>
          <w:color w:val="1f1f1f"/>
          <w:rtl w:val="0"/>
        </w:rPr>
        <w:t xml:space="preserve">libsodium-wrappers</w:t>
      </w:r>
      <w:r w:rsidDel="00000000" w:rsidR="00000000" w:rsidRPr="00000000">
        <w:rPr>
          <w:rFonts w:ascii="Google Sans" w:cs="Google Sans" w:eastAsia="Google Sans" w:hAnsi="Google Sans"/>
          <w:color w:val="1f1f1f"/>
          <w:rtl w:val="0"/>
        </w:rPr>
        <w:t xml:space="preserve"> (compilato in WebAssembly) per sfruttare </w:t>
      </w:r>
      <w:r w:rsidDel="00000000" w:rsidR="00000000" w:rsidRPr="00000000">
        <w:rPr>
          <w:rFonts w:ascii="Google Sans" w:cs="Google Sans" w:eastAsia="Google Sans" w:hAnsi="Google Sans"/>
          <w:b w:val="1"/>
          <w:bCs w:val="1"/>
          <w:color w:val="1f1f1f"/>
          <w:rtl w:val="0"/>
        </w:rPr>
        <w:t xml:space="preserve">Argon2id</w:t>
      </w:r>
      <w:r w:rsidDel="00000000" w:rsidR="00000000" w:rsidRPr="00000000">
        <w:rPr>
          <w:rFonts w:ascii="Google Sans" w:cs="Google Sans" w:eastAsia="Google Sans" w:hAnsi="Google Sans"/>
          <w:color w:val="1f1f1f"/>
          <w:rtl w:val="0"/>
        </w:rPr>
        <w:t xml:space="preserve">, il quale offre resistenza superiore contro attacchi basati su GPU.</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Configurazione di Produzione (Raccomandazioni OWASP):</w:t>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Invocare crypto_pwhash (o l'astrazione custom se si usa un pacchetto come @datadayrepos/libsodium-wrapper) all'interno di un Web Worker isolato.</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Parametri:</w:t>
      </w:r>
    </w:p>
    <w:p w:rsidR="00000000" w:rsidDel="00000000" w:rsidP="00000000" w:rsidRDefault="00000000" w:rsidRPr="00000000" w14:paraId="00000018">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memoryLimit: Almeno 46 MiB (46 * 1024 * 1024).</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19">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opsLimit: Almeno 1 iterazione (bilanciare UX e sicurezza time-hard).</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1A">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parallelism: Fissato a 1 (limite architetturale dei thread WASM nel browser).</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Il risultato è la KEK (Key Encryption Key), mantenuta solo nella memoria volatile (sessionStorage o closure JS).</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Espansione Chiavi (HKDF) e Cifratura Simmetrica (AES-GCM)</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Master Data Encryption Key (DEK), generata casualmente, viene espansa per creare chiavi separate per testo e vettori utilizzando l'algoritmo </w:t>
      </w:r>
      <w:r w:rsidDel="00000000" w:rsidR="00000000" w:rsidRPr="00000000">
        <w:rPr>
          <w:rFonts w:ascii="Google Sans" w:cs="Google Sans" w:eastAsia="Google Sans" w:hAnsi="Google Sans"/>
          <w:b w:val="1"/>
          <w:bCs w:val="1"/>
          <w:color w:val="1f1f1f"/>
          <w:rtl w:val="0"/>
        </w:rPr>
        <w:t xml:space="preserve">HKDF-SHA256</w:t>
      </w:r>
      <w:r w:rsidDel="00000000" w:rsidR="00000000" w:rsidRPr="00000000">
        <w:rPr>
          <w:rFonts w:ascii="Google Sans" w:cs="Google Sans" w:eastAsia="Google Sans" w:hAnsi="Google Sans"/>
          <w:color w:val="1f1f1f"/>
          <w:rtl w:val="0"/>
        </w:rPr>
        <w:t xml:space="preserve"> fornito nativamente dalla crypto.subtle.deriveKey.</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Pipeline AES-256-GCM:</w:t>
      </w:r>
    </w:p>
    <w:p w:rsidR="00000000" w:rsidDel="00000000" w:rsidP="00000000" w:rsidRDefault="00000000" w:rsidRPr="00000000" w14:paraId="0000001F">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Vettore di Inizializzazione (IV):</w:t>
      </w:r>
      <w:r w:rsidDel="00000000" w:rsidR="00000000" w:rsidRPr="00000000">
        <w:rPr>
          <w:rFonts w:ascii="Google Sans" w:cs="Google Sans" w:eastAsia="Google Sans" w:hAnsi="Google Sans"/>
          <w:color w:val="1f1f1f"/>
          <w:rtl w:val="0"/>
        </w:rPr>
        <w:t xml:space="preserve"> Per </w:t>
      </w:r>
      <w:r w:rsidDel="00000000" w:rsidR="00000000" w:rsidRPr="00000000">
        <w:rPr>
          <w:rFonts w:ascii="Google Sans" w:cs="Google Sans" w:eastAsia="Google Sans" w:hAnsi="Google Sans"/>
          <w:i w:val="1"/>
          <w:iCs w:val="1"/>
          <w:color w:val="1f1f1f"/>
          <w:rtl w:val="0"/>
        </w:rPr>
        <w:t xml:space="preserve">ogni singola operazione</w:t>
      </w:r>
      <w:r w:rsidDel="00000000" w:rsidR="00000000" w:rsidRPr="00000000">
        <w:rPr>
          <w:rFonts w:ascii="Google Sans" w:cs="Google Sans" w:eastAsia="Google Sans" w:hAnsi="Google Sans"/>
          <w:color w:val="1f1f1f"/>
          <w:rtl w:val="0"/>
        </w:rPr>
        <w:t xml:space="preserve"> di cifratura, generare un IV strettamente univoco di 12 byte: crypto.getRandomValues(new Uint8Array(12)).</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0">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Cifratura:</w:t>
      </w:r>
      <w:r w:rsidDel="00000000" w:rsidR="00000000" w:rsidRPr="00000000">
        <w:rPr>
          <w:rFonts w:ascii="Google Sans" w:cs="Google Sans" w:eastAsia="Google Sans" w:hAnsi="Google Sans"/>
          <w:color w:val="1f1f1f"/>
          <w:rtl w:val="0"/>
        </w:rPr>
        <w:t xml:space="preserve"> Utilizzare crypto.subtle.encrypt({ name: "AES-GCM", iv }, key, data).</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1">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Integrità:</w:t>
      </w:r>
      <w:r w:rsidDel="00000000" w:rsidR="00000000" w:rsidRPr="00000000">
        <w:rPr>
          <w:rFonts w:ascii="Google Sans" w:cs="Google Sans" w:eastAsia="Google Sans" w:hAnsi="Google Sans"/>
          <w:color w:val="1f1f1f"/>
          <w:rtl w:val="0"/>
        </w:rPr>
        <w:t xml:space="preserve"> AES-GCM (Galois/Counter Mode) appende automaticamente un Authentication Tag a 16 byte al ciphertext, garantendo l'impossibilità di manomissione (AEAD).</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Il payload persistito nel DB deve serializzare sia il Ciphertext che l'IV associato.</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Motore CRDT Collaborativo (Yjs + SecSync)</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L'impiego nativo dei provider Yjs (come y-websocket) trasmette i vettori di stato in chiaro, violando il principio Zero-Knowledge. L'implementazione deve basarsi su un middleware ispirato all'architettura </w:t>
      </w:r>
      <w:r w:rsidDel="00000000" w:rsidR="00000000" w:rsidRPr="00000000">
        <w:rPr>
          <w:rFonts w:ascii="Google Sans" w:cs="Google Sans" w:eastAsia="Google Sans" w:hAnsi="Google Sans"/>
          <w:b w:val="1"/>
          <w:bCs w:val="1"/>
          <w:color w:val="1f1f1f"/>
          <w:rtl w:val="0"/>
        </w:rPr>
        <w:t xml:space="preserve">SecSync</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Topologia SecSync (Snapshot e Update)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Il server backend funge unicamente da registro log append-only cieco. L'architettura prevede due primitive:</w:t>
      </w:r>
    </w:p>
    <w:p w:rsidR="00000000" w:rsidDel="00000000" w:rsidP="00000000" w:rsidRDefault="00000000" w:rsidRPr="00000000" w14:paraId="00000026">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Snapshot:</w:t>
      </w:r>
      <w:r w:rsidDel="00000000" w:rsidR="00000000" w:rsidRPr="00000000">
        <w:rPr>
          <w:rFonts w:ascii="Google Sans" w:cs="Google Sans" w:eastAsia="Google Sans" w:hAnsi="Google Sans"/>
          <w:color w:val="1f1f1f"/>
          <w:rtl w:val="0"/>
        </w:rPr>
        <w:t xml:space="preserve"> Rappresentazione consolidata ed interamente cifrata (AES-GCM) del documento CRDT a un dato istante (Lamport Clock).</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27">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Update (Operazioni):</w:t>
      </w:r>
      <w:r w:rsidDel="00000000" w:rsidR="00000000" w:rsidRPr="00000000">
        <w:rPr>
          <w:rFonts w:ascii="Google Sans" w:cs="Google Sans" w:eastAsia="Google Sans" w:hAnsi="Google Sans"/>
          <w:color w:val="1f1f1f"/>
          <w:rtl w:val="0"/>
        </w:rPr>
        <w:t xml:space="preserve"> Frammenti crittografati che contengono le differenze incrementali codificate da Yjs (es. Y.encodeStateAsUpdate).</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Sicurezza e Schema Validation Backend</w:t>
      </w:r>
    </w:p>
    <w:p w:rsidR="00000000" w:rsidDel="00000000" w:rsidP="00000000" w:rsidRDefault="00000000" w:rsidRPr="00000000" w14:paraId="00000029">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Firme Digitali (Ed25519):</w:t>
      </w:r>
      <w:r w:rsidDel="00000000" w:rsidR="00000000" w:rsidRPr="00000000">
        <w:rPr>
          <w:rFonts w:ascii="Google Sans" w:cs="Google Sans" w:eastAsia="Google Sans" w:hAnsi="Google Sans"/>
          <w:color w:val="1f1f1f"/>
          <w:rtl w:val="0"/>
        </w:rPr>
        <w:t xml:space="preserve"> Ogni Update e Snapshot cifrato inviato al server deve essere firmato digitalmente con la chiave pubblica Ed25519 del client (generata e validata tramite libsodium).</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Questo previene la non ripudiabilità e attacchi Man-In-The-Middle.</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2A">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Metadati in Chiaro:</w:t>
      </w:r>
      <w:r w:rsidDel="00000000" w:rsidR="00000000" w:rsidRPr="00000000">
        <w:rPr>
          <w:rFonts w:ascii="Google Sans" w:cs="Google Sans" w:eastAsia="Google Sans" w:hAnsi="Google Sans"/>
          <w:color w:val="1f1f1f"/>
          <w:rtl w:val="0"/>
        </w:rPr>
        <w:t xml:space="preserve"> L'ID del Documento, l'ID dello Snapshot, la Chiave Pubblica del client e il Clock incrementale viaggiano in chiaro (unencrypted ma autenticati tramite firma).</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Questo permette al backend di validare le sequenze temporali ed evitare che un client malevolo corrompa il log operativo, scartando gli update fuori sequenza.</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Sub-Sistema RAG e Inferenza AI nel Browser</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L'architettura RAG (Retrieval-Augmented Generation) viene spinta interamente verso l'Edge (il browser del client) per azzerare i costi infrastrutturali cloud e mitigare gli attacchi di </w:t>
      </w:r>
      <w:r w:rsidDel="00000000" w:rsidR="00000000" w:rsidRPr="00000000">
        <w:rPr>
          <w:rFonts w:ascii="Google Sans" w:cs="Google Sans" w:eastAsia="Google Sans" w:hAnsi="Google Sans"/>
          <w:i w:val="1"/>
          <w:iCs w:val="1"/>
          <w:color w:val="1f1f1f"/>
          <w:rtl w:val="0"/>
        </w:rPr>
        <w:t xml:space="preserve">Embedding Inversion</w:t>
      </w:r>
      <w:r w:rsidDel="00000000" w:rsidR="00000000" w:rsidRPr="00000000">
        <w:rPr>
          <w:rFonts w:ascii="Google Sans" w:cs="Google Sans" w:eastAsia="Google Sans" w:hAnsi="Google Sans"/>
          <w:color w:val="1f1f1f"/>
          <w:rtl w:val="0"/>
        </w:rPr>
        <w:t xml:space="preserve"> (estrazione di dati sensibili dai vettori sul server).</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Orchestrazione Web Workers e SharedArrayBuffer</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L'inferenza di rete neurale e il parsing del database HNSW non devono bloccare il Main Thread UI di React.</w:t>
      </w:r>
    </w:p>
    <w:p w:rsidR="00000000" w:rsidDel="00000000" w:rsidP="00000000" w:rsidRDefault="00000000" w:rsidRPr="00000000" w14:paraId="0000002F">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Isolamento Thread:</w:t>
      </w:r>
      <w:r w:rsidDel="00000000" w:rsidR="00000000" w:rsidRPr="00000000">
        <w:rPr>
          <w:rFonts w:ascii="Google Sans" w:cs="Google Sans" w:eastAsia="Google Sans" w:hAnsi="Google Sans"/>
          <w:color w:val="1f1f1f"/>
          <w:rtl w:val="0"/>
        </w:rPr>
        <w:t xml:space="preserve"> Istruire un pool di Web Workers dedicati passando il flag di compilazione Emscripten -sWASM_WORKERS.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30">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Zero-Copy Memory (SharedArrayBuffer):</w:t>
      </w:r>
      <w:r w:rsidDel="00000000" w:rsidR="00000000" w:rsidRPr="00000000">
        <w:rPr>
          <w:rFonts w:ascii="Google Sans" w:cs="Google Sans" w:eastAsia="Google Sans" w:hAnsi="Google Sans"/>
          <w:color w:val="1f1f1f"/>
          <w:rtl w:val="0"/>
        </w:rPr>
        <w:t xml:space="preserve"> Per trasferire gli enormi array in virgola mobile tra il modello AI e l'indice vettoriale senza i pesanti costi del Garbage Collector (clonazione strutturata), stanziare le matrici in un SharedArrayBuffer.</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31">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Intestazioni HTTP di Sicurezza Obbligatorie:</w:t>
      </w:r>
      <w:r w:rsidDel="00000000" w:rsidR="00000000" w:rsidRPr="00000000">
        <w:rPr>
          <w:rFonts w:ascii="Google Sans" w:cs="Google Sans" w:eastAsia="Google Sans" w:hAnsi="Google Sans"/>
          <w:color w:val="1f1f1f"/>
          <w:rtl w:val="0"/>
        </w:rPr>
        <w:t xml:space="preserve"> A causa delle difese contro gli attacchi Spectre, SharedArrayBuffer crasherà nel browser a meno che il web server / reverse proxy non inietti tassativamente i seguenti header HTTP:</w:t>
      </w:r>
    </w:p>
    <w:p w:rsidR="00000000" w:rsidDel="00000000" w:rsidP="00000000" w:rsidRDefault="00000000" w:rsidRPr="00000000" w14:paraId="00000032">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Cross-Origin-Opener-Policy: same-origin</w:t>
      </w:r>
    </w:p>
    <w:p w:rsidR="00000000" w:rsidDel="00000000" w:rsidP="00000000" w:rsidRDefault="00000000" w:rsidRPr="00000000" w14:paraId="00000033">
      <w:pPr>
        <w:numPr>
          <w:ilvl w:val="1"/>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Cross-Origin-Embedder-Policy: require-corp</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Embedding con ONNX Runtime Web e WebGPU</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L'estrazione semantica è delegata alla libreria onnxruntime-web.</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36">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Hardware Acceleration:</w:t>
      </w:r>
      <w:r w:rsidDel="00000000" w:rsidR="00000000" w:rsidRPr="00000000">
        <w:rPr>
          <w:rFonts w:ascii="Google Sans" w:cs="Google Sans" w:eastAsia="Google Sans" w:hAnsi="Google Sans"/>
          <w:color w:val="1f1f1f"/>
          <w:rtl w:val="0"/>
        </w:rPr>
        <w:t xml:space="preserve"> Inizializzare la sessione inferenziale configurando executionProviders: ['webgpu'].</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Le API WebGPU consentono al browser di parallelizzare il calcolo matriciale direttamente sull'hardware grafico locale, sfruttando ottimizzazioni come i dot-product a 8 bit (DP4a) e precisione Float16, superando i limiti colli di bottiglia computazionali della pura decodifica CPU in WebAssembly.</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37">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Modello AI Selezionato:</w:t>
      </w:r>
      <w:r w:rsidDel="00000000" w:rsidR="00000000" w:rsidRPr="00000000">
        <w:rPr>
          <w:rFonts w:ascii="Google Sans" w:cs="Google Sans" w:eastAsia="Google Sans" w:hAnsi="Google Sans"/>
          <w:color w:val="1f1f1f"/>
          <w:rtl w:val="0"/>
        </w:rPr>
        <w:t xml:space="preserve"> Utilizzare il modello open-weights quantizzato nomic-embed-text-v1.5 (137 milioni di parametri).</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La sua architettura impiega </w:t>
      </w:r>
      <w:r w:rsidDel="00000000" w:rsidR="00000000" w:rsidRPr="00000000">
        <w:rPr>
          <w:rFonts w:ascii="Google Sans" w:cs="Google Sans" w:eastAsia="Google Sans" w:hAnsi="Google Sans"/>
          <w:i w:val="1"/>
          <w:iCs w:val="1"/>
          <w:color w:val="1f1f1f"/>
          <w:rtl w:val="0"/>
        </w:rPr>
        <w:t xml:space="preserve">Rotary Positional Embeddings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Flash Attention</w:t>
      </w:r>
      <w:r w:rsidDel="00000000" w:rsidR="00000000" w:rsidRPr="00000000">
        <w:rPr>
          <w:rFonts w:ascii="Google Sans" w:cs="Google Sans" w:eastAsia="Google Sans" w:hAnsi="Google Sans"/>
          <w:color w:val="1f1f1f"/>
          <w:rtl w:val="0"/>
        </w:rPr>
        <w:t xml:space="preserve">, e attivazioni </w:t>
      </w:r>
      <w:r w:rsidDel="00000000" w:rsidR="00000000" w:rsidRPr="00000000">
        <w:rPr>
          <w:rFonts w:ascii="Google Sans" w:cs="Google Sans" w:eastAsia="Google Sans" w:hAnsi="Google Sans"/>
          <w:i w:val="1"/>
          <w:iCs w:val="1"/>
          <w:color w:val="1f1f1f"/>
          <w:rtl w:val="0"/>
        </w:rPr>
        <w:t xml:space="preserve">SwiGLU</w:t>
      </w:r>
      <w:r w:rsidDel="00000000" w:rsidR="00000000" w:rsidRPr="00000000">
        <w:rPr>
          <w:rFonts w:ascii="Google Sans" w:cs="Google Sans" w:eastAsia="Google Sans" w:hAnsi="Google Sans"/>
          <w:color w:val="1f1f1f"/>
          <w:rtl w:val="0"/>
        </w:rPr>
        <w:t xml:space="preserve"> (25% più veloci della standard GeLU), permettendo una context window nativa di </w:t>
      </w:r>
      <w:r w:rsidDel="00000000" w:rsidR="00000000" w:rsidRPr="00000000">
        <w:rPr>
          <w:rFonts w:ascii="Google Sans" w:cs="Google Sans" w:eastAsia="Google Sans" w:hAnsi="Google Sans"/>
          <w:b w:val="1"/>
          <w:bCs w:val="1"/>
          <w:color w:val="1f1f1f"/>
          <w:rtl w:val="0"/>
        </w:rPr>
        <w:t xml:space="preserve">8192 token</w:t>
      </w:r>
      <w:r w:rsidDel="00000000" w:rsidR="00000000" w:rsidRPr="00000000">
        <w:rPr>
          <w:rFonts w:ascii="Google Sans" w:cs="Google Sans" w:eastAsia="Google Sans" w:hAnsi="Google Sans"/>
          <w:color w:val="1f1f1f"/>
          <w:rtl w:val="0"/>
        </w:rPr>
        <w:t xml:space="preserve">; l'ideale per processare macro-capitoli narrativi per intero riducendo il numero di vettori finali.</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Database Vettoriale e Persistenza IndexedDB (hnswlib-wasm)</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Lo storage topologico e la similarity search (calcolo del vicino più prossimo) operano in RAM tramite hnswlib-wasm.</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3A">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Parametri HNSW in WASM:</w:t>
      </w:r>
      <w:r w:rsidDel="00000000" w:rsidR="00000000" w:rsidRPr="00000000">
        <w:rPr>
          <w:rFonts w:ascii="Google Sans" w:cs="Google Sans" w:eastAsia="Google Sans" w:hAnsi="Google Sans"/>
          <w:color w:val="1f1f1f"/>
          <w:rtl w:val="0"/>
        </w:rPr>
        <w:t xml:space="preserve"> Configurare la metrica su cosine.</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Impostare M (connessioni massime per nodo) in un range moderato di 12-48: valori superiori saturerebbero rapidamente l'heap limitato di WebAssembly causando crash di tipo "Out of Memory" nel tab del browser.</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3B">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Strategia di Persistenza (IDBFS):</w:t>
      </w:r>
      <w:r w:rsidDel="00000000" w:rsidR="00000000" w:rsidRPr="00000000">
        <w:rPr>
          <w:rFonts w:ascii="Google Sans" w:cs="Google Sans" w:eastAsia="Google Sans" w:hAnsi="Google Sans"/>
          <w:color w:val="1f1f1f"/>
          <w:rtl w:val="0"/>
        </w:rPr>
        <w:t xml:space="preserve"> Per salvare il grafo RAM su disco permanente del browser senza rallentamenti, la libreria maschera le API IndexedDB tramite il modulo IDBFS di Emscripten.</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Al salvataggio incrementale (es. su evento di debouncing o beforeunload), invocare l'astrazione await index.writeIndex(...) seguita imperativamente da EmscriptenFileSystemManager.syncFS(false) per comandare il flush fisico da RAM a file di database IndexedDB.</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Al fine di ottimizzare il throughput di I/O nel browser Chrome/Edge, configurare la transazione IndexedDB sottostante in modalità "relaxed" (evitando la durabilità strict che impone pesanti flush operativi sul disco a stato solido).</w:t>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5. Rete Proxy LLM e Logica di Coerenza</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Il check della coerenza di trama è delegato a Foundation Model in cloud (es. OpenAI, DeepSeek) tramite un Proxy aziendale.</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Il Proxy LLM Zero Data Retention (ZDR)</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Il backend per l'inoltro ai LLM esterni deve agire rigorosamente in modalità "Stateless" (ZDR).</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Nessun log, nessun prompt e nessun vettore deve essere scritto su cluster di storage per alcun motivo.</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40">
      <w:pPr>
        <w:numPr>
          <w:ilvl w:val="0"/>
          <w:numId w:val="13"/>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Masking Dinamico PII (Personally Identifiable Information):</w:t>
      </w:r>
      <w:r w:rsidDel="00000000" w:rsidR="00000000" w:rsidRPr="00000000">
        <w:rPr>
          <w:rFonts w:ascii="Google Sans" w:cs="Google Sans" w:eastAsia="Google Sans" w:hAnsi="Google Sans"/>
          <w:color w:val="1f1f1f"/>
          <w:rtl w:val="0"/>
        </w:rPr>
        <w:t xml:space="preserve"> Prima di forwardare il prompt all'API di terze parti, il Trust Layer del Proxy deve eseguire una detection regex e metadata-driven delle entità, mascherando i dati sensibili in token effimeri (es. ``), de-mascherandoli unicamente in fase di ritorno verso il client.</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Resilienza del Trasporto: "Stateful Bridge" su WebSocket</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Le connessioni via smartphone o tab in background chiuderanno sistematicamente i WebSocket (Drop TCP).</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43">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Logica Backend:</w:t>
      </w:r>
      <w:r w:rsidDel="00000000" w:rsidR="00000000" w:rsidRPr="00000000">
        <w:rPr>
          <w:rFonts w:ascii="Google Sans" w:cs="Google Sans" w:eastAsia="Google Sans" w:hAnsi="Google Sans"/>
          <w:color w:val="1f1f1f"/>
          <w:rtl w:val="0"/>
        </w:rPr>
        <w:t xml:space="preserve"> Implementare un pattern "Detach, Don't Destroy". Quando il client TCP si disconnette, non troncare il thread gRPC aperto con OpenAI/Anthropic.</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Accumulare i frammenti dello streaming (token) in un buffer allocato in RAM, provvisto di un TTL (Time-to-Live) di 5 minuti.</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44">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Logica Frontend:</w:t>
      </w:r>
      <w:r w:rsidDel="00000000" w:rsidR="00000000" w:rsidRPr="00000000">
        <w:rPr>
          <w:rFonts w:ascii="Google Sans" w:cs="Google Sans" w:eastAsia="Google Sans" w:hAnsi="Google Sans"/>
          <w:color w:val="1f1f1f"/>
          <w:rtl w:val="0"/>
        </w:rPr>
        <w:t xml:space="preserve"> Il client intercetta l'evento di visibilità HTML (visibilitychange). Quando lo stato torna visible, il client invia un segnale di riconnessione fornendo l'ID Sessione. Il proxy riconosce la sessione, fa un flush istantaneo del buffer RAM verso il client e ripristina il flusso senza colli di bottiglia o perdita di informazioni.</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Includere i token di autenticazione JWT come primo payload asincrono (In-Band Auth) all'apertura del socket, e non nella URL, per evitare leak di sicurezza nei log di rete.</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Biometria Cognitiva e Trigger Predittivo</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 evitare interruzioni frustranti (finestre popup invasive) che spezzano lo "Stato di Flusso" autoriale, il sistema non si avvia con un banale pulsante "Controlla Errori".</w:t>
      </w:r>
    </w:p>
    <w:p w:rsidR="00000000" w:rsidDel="00000000" w:rsidP="00000000" w:rsidRDefault="00000000" w:rsidRPr="00000000" w14:paraId="00000047">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Keystroke Dynamics:</w:t>
      </w:r>
      <w:r w:rsidDel="00000000" w:rsidR="00000000" w:rsidRPr="00000000">
        <w:rPr>
          <w:rFonts w:ascii="Google Sans" w:cs="Google Sans" w:eastAsia="Google Sans" w:hAnsi="Google Sans"/>
          <w:color w:val="1f1f1f"/>
          <w:rtl w:val="0"/>
        </w:rPr>
        <w:t xml:space="preserve"> Attaccare event listener al div principale di BlockNote per calcolare il </w:t>
      </w:r>
      <w:r w:rsidDel="00000000" w:rsidR="00000000" w:rsidRPr="00000000">
        <w:rPr>
          <w:rFonts w:ascii="Google Sans" w:cs="Google Sans" w:eastAsia="Google Sans" w:hAnsi="Google Sans"/>
          <w:i w:val="1"/>
          <w:iCs w:val="1"/>
          <w:color w:val="1f1f1f"/>
          <w:rtl w:val="0"/>
        </w:rPr>
        <w:t xml:space="preserve">Dwell Time</w:t>
      </w:r>
      <w:r w:rsidDel="00000000" w:rsidR="00000000" w:rsidRPr="00000000">
        <w:rPr>
          <w:rFonts w:ascii="Google Sans" w:cs="Google Sans" w:eastAsia="Google Sans" w:hAnsi="Google Sans"/>
          <w:color w:val="1f1f1f"/>
          <w:rtl w:val="0"/>
        </w:rPr>
        <w:t xml:space="preserve"> (millisecondi in cui il tasto rimane premuto) e il </w:t>
      </w:r>
      <w:r w:rsidDel="00000000" w:rsidR="00000000" w:rsidRPr="00000000">
        <w:rPr>
          <w:rFonts w:ascii="Google Sans" w:cs="Google Sans" w:eastAsia="Google Sans" w:hAnsi="Google Sans"/>
          <w:i w:val="1"/>
          <w:iCs w:val="1"/>
          <w:color w:val="1f1f1f"/>
          <w:rtl w:val="0"/>
        </w:rPr>
        <w:t xml:space="preserve">Flight Time</w:t>
      </w:r>
      <w:r w:rsidDel="00000000" w:rsidR="00000000" w:rsidRPr="00000000">
        <w:rPr>
          <w:rFonts w:ascii="Google Sans" w:cs="Google Sans" w:eastAsia="Google Sans" w:hAnsi="Google Sans"/>
          <w:color w:val="1f1f1f"/>
          <w:rtl w:val="0"/>
        </w:rPr>
        <w:t xml:space="preserve"> (millisecondi tra due tasti).</w:t>
      </w:r>
    </w:p>
    <w:p w:rsidR="00000000" w:rsidDel="00000000" w:rsidP="00000000" w:rsidRDefault="00000000" w:rsidRPr="00000000" w14:paraId="00000048">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Cognitive Load Correlation (CLC):</w:t>
      </w:r>
      <w:r w:rsidDel="00000000" w:rsidR="00000000" w:rsidRPr="00000000">
        <w:rPr>
          <w:rFonts w:ascii="Google Sans" w:cs="Google Sans" w:eastAsia="Google Sans" w:hAnsi="Google Sans"/>
          <w:color w:val="1f1f1f"/>
          <w:rtl w:val="0"/>
        </w:rPr>
        <w:t xml:space="preserve"> Misurando variazioni brusche in questi delta temporali combinati all'aumento di pattern correttivi (frequenti battute del tasto Backspace), il client frontend estrapola un'irregolarità ritmica. Quest'anomalia è l'esatta impronta digitale dell'esitazione cognitiva dell'autore (incertezza creativa). È unicamente a fronte del superamento di tale soglia probabilistica locale che il client emette in modo autonomo la chiamata RAG.</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5.4 Logic Check Prompt Engineering</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 scovare veri "Plot Hole" (incoerenze narrative), non basta la semplice similarità vettoriale. Il prompt deve costringere l'LLM a eseguire un confronto logico.</w:t>
      </w:r>
    </w:p>
    <w:p w:rsidR="00000000" w:rsidDel="00000000" w:rsidP="00000000" w:rsidRDefault="00000000" w:rsidRPr="00000000" w14:paraId="0000004B">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Pattern Prompting:</w:t>
      </w:r>
      <w:r w:rsidDel="00000000" w:rsidR="00000000" w:rsidRPr="00000000">
        <w:rPr>
          <w:rFonts w:ascii="Google Sans" w:cs="Google Sans" w:eastAsia="Google Sans" w:hAnsi="Google Sans"/>
          <w:color w:val="1f1f1f"/>
          <w:rtl w:val="0"/>
        </w:rPr>
        <w:t xml:space="preserve"> Costruire un prompt che imponga all'LLM l'assunzione del ruolo di un "Revisore Analitico".</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4C">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Decomposizione Fatti (Fact Extraction):</w:t>
      </w:r>
      <w:r w:rsidDel="00000000" w:rsidR="00000000" w:rsidRPr="00000000">
        <w:rPr>
          <w:rFonts w:ascii="Google Sans" w:cs="Google Sans" w:eastAsia="Google Sans" w:hAnsi="Google Sans"/>
          <w:color w:val="1f1f1f"/>
          <w:rtl w:val="0"/>
        </w:rPr>
        <w:t xml:space="preserve"> Istruire l'LLM a scomporre prima la nuova scena digitata dall'autore in mere preposizioni o assunzioni di stato, privandola della "verbosità retorica".</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4D">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Restrizione Output in JSON:</w:t>
      </w:r>
      <w:r w:rsidDel="00000000" w:rsidR="00000000" w:rsidRPr="00000000">
        <w:rPr>
          <w:rFonts w:ascii="Google Sans" w:cs="Google Sans" w:eastAsia="Google Sans" w:hAnsi="Google Sans"/>
          <w:color w:val="1f1f1f"/>
          <w:rtl w:val="0"/>
        </w:rPr>
        <w:t xml:space="preserve"> Usare l'istruzione di </w:t>
      </w:r>
      <w:r w:rsidDel="00000000" w:rsidR="00000000" w:rsidRPr="00000000">
        <w:rPr>
          <w:rFonts w:ascii="Google Sans" w:cs="Google Sans" w:eastAsia="Google Sans" w:hAnsi="Google Sans"/>
          <w:i w:val="1"/>
          <w:iCs w:val="1"/>
          <w:color w:val="1f1f1f"/>
          <w:rtl w:val="0"/>
        </w:rPr>
        <w:t xml:space="preserve">JSON-Structured Prompting</w:t>
      </w:r>
      <w:r w:rsidDel="00000000" w:rsidR="00000000" w:rsidRPr="00000000">
        <w:rPr>
          <w:rFonts w:ascii="Google Sans" w:cs="Google Sans" w:eastAsia="Google Sans" w:hAnsi="Google Sans"/>
          <w:color w:val="1f1f1f"/>
          <w:rtl w:val="0"/>
        </w:rPr>
        <w:t xml:space="preserve">. Costringere il modello a rispondere in formato JSON rigido.</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Le chiavi obbligatorie devono includere un array evidence_chains.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Questo array conterrà le citazioni letterali estratte dalla Story Bible (e fornite in contesto al prompt dal modulo HNSW locale) che </w:t>
      </w:r>
      <w:r w:rsidDel="00000000" w:rsidR="00000000" w:rsidRPr="00000000">
        <w:rPr>
          <w:rFonts w:ascii="Google Sans" w:cs="Google Sans" w:eastAsia="Google Sans" w:hAnsi="Google Sans"/>
          <w:i w:val="1"/>
          <w:iCs w:val="1"/>
          <w:color w:val="1f1f1f"/>
          <w:rtl w:val="0"/>
        </w:rPr>
        <w:t xml:space="preserve">dimostrano</w:t>
      </w:r>
      <w:r w:rsidDel="00000000" w:rsidR="00000000" w:rsidRPr="00000000">
        <w:rPr>
          <w:rFonts w:ascii="Google Sans" w:cs="Google Sans" w:eastAsia="Google Sans" w:hAnsi="Google Sans"/>
          <w:color w:val="1f1f1f"/>
          <w:rtl w:val="0"/>
        </w:rPr>
        <w:t xml:space="preserve"> all'utente la ragione del conflitto, innescando a frontend l'inserimento di un marker visivo (Semantic Highlighting) sul testo specifico in BlockNote. L'imposizione del formato JSON garantisce il parsing deterministico del frontend ed incrementa empiricamente la coesione logica del LLM fino al 9%.</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4E">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Bibliografia</w:t>
      </w:r>
    </w:p>
    <w:p w:rsidR="00000000" w:rsidDel="00000000" w:rsidP="00000000" w:rsidRDefault="00000000" w:rsidRPr="00000000" w14:paraId="0000004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Custom Blocks - BlockNote, accesso eseguito il giorno marzo 27, 2026, </w:t>
      </w:r>
      <w:hyperlink r:id="rId6">
        <w:r w:rsidDel="00000000" w:rsidR="00000000" w:rsidRPr="00000000">
          <w:rPr>
            <w:rFonts w:ascii="Google Sans" w:cs="Google Sans" w:eastAsia="Google Sans" w:hAnsi="Google Sans"/>
            <w:color w:val="0000ee"/>
            <w:sz w:val="24"/>
            <w:szCs w:val="24"/>
            <w:u w:val="single"/>
            <w:rtl w:val="0"/>
          </w:rPr>
          <w:t xml:space="preserve">https://www.blocknotejs.org/docs/features/custom-schemas/custom-blocks</w:t>
        </w:r>
      </w:hyperlink>
      <w:r w:rsidDel="00000000" w:rsidR="00000000" w:rsidRPr="00000000">
        <w:rPr>
          <w:rtl w:val="0"/>
        </w:rPr>
      </w:r>
    </w:p>
    <w:p w:rsidR="00000000" w:rsidDel="00000000" w:rsidP="00000000" w:rsidRDefault="00000000" w:rsidRPr="00000000" w14:paraId="0000005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Toggleable Custom Blocks - BlockNote, accesso eseguito il giorno marzo 27, 2026, </w:t>
      </w:r>
      <w:hyperlink r:id="rId7">
        <w:r w:rsidDel="00000000" w:rsidR="00000000" w:rsidRPr="00000000">
          <w:rPr>
            <w:rFonts w:ascii="Google Sans" w:cs="Google Sans" w:eastAsia="Google Sans" w:hAnsi="Google Sans"/>
            <w:color w:val="0000ee"/>
            <w:sz w:val="24"/>
            <w:szCs w:val="24"/>
            <w:u w:val="single"/>
            <w:rtl w:val="0"/>
          </w:rPr>
          <w:t xml:space="preserve">https://www.blocknotejs.org/examples/custom-schema/toggleable-blocks</w:t>
        </w:r>
      </w:hyperlink>
      <w:r w:rsidDel="00000000" w:rsidR="00000000" w:rsidRPr="00000000">
        <w:rPr>
          <w:rtl w:val="0"/>
        </w:rPr>
      </w:r>
    </w:p>
    <w:p w:rsidR="00000000" w:rsidDel="00000000" w:rsidP="00000000" w:rsidRDefault="00000000" w:rsidRPr="00000000" w14:paraId="0000005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Alert Block with Full UX - BlockNote, accesso eseguito il giorno marzo 27, 2026, </w:t>
      </w:r>
      <w:hyperlink r:id="rId8">
        <w:r w:rsidDel="00000000" w:rsidR="00000000" w:rsidRPr="00000000">
          <w:rPr>
            <w:rFonts w:ascii="Google Sans" w:cs="Google Sans" w:eastAsia="Google Sans" w:hAnsi="Google Sans"/>
            <w:color w:val="0000ee"/>
            <w:sz w:val="24"/>
            <w:szCs w:val="24"/>
            <w:u w:val="single"/>
            <w:rtl w:val="0"/>
          </w:rPr>
          <w:t xml:space="preserve">https://www.blocknotejs.org/examples/custom-schema/alert-block-full-ux</w:t>
        </w:r>
      </w:hyperlink>
      <w:r w:rsidDel="00000000" w:rsidR="00000000" w:rsidRPr="00000000">
        <w:rPr>
          <w:rtl w:val="0"/>
        </w:rPr>
      </w:r>
    </w:p>
    <w:p w:rsidR="00000000" w:rsidDel="00000000" w:rsidP="00000000" w:rsidRDefault="00000000" w:rsidRPr="00000000" w14:paraId="0000005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Custom Inline Content Types - BlockNote, accesso eseguito il giorno marzo 27, 2026, </w:t>
      </w:r>
      <w:hyperlink r:id="rId9">
        <w:r w:rsidDel="00000000" w:rsidR="00000000" w:rsidRPr="00000000">
          <w:rPr>
            <w:rFonts w:ascii="Google Sans" w:cs="Google Sans" w:eastAsia="Google Sans" w:hAnsi="Google Sans"/>
            <w:color w:val="0000ee"/>
            <w:sz w:val="24"/>
            <w:szCs w:val="24"/>
            <w:u w:val="single"/>
            <w:rtl w:val="0"/>
          </w:rPr>
          <w:t xml:space="preserve">https://www.blocknotejs.org/docs/features/custom-schemas/custom-inline-content</w:t>
        </w:r>
      </w:hyperlink>
      <w:r w:rsidDel="00000000" w:rsidR="00000000" w:rsidRPr="00000000">
        <w:rPr>
          <w:rtl w:val="0"/>
        </w:rPr>
      </w:r>
    </w:p>
    <w:p w:rsidR="00000000" w:rsidDel="00000000" w:rsidP="00000000" w:rsidRDefault="00000000" w:rsidRPr="00000000" w14:paraId="0000005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Suggestion Menus - BlockNote, accesso eseguito il giorno marzo 27, 2026, </w:t>
      </w:r>
      <w:hyperlink r:id="rId10">
        <w:r w:rsidDel="00000000" w:rsidR="00000000" w:rsidRPr="00000000">
          <w:rPr>
            <w:rFonts w:ascii="Google Sans" w:cs="Google Sans" w:eastAsia="Google Sans" w:hAnsi="Google Sans"/>
            <w:color w:val="0000ee"/>
            <w:sz w:val="24"/>
            <w:szCs w:val="24"/>
            <w:u w:val="single"/>
            <w:rtl w:val="0"/>
          </w:rPr>
          <w:t xml:space="preserve">https://www.blocknotejs.org/docs/react/components/suggestion-menus</w:t>
        </w:r>
      </w:hyperlink>
      <w:r w:rsidDel="00000000" w:rsidR="00000000" w:rsidRPr="00000000">
        <w:rPr>
          <w:rtl w:val="0"/>
        </w:rPr>
      </w:r>
    </w:p>
    <w:p w:rsidR="00000000" w:rsidDel="00000000" w:rsidP="00000000" w:rsidRDefault="00000000" w:rsidRPr="00000000" w14:paraId="0000005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Libsodium Quick Reference: Similarly-Named Functions and Their Use-Cases - Paragon Initiative Enterprises Blog, accesso eseguito il giorno marzo 27, 2026, </w:t>
      </w:r>
      <w:hyperlink r:id="rId11">
        <w:r w:rsidDel="00000000" w:rsidR="00000000" w:rsidRPr="00000000">
          <w:rPr>
            <w:rFonts w:ascii="Google Sans" w:cs="Google Sans" w:eastAsia="Google Sans" w:hAnsi="Google Sans"/>
            <w:color w:val="0000ee"/>
            <w:sz w:val="24"/>
            <w:szCs w:val="24"/>
            <w:u w:val="single"/>
            <w:rtl w:val="0"/>
          </w:rPr>
          <w:t xml:space="preserve">https://paragonie.com/blog/2017/06/libsodium-quick-reference-quick-comparison-similar-functions-and-which-one-use</w:t>
        </w:r>
      </w:hyperlink>
      <w:r w:rsidDel="00000000" w:rsidR="00000000" w:rsidRPr="00000000">
        <w:rPr>
          <w:rtl w:val="0"/>
        </w:rPr>
      </w:r>
    </w:p>
    <w:p w:rsidR="00000000" w:rsidDel="00000000" w:rsidP="00000000" w:rsidRDefault="00000000" w:rsidRPr="00000000" w14:paraId="0000005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datadayrepos/libsodium-wrapper - GitHub, accesso eseguito il giorno marzo 27, 2026, </w:t>
      </w:r>
      <w:hyperlink r:id="rId12">
        <w:r w:rsidDel="00000000" w:rsidR="00000000" w:rsidRPr="00000000">
          <w:rPr>
            <w:rFonts w:ascii="Google Sans" w:cs="Google Sans" w:eastAsia="Google Sans" w:hAnsi="Google Sans"/>
            <w:color w:val="0000ee"/>
            <w:sz w:val="24"/>
            <w:szCs w:val="24"/>
            <w:u w:val="single"/>
            <w:rtl w:val="0"/>
          </w:rPr>
          <w:t xml:space="preserve">https://github.com/datadayrepos/libsodium-wrapper</w:t>
        </w:r>
      </w:hyperlink>
      <w:r w:rsidDel="00000000" w:rsidR="00000000" w:rsidRPr="00000000">
        <w:rPr>
          <w:rtl w:val="0"/>
        </w:rPr>
      </w:r>
    </w:p>
    <w:p w:rsidR="00000000" w:rsidDel="00000000" w:rsidP="00000000" w:rsidRDefault="00000000" w:rsidRPr="00000000" w14:paraId="0000005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 Cryptography API Level 2 - W3C on GitHub, accesso eseguito il giorno marzo 27, 2026, </w:t>
      </w:r>
      <w:hyperlink r:id="rId13">
        <w:r w:rsidDel="00000000" w:rsidR="00000000" w:rsidRPr="00000000">
          <w:rPr>
            <w:rFonts w:ascii="Google Sans" w:cs="Google Sans" w:eastAsia="Google Sans" w:hAnsi="Google Sans"/>
            <w:color w:val="0000ee"/>
            <w:sz w:val="24"/>
            <w:szCs w:val="24"/>
            <w:u w:val="single"/>
            <w:rtl w:val="0"/>
          </w:rPr>
          <w:t xml:space="preserve">https://w3c.github.io/webcrypto/</w:t>
        </w:r>
      </w:hyperlink>
      <w:r w:rsidDel="00000000" w:rsidR="00000000" w:rsidRPr="00000000">
        <w:rPr>
          <w:rtl w:val="0"/>
        </w:rPr>
      </w:r>
    </w:p>
    <w:p w:rsidR="00000000" w:rsidDel="00000000" w:rsidP="00000000" w:rsidRDefault="00000000" w:rsidRPr="00000000" w14:paraId="0000005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Implementing AES-GCM Encryption in JavaScript - Haikel Fazzani, accesso eseguito il giorno marzo 27, 2026, </w:t>
      </w:r>
      <w:hyperlink r:id="rId14">
        <w:r w:rsidDel="00000000" w:rsidR="00000000" w:rsidRPr="00000000">
          <w:rPr>
            <w:rFonts w:ascii="Google Sans" w:cs="Google Sans" w:eastAsia="Google Sans" w:hAnsi="Google Sans"/>
            <w:color w:val="0000ee"/>
            <w:sz w:val="24"/>
            <w:szCs w:val="24"/>
            <w:u w:val="single"/>
            <w:rtl w:val="0"/>
          </w:rPr>
          <w:t xml:space="preserve">https://www.haikel-fazzani.eu.org/blog/post/javascript-cryptography-aes-gcm</w:t>
        </w:r>
      </w:hyperlink>
      <w:r w:rsidDel="00000000" w:rsidR="00000000" w:rsidRPr="00000000">
        <w:rPr>
          <w:rtl w:val="0"/>
        </w:rPr>
      </w:r>
    </w:p>
    <w:p w:rsidR="00000000" w:rsidDel="00000000" w:rsidP="00000000" w:rsidRDefault="00000000" w:rsidRPr="00000000" w14:paraId="0000005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End to end encryption with schema validation - Yjs Community, accesso eseguito il giorno marzo 27, 2026, </w:t>
      </w:r>
      <w:hyperlink r:id="rId15">
        <w:r w:rsidDel="00000000" w:rsidR="00000000" w:rsidRPr="00000000">
          <w:rPr>
            <w:rFonts w:ascii="Google Sans" w:cs="Google Sans" w:eastAsia="Google Sans" w:hAnsi="Google Sans"/>
            <w:color w:val="0000ee"/>
            <w:sz w:val="24"/>
            <w:szCs w:val="24"/>
            <w:u w:val="single"/>
            <w:rtl w:val="0"/>
          </w:rPr>
          <w:t xml:space="preserve">https://discuss.yjs.dev/t/end-to-end-encryption-with-schema-validation/2263</w:t>
        </w:r>
      </w:hyperlink>
      <w:r w:rsidDel="00000000" w:rsidR="00000000" w:rsidRPr="00000000">
        <w:rPr>
          <w:rtl w:val="0"/>
        </w:rPr>
      </w:r>
    </w:p>
    <w:p w:rsidR="00000000" w:rsidDel="00000000" w:rsidP="00000000" w:rsidRDefault="00000000" w:rsidRPr="00000000" w14:paraId="0000005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nikgraf/secsync: Architecture for end-to-end encrypted CRDTs - GitHub, accesso eseguito il giorno marzo 27, 2026, </w:t>
      </w:r>
      <w:hyperlink r:id="rId16">
        <w:r w:rsidDel="00000000" w:rsidR="00000000" w:rsidRPr="00000000">
          <w:rPr>
            <w:rFonts w:ascii="Google Sans" w:cs="Google Sans" w:eastAsia="Google Sans" w:hAnsi="Google Sans"/>
            <w:color w:val="0000ee"/>
            <w:sz w:val="24"/>
            <w:szCs w:val="24"/>
            <w:u w:val="single"/>
            <w:rtl w:val="0"/>
          </w:rPr>
          <w:t xml:space="preserve">https://github.com/nikgraf/secsync</w:t>
        </w:r>
      </w:hyperlink>
      <w:r w:rsidDel="00000000" w:rsidR="00000000" w:rsidRPr="00000000">
        <w:rPr>
          <w:rtl w:val="0"/>
        </w:rPr>
      </w:r>
    </w:p>
    <w:p w:rsidR="00000000" w:rsidDel="00000000" w:rsidP="00000000" w:rsidRDefault="00000000" w:rsidRPr="00000000" w14:paraId="0000005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Wasm Workers API — Emscripten 5.0.3-git (dev) documentation, accesso eseguito il giorno marzo 27, 2026, </w:t>
      </w:r>
      <w:hyperlink r:id="rId17">
        <w:r w:rsidDel="00000000" w:rsidR="00000000" w:rsidRPr="00000000">
          <w:rPr>
            <w:rFonts w:ascii="Google Sans" w:cs="Google Sans" w:eastAsia="Google Sans" w:hAnsi="Google Sans"/>
            <w:color w:val="0000ee"/>
            <w:sz w:val="24"/>
            <w:szCs w:val="24"/>
            <w:u w:val="single"/>
            <w:rtl w:val="0"/>
          </w:rPr>
          <w:t xml:space="preserve">https://emscripten.org/docs/api_reference/wasm_workers.html</w:t>
        </w:r>
      </w:hyperlink>
      <w:r w:rsidDel="00000000" w:rsidR="00000000" w:rsidRPr="00000000">
        <w:rPr>
          <w:rtl w:val="0"/>
        </w:rPr>
      </w:r>
    </w:p>
    <w:p w:rsidR="00000000" w:rsidDel="00000000" w:rsidP="00000000" w:rsidRDefault="00000000" w:rsidRPr="00000000" w14:paraId="0000005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SharedArrayBuffer and Memory Management in JavaScript | by Artem Khrienov - Medium, accesso eseguito il giorno marzo 27, 2026, </w:t>
      </w:r>
      <w:hyperlink r:id="rId18">
        <w:r w:rsidDel="00000000" w:rsidR="00000000" w:rsidRPr="00000000">
          <w:rPr>
            <w:rFonts w:ascii="Google Sans" w:cs="Google Sans" w:eastAsia="Google Sans" w:hAnsi="Google Sans"/>
            <w:color w:val="0000ee"/>
            <w:sz w:val="24"/>
            <w:szCs w:val="24"/>
            <w:u w:val="single"/>
            <w:rtl w:val="0"/>
          </w:rPr>
          <w:t xml:space="preserve">https://medium.com/@artemkhrenov/sharedarraybuffer-and-memory-management-in-javascript-06738cda8f51</w:t>
        </w:r>
      </w:hyperlink>
      <w:r w:rsidDel="00000000" w:rsidR="00000000" w:rsidRPr="00000000">
        <w:rPr>
          <w:rtl w:val="0"/>
        </w:rPr>
      </w:r>
    </w:p>
    <w:p w:rsidR="00000000" w:rsidDel="00000000" w:rsidP="00000000" w:rsidRDefault="00000000" w:rsidRPr="00000000" w14:paraId="0000005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SharedArrayBuffer - JavaScript - MDN Web Docs, accesso eseguito il giorno marzo 27, 2026, </w:t>
      </w:r>
      <w:hyperlink r:id="rId19">
        <w:r w:rsidDel="00000000" w:rsidR="00000000" w:rsidRPr="00000000">
          <w:rPr>
            <w:rFonts w:ascii="Google Sans" w:cs="Google Sans" w:eastAsia="Google Sans" w:hAnsi="Google Sans"/>
            <w:color w:val="0000ee"/>
            <w:sz w:val="24"/>
            <w:szCs w:val="24"/>
            <w:u w:val="single"/>
            <w:rtl w:val="0"/>
          </w:rPr>
          <w:t xml:space="preserve">https://developer.mozilla.org/en-US/docs/Web/JavaScript/Reference/Global_Objects/SharedArrayBuffer</w:t>
        </w:r>
      </w:hyperlink>
      <w:r w:rsidDel="00000000" w:rsidR="00000000" w:rsidRPr="00000000">
        <w:rPr>
          <w:rtl w:val="0"/>
        </w:rPr>
      </w:r>
    </w:p>
    <w:p w:rsidR="00000000" w:rsidDel="00000000" w:rsidP="00000000" w:rsidRDefault="00000000" w:rsidRPr="00000000" w14:paraId="0000005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onnxruntime-web - NPM, accesso eseguito il giorno marzo 27, 2026, </w:t>
      </w:r>
      <w:hyperlink r:id="rId20">
        <w:r w:rsidDel="00000000" w:rsidR="00000000" w:rsidRPr="00000000">
          <w:rPr>
            <w:rFonts w:ascii="Google Sans" w:cs="Google Sans" w:eastAsia="Google Sans" w:hAnsi="Google Sans"/>
            <w:color w:val="0000ee"/>
            <w:sz w:val="24"/>
            <w:szCs w:val="24"/>
            <w:u w:val="single"/>
            <w:rtl w:val="0"/>
          </w:rPr>
          <w:t xml:space="preserve">https://www.npmjs.com/package/onnxruntime-web</w:t>
        </w:r>
      </w:hyperlink>
      <w:r w:rsidDel="00000000" w:rsidR="00000000" w:rsidRPr="00000000">
        <w:rPr>
          <w:rtl w:val="0"/>
        </w:rPr>
      </w:r>
    </w:p>
    <w:p w:rsidR="00000000" w:rsidDel="00000000" w:rsidP="00000000" w:rsidRDefault="00000000" w:rsidRPr="00000000" w14:paraId="0000005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 device models and how they work in the browser thanks to web assembly and webgpu, accesso eseguito il giorno marzo 27, 2026, </w:t>
      </w:r>
      <w:hyperlink r:id="rId21">
        <w:r w:rsidDel="00000000" w:rsidR="00000000" w:rsidRPr="00000000">
          <w:rPr>
            <w:rFonts w:ascii="Google Sans" w:cs="Google Sans" w:eastAsia="Google Sans" w:hAnsi="Google Sans"/>
            <w:color w:val="0000ee"/>
            <w:sz w:val="24"/>
            <w:szCs w:val="24"/>
            <w:u w:val="single"/>
            <w:rtl w:val="0"/>
          </w:rPr>
          <w:t xml:space="preserve">https://dev.to/aileenvl/on-device-models-and-how-they-work-in-the-browser-thanks-to-web-assembly-and-webgpu-5bo6</w:t>
        </w:r>
      </w:hyperlink>
      <w:r w:rsidDel="00000000" w:rsidR="00000000" w:rsidRPr="00000000">
        <w:rPr>
          <w:rtl w:val="0"/>
        </w:rPr>
      </w:r>
    </w:p>
    <w:p w:rsidR="00000000" w:rsidDel="00000000" w:rsidP="00000000" w:rsidRDefault="00000000" w:rsidRPr="00000000" w14:paraId="0000005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Nomic-Embed-Text-V1 Overview - Emergent Mind, accesso eseguito il giorno marzo 27, 2026, </w:t>
      </w:r>
      <w:hyperlink r:id="rId22">
        <w:r w:rsidDel="00000000" w:rsidR="00000000" w:rsidRPr="00000000">
          <w:rPr>
            <w:rFonts w:ascii="Google Sans" w:cs="Google Sans" w:eastAsia="Google Sans" w:hAnsi="Google Sans"/>
            <w:color w:val="0000ee"/>
            <w:sz w:val="24"/>
            <w:szCs w:val="24"/>
            <w:u w:val="single"/>
            <w:rtl w:val="0"/>
          </w:rPr>
          <w:t xml:space="preserve">https://www.emergentmind.com/topics/nomic-embed-text-v1</w:t>
        </w:r>
      </w:hyperlink>
      <w:r w:rsidDel="00000000" w:rsidR="00000000" w:rsidRPr="00000000">
        <w:rPr>
          <w:rtl w:val="0"/>
        </w:rPr>
      </w:r>
    </w:p>
    <w:p w:rsidR="00000000" w:rsidDel="00000000" w:rsidP="00000000" w:rsidRDefault="00000000" w:rsidRPr="00000000" w14:paraId="0000006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ShravanSunder/hnswlib-wasm - GitHub, accesso eseguito il giorno marzo 27, 2026, </w:t>
      </w:r>
      <w:hyperlink r:id="rId23">
        <w:r w:rsidDel="00000000" w:rsidR="00000000" w:rsidRPr="00000000">
          <w:rPr>
            <w:rFonts w:ascii="Google Sans" w:cs="Google Sans" w:eastAsia="Google Sans" w:hAnsi="Google Sans"/>
            <w:color w:val="0000ee"/>
            <w:sz w:val="24"/>
            <w:szCs w:val="24"/>
            <w:u w:val="single"/>
            <w:rtl w:val="0"/>
          </w:rPr>
          <w:t xml:space="preserve">https://github.com/ShravanSunder/hnswlib-wasm</w:t>
        </w:r>
      </w:hyperlink>
      <w:r w:rsidDel="00000000" w:rsidR="00000000" w:rsidRPr="00000000">
        <w:rPr>
          <w:rtl w:val="0"/>
        </w:rPr>
      </w:r>
    </w:p>
    <w:p w:rsidR="00000000" w:rsidDel="00000000" w:rsidP="00000000" w:rsidRDefault="00000000" w:rsidRPr="00000000" w14:paraId="0000006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[Literature Review] Zero Data Retention in LLM-based Enterprise AI Assistants: A Comparative Study of Market Leading Agentic AI Products, accesso eseguito il giorno marzo 27, 2026, </w:t>
      </w:r>
      <w:hyperlink r:id="rId24">
        <w:r w:rsidDel="00000000" w:rsidR="00000000" w:rsidRPr="00000000">
          <w:rPr>
            <w:rFonts w:ascii="Google Sans" w:cs="Google Sans" w:eastAsia="Google Sans" w:hAnsi="Google Sans"/>
            <w:color w:val="0000ee"/>
            <w:sz w:val="24"/>
            <w:szCs w:val="24"/>
            <w:u w:val="single"/>
            <w:rtl w:val="0"/>
          </w:rPr>
          <w:t xml:space="preserve">https://www.themoonlight.io/en/review/zero-data-retention-in-llm-based-enterprise-ai-assistants-a-comparative-study-of-market-leading-agentic-ai-products</w:t>
        </w:r>
      </w:hyperlink>
      <w:r w:rsidDel="00000000" w:rsidR="00000000" w:rsidRPr="00000000">
        <w:rPr>
          <w:rtl w:val="0"/>
        </w:rPr>
      </w:r>
    </w:p>
    <w:p w:rsidR="00000000" w:rsidDel="00000000" w:rsidP="00000000" w:rsidRDefault="00000000" w:rsidRPr="00000000" w14:paraId="0000006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Zero Data Retention in LLM-based Enterprise AI Assistants: A Comparative Study of Market Leading Agentic AI Products - arXiv, accesso eseguito il giorno marzo 27, 2026, </w:t>
      </w:r>
      <w:hyperlink r:id="rId25">
        <w:r w:rsidDel="00000000" w:rsidR="00000000" w:rsidRPr="00000000">
          <w:rPr>
            <w:rFonts w:ascii="Google Sans" w:cs="Google Sans" w:eastAsia="Google Sans" w:hAnsi="Google Sans"/>
            <w:color w:val="0000ee"/>
            <w:sz w:val="24"/>
            <w:szCs w:val="24"/>
            <w:u w:val="single"/>
            <w:rtl w:val="0"/>
          </w:rPr>
          <w:t xml:space="preserve">https://arxiv.org/pdf/2510.11558</w:t>
        </w:r>
      </w:hyperlink>
      <w:r w:rsidDel="00000000" w:rsidR="00000000" w:rsidRPr="00000000">
        <w:rPr>
          <w:rtl w:val="0"/>
        </w:rPr>
      </w:r>
    </w:p>
    <w:p w:rsidR="00000000" w:rsidDel="00000000" w:rsidP="00000000" w:rsidRDefault="00000000" w:rsidRPr="00000000" w14:paraId="0000006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Production WebSocket Manifesto: Engineering for the “Ugly” States | by Uzma Noor, accesso eseguito il giorno marzo 27, 2026, </w:t>
      </w:r>
      <w:hyperlink r:id="rId26">
        <w:r w:rsidDel="00000000" w:rsidR="00000000" w:rsidRPr="00000000">
          <w:rPr>
            <w:rFonts w:ascii="Google Sans" w:cs="Google Sans" w:eastAsia="Google Sans" w:hAnsi="Google Sans"/>
            <w:color w:val="0000ee"/>
            <w:sz w:val="24"/>
            <w:szCs w:val="24"/>
            <w:u w:val="single"/>
            <w:rtl w:val="0"/>
          </w:rPr>
          <w:t xml:space="preserve">https://medium.com/@uzma.webdev/the-production-websocket-manifesto-engineering-for-the-ugly-states-7dc97d074c53</w:t>
        </w:r>
      </w:hyperlink>
      <w:r w:rsidDel="00000000" w:rsidR="00000000" w:rsidRPr="00000000">
        <w:rPr>
          <w:rtl w:val="0"/>
        </w:rPr>
      </w:r>
    </w:p>
    <w:p w:rsidR="00000000" w:rsidDel="00000000" w:rsidP="00000000" w:rsidRDefault="00000000" w:rsidRPr="00000000" w14:paraId="0000006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[2504.11900] Finding Flawed Fictions: Evaluating Complex Reasoning in Language Models via Plot Hole Detection - arXiv.org, accesso eseguito il giorno marzo 27, 2026, </w:t>
      </w:r>
      <w:hyperlink r:id="rId27">
        <w:r w:rsidDel="00000000" w:rsidR="00000000" w:rsidRPr="00000000">
          <w:rPr>
            <w:rFonts w:ascii="Google Sans" w:cs="Google Sans" w:eastAsia="Google Sans" w:hAnsi="Google Sans"/>
            <w:color w:val="0000ee"/>
            <w:sz w:val="24"/>
            <w:szCs w:val="24"/>
            <w:u w:val="single"/>
            <w:rtl w:val="0"/>
          </w:rPr>
          <w:t xml:space="preserve">https://arxiv.org/abs/2504.11900</w:t>
        </w:r>
      </w:hyperlink>
      <w:r w:rsidDel="00000000" w:rsidR="00000000" w:rsidRPr="00000000">
        <w:rPr>
          <w:rtl w:val="0"/>
        </w:rPr>
      </w:r>
    </w:p>
    <w:p w:rsidR="00000000" w:rsidDel="00000000" w:rsidP="00000000" w:rsidRDefault="00000000" w:rsidRPr="00000000" w14:paraId="0000006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Finding Flawed Fictions: Evaluating Complex Reasoning in Language Models via Plot Hole Detection - arXiv, accesso eseguito il giorno marzo 27, 2026, </w:t>
      </w:r>
      <w:hyperlink r:id="rId28">
        <w:r w:rsidDel="00000000" w:rsidR="00000000" w:rsidRPr="00000000">
          <w:rPr>
            <w:rFonts w:ascii="Google Sans" w:cs="Google Sans" w:eastAsia="Google Sans" w:hAnsi="Google Sans"/>
            <w:color w:val="0000ee"/>
            <w:sz w:val="24"/>
            <w:szCs w:val="24"/>
            <w:u w:val="single"/>
            <w:rtl w:val="0"/>
          </w:rPr>
          <w:t xml:space="preserve">https://arxiv.org/html/2504.11900v3</w:t>
        </w:r>
      </w:hyperlink>
      <w:r w:rsidDel="00000000" w:rsidR="00000000" w:rsidRPr="00000000">
        <w:rPr>
          <w:rtl w:val="0"/>
        </w:rPr>
      </w:r>
    </w:p>
    <w:p w:rsidR="00000000" w:rsidDel="00000000" w:rsidP="00000000" w:rsidRDefault="00000000" w:rsidRPr="00000000" w14:paraId="0000006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Enhancing AI Code Generation and Logical Reasoning using JSON-Structured Prompting - ijarsct, accesso eseguito il giorno marzo 27, 2026, </w:t>
      </w:r>
      <w:hyperlink r:id="rId29">
        <w:r w:rsidDel="00000000" w:rsidR="00000000" w:rsidRPr="00000000">
          <w:rPr>
            <w:rFonts w:ascii="Google Sans" w:cs="Google Sans" w:eastAsia="Google Sans" w:hAnsi="Google Sans"/>
            <w:color w:val="0000ee"/>
            <w:sz w:val="24"/>
            <w:szCs w:val="24"/>
            <w:u w:val="single"/>
            <w:rtl w:val="0"/>
          </w:rPr>
          <w:t xml:space="preserve">https://ijarsct.co.in/Paper29963.pdf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www.npmjs.com/package/onnxruntime-web" TargetMode="External"/><Relationship Id="rId22" Type="http://schemas.openxmlformats.org/officeDocument/2006/relationships/hyperlink" Target="https://www.emergentmind.com/topics/nomic-embed-text-v1" TargetMode="External"/><Relationship Id="rId21" Type="http://schemas.openxmlformats.org/officeDocument/2006/relationships/hyperlink" Target="https://dev.to/aileenvl/on-device-models-and-how-they-work-in-the-browser-thanks-to-web-assembly-and-webgpu-5bo6" TargetMode="External"/><Relationship Id="rId24" Type="http://schemas.openxmlformats.org/officeDocument/2006/relationships/hyperlink" Target="https://www.themoonlight.io/en/review/zero-data-retention-in-llm-based-enterprise-ai-assistants-a-comparative-study-of-market-leading-agentic-ai-products" TargetMode="External"/><Relationship Id="rId23" Type="http://schemas.openxmlformats.org/officeDocument/2006/relationships/hyperlink" Target="https://github.com/ShravanSunder/hnswlib-was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blocknotejs.org/docs/features/custom-schemas/custom-inline-content" TargetMode="External"/><Relationship Id="rId26" Type="http://schemas.openxmlformats.org/officeDocument/2006/relationships/hyperlink" Target="https://medium.com/@uzma.webdev/the-production-websocket-manifesto-engineering-for-the-ugly-states-7dc97d074c53" TargetMode="External"/><Relationship Id="rId25" Type="http://schemas.openxmlformats.org/officeDocument/2006/relationships/hyperlink" Target="https://arxiv.org/pdf/2510.11558" TargetMode="External"/><Relationship Id="rId28" Type="http://schemas.openxmlformats.org/officeDocument/2006/relationships/hyperlink" Target="https://arxiv.org/html/2504.11900v3" TargetMode="External"/><Relationship Id="rId27" Type="http://schemas.openxmlformats.org/officeDocument/2006/relationships/hyperlink" Target="https://arxiv.org/abs/2504.11900" TargetMode="External"/><Relationship Id="rId5" Type="http://schemas.openxmlformats.org/officeDocument/2006/relationships/styles" Target="styles.xml"/><Relationship Id="rId6" Type="http://schemas.openxmlformats.org/officeDocument/2006/relationships/hyperlink" Target="https://www.blocknotejs.org/docs/features/custom-schemas/custom-blocks" TargetMode="External"/><Relationship Id="rId29" Type="http://schemas.openxmlformats.org/officeDocument/2006/relationships/hyperlink" Target="https://ijarsct.co.in/Paper29963.pdf" TargetMode="External"/><Relationship Id="rId7" Type="http://schemas.openxmlformats.org/officeDocument/2006/relationships/hyperlink" Target="https://www.blocknotejs.org/examples/custom-schema/toggleable-blocks" TargetMode="External"/><Relationship Id="rId8" Type="http://schemas.openxmlformats.org/officeDocument/2006/relationships/hyperlink" Target="https://www.blocknotejs.org/examples/custom-schema/alert-block-full-ux" TargetMode="External"/><Relationship Id="rId11" Type="http://schemas.openxmlformats.org/officeDocument/2006/relationships/hyperlink" Target="https://paragonie.com/blog/2017/06/libsodium-quick-reference-quick-comparison-similar-functions-and-which-one-use" TargetMode="External"/><Relationship Id="rId10" Type="http://schemas.openxmlformats.org/officeDocument/2006/relationships/hyperlink" Target="https://www.blocknotejs.org/docs/react/components/suggestion-menus" TargetMode="External"/><Relationship Id="rId13" Type="http://schemas.openxmlformats.org/officeDocument/2006/relationships/hyperlink" Target="https://w3c.github.io/webcrypto/" TargetMode="External"/><Relationship Id="rId12" Type="http://schemas.openxmlformats.org/officeDocument/2006/relationships/hyperlink" Target="https://github.com/datadayrepos/libsodium-wrapper" TargetMode="External"/><Relationship Id="rId15" Type="http://schemas.openxmlformats.org/officeDocument/2006/relationships/hyperlink" Target="https://discuss.yjs.dev/t/end-to-end-encryption-with-schema-validation/2263" TargetMode="External"/><Relationship Id="rId14" Type="http://schemas.openxmlformats.org/officeDocument/2006/relationships/hyperlink" Target="https://www.haikel-fazzani.eu.org/blog/post/javascript-cryptography-aes-gcm" TargetMode="External"/><Relationship Id="rId17" Type="http://schemas.openxmlformats.org/officeDocument/2006/relationships/hyperlink" Target="https://emscripten.org/docs/api_reference/wasm_workers.html" TargetMode="External"/><Relationship Id="rId16" Type="http://schemas.openxmlformats.org/officeDocument/2006/relationships/hyperlink" Target="https://github.com/nikgraf/secsync" TargetMode="External"/><Relationship Id="rId19" Type="http://schemas.openxmlformats.org/officeDocument/2006/relationships/hyperlink" Target="https://developer.mozilla.org/en-US/docs/Web/JavaScript/Reference/Global_Objects/SharedArrayBuffer" TargetMode="External"/><Relationship Id="rId18" Type="http://schemas.openxmlformats.org/officeDocument/2006/relationships/hyperlink" Target="https://medium.com/@artemkhrenov/sharedarraybuffer-and-memory-management-in-javascript-06738cda8f5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