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990" w:rsidRPr="00393990" w:rsidRDefault="00393990" w:rsidP="00393990">
      <w:pPr>
        <w:rPr>
          <w:rFonts w:ascii="Arial" w:eastAsia="Times New Roman" w:hAnsi="Arial" w:cs="Arial"/>
          <w:b/>
          <w:sz w:val="20"/>
          <w:szCs w:val="20"/>
        </w:rPr>
      </w:pPr>
      <w:bookmarkStart w:id="0" w:name="_GoBack"/>
      <w:r w:rsidRPr="00393990">
        <w:rPr>
          <w:rFonts w:ascii="Arial" w:eastAsia="Times New Roman" w:hAnsi="Arial" w:cs="Arial"/>
          <w:b/>
          <w:sz w:val="20"/>
          <w:szCs w:val="20"/>
        </w:rPr>
        <w:t>The K2 Extra-Galactic Survey (KEGS) Transient Survey; Cycle 1</w:t>
      </w:r>
    </w:p>
    <w:bookmarkEnd w:id="0"/>
    <w:p w:rsidR="00393990" w:rsidRPr="00393990" w:rsidRDefault="00393990" w:rsidP="00393990">
      <w:pPr>
        <w:rPr>
          <w:rFonts w:ascii="Arial" w:eastAsia="Times New Roman" w:hAnsi="Arial" w:cs="Arial"/>
          <w:sz w:val="20"/>
          <w:szCs w:val="20"/>
        </w:rPr>
      </w:pPr>
      <w:r w:rsidRPr="00393990">
        <w:rPr>
          <w:rFonts w:ascii="Arial" w:eastAsia="Times New Roman" w:hAnsi="Arial" w:cs="Arial"/>
          <w:sz w:val="20"/>
          <w:szCs w:val="20"/>
        </w:rPr>
        <w:t>Robert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93990">
        <w:rPr>
          <w:rFonts w:ascii="Arial" w:eastAsia="Times New Roman" w:hAnsi="Arial" w:cs="Arial"/>
          <w:sz w:val="20"/>
          <w:szCs w:val="20"/>
        </w:rPr>
        <w:t>Olling</w:t>
      </w:r>
      <w:proofErr w:type="spellEnd"/>
    </w:p>
    <w:p w:rsidR="00393990" w:rsidRDefault="00393990" w:rsidP="00393990">
      <w:pPr>
        <w:rPr>
          <w:rFonts w:ascii="Arial" w:eastAsia="Times New Roman" w:hAnsi="Arial" w:cs="Arial"/>
          <w:sz w:val="20"/>
          <w:szCs w:val="20"/>
        </w:rPr>
      </w:pPr>
      <w:r w:rsidRPr="00393990">
        <w:rPr>
          <w:rFonts w:ascii="Arial" w:eastAsia="Times New Roman" w:hAnsi="Arial" w:cs="Arial"/>
          <w:sz w:val="20"/>
          <w:szCs w:val="20"/>
        </w:rPr>
        <w:t>University of Maryland</w:t>
      </w:r>
    </w:p>
    <w:p w:rsidR="00393990" w:rsidRPr="00393990" w:rsidRDefault="00393990" w:rsidP="00393990">
      <w:pPr>
        <w:rPr>
          <w:rFonts w:ascii="Arial" w:eastAsia="Times New Roman" w:hAnsi="Arial" w:cs="Arial"/>
          <w:sz w:val="20"/>
          <w:szCs w:val="20"/>
        </w:rPr>
      </w:pPr>
    </w:p>
    <w:p w:rsidR="00393990" w:rsidRPr="00393990" w:rsidRDefault="00393990" w:rsidP="00393990">
      <w:pPr>
        <w:rPr>
          <w:rFonts w:ascii="Arial" w:eastAsia="Times New Roman" w:hAnsi="Arial" w:cs="Arial"/>
          <w:sz w:val="20"/>
          <w:szCs w:val="20"/>
        </w:rPr>
      </w:pPr>
      <w:r w:rsidRPr="00393990">
        <w:rPr>
          <w:rFonts w:ascii="Arial" w:eastAsia="Times New Roman" w:hAnsi="Arial" w:cs="Arial"/>
          <w:sz w:val="20"/>
          <w:szCs w:val="20"/>
        </w:rPr>
        <w:t>We propose to monitor up to 8,500 bright (g'&lt;~ 18.8) galaxies in the combined campaigns 4 and 5 (K2-GO Cycle 1)</w:t>
      </w:r>
      <w:proofErr w:type="gramStart"/>
      <w:r w:rsidRPr="00393990">
        <w:rPr>
          <w:rFonts w:ascii="Arial" w:eastAsia="Times New Roman" w:hAnsi="Arial" w:cs="Arial"/>
          <w:sz w:val="20"/>
          <w:szCs w:val="20"/>
        </w:rPr>
        <w:t>,  which</w:t>
      </w:r>
      <w:proofErr w:type="gramEnd"/>
      <w:r w:rsidRPr="00393990">
        <w:rPr>
          <w:rFonts w:ascii="Arial" w:eastAsia="Times New Roman" w:hAnsi="Arial" w:cs="Arial"/>
          <w:sz w:val="20"/>
          <w:szCs w:val="20"/>
        </w:rPr>
        <w:t xml:space="preserve"> should yield 5 - 50 extremely well-sampled light curves (LCs) of supernovae and ~350 new AGN. To date, we have identified 5 supernova events in our </w:t>
      </w:r>
      <w:proofErr w:type="spellStart"/>
      <w:r w:rsidRPr="00393990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393990">
        <w:rPr>
          <w:rFonts w:ascii="Arial" w:eastAsia="Times New Roman" w:hAnsi="Arial" w:cs="Arial"/>
          <w:sz w:val="20"/>
          <w:szCs w:val="20"/>
        </w:rPr>
        <w:t xml:space="preserve"> GO programs. K2 offers a unique opportunity to observe the early LCs of supernovae in unprecedented detail.  We also have found that ~4% of galaxies observed by </w:t>
      </w:r>
      <w:proofErr w:type="spellStart"/>
      <w:r w:rsidRPr="00393990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393990">
        <w:rPr>
          <w:rFonts w:ascii="Arial" w:eastAsia="Times New Roman" w:hAnsi="Arial" w:cs="Arial"/>
          <w:sz w:val="20"/>
          <w:szCs w:val="20"/>
        </w:rPr>
        <w:t xml:space="preserve"> show AGN-like activity  (</w:t>
      </w:r>
      <w:proofErr w:type="spellStart"/>
      <w:r w:rsidRPr="00393990">
        <w:rPr>
          <w:rFonts w:ascii="Arial" w:eastAsia="Times New Roman" w:hAnsi="Arial" w:cs="Arial"/>
          <w:sz w:val="20"/>
          <w:szCs w:val="20"/>
        </w:rPr>
        <w:t>Shaya</w:t>
      </w:r>
      <w:proofErr w:type="spellEnd"/>
      <w:r w:rsidRPr="00393990">
        <w:rPr>
          <w:rFonts w:ascii="Arial" w:eastAsia="Times New Roman" w:hAnsi="Arial" w:cs="Arial"/>
          <w:sz w:val="20"/>
          <w:szCs w:val="20"/>
        </w:rPr>
        <w:t xml:space="preserve"> et al, 2014) and </w:t>
      </w:r>
      <w:proofErr w:type="spellStart"/>
      <w:r w:rsidRPr="00393990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393990">
        <w:rPr>
          <w:rFonts w:ascii="Arial" w:eastAsia="Times New Roman" w:hAnsi="Arial" w:cs="Arial"/>
          <w:sz w:val="20"/>
          <w:szCs w:val="20"/>
        </w:rPr>
        <w:t xml:space="preserve"> data can provide spectacular power density functions.  Based on our </w:t>
      </w:r>
      <w:proofErr w:type="spellStart"/>
      <w:r w:rsidRPr="00393990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393990">
        <w:rPr>
          <w:rFonts w:ascii="Arial" w:eastAsia="Times New Roman" w:hAnsi="Arial" w:cs="Arial"/>
          <w:sz w:val="20"/>
          <w:szCs w:val="20"/>
        </w:rPr>
        <w:t xml:space="preserve"> GO2, GO3 and GO4 data, we have developed techniques to obtain high quality long-term LCs from </w:t>
      </w:r>
      <w:proofErr w:type="spellStart"/>
      <w:r w:rsidRPr="00393990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393990">
        <w:rPr>
          <w:rFonts w:ascii="Arial" w:eastAsia="Times New Roman" w:hAnsi="Arial" w:cs="Arial"/>
          <w:sz w:val="20"/>
          <w:szCs w:val="20"/>
        </w:rPr>
        <w:t xml:space="preserve"> data: these methods will be applied to the K2 data.  Concurrent with the K2 observations, we will observe our K2 targets with ground-based facilities. When a SN appears in the field, we will issue a trigger to a large community of SN observers to obtain additional spectra and multi-color data sets. In combination with the K2 data, these </w:t>
      </w:r>
      <w:proofErr w:type="spellStart"/>
      <w:r w:rsidRPr="00393990">
        <w:rPr>
          <w:rFonts w:ascii="Arial" w:eastAsia="Times New Roman" w:hAnsi="Arial" w:cs="Arial"/>
          <w:sz w:val="20"/>
          <w:szCs w:val="20"/>
        </w:rPr>
        <w:t>SNe</w:t>
      </w:r>
      <w:proofErr w:type="spellEnd"/>
      <w:r w:rsidRPr="00393990">
        <w:rPr>
          <w:rFonts w:ascii="Arial" w:eastAsia="Times New Roman" w:hAnsi="Arial" w:cs="Arial"/>
          <w:sz w:val="20"/>
          <w:szCs w:val="20"/>
        </w:rPr>
        <w:t xml:space="preserve"> will be some of the best observed SN events, and these data will lead to: 1) a significant improvement in our understanding of the explosion mechanism of supernovae, 2) better calibration of </w:t>
      </w:r>
      <w:proofErr w:type="spellStart"/>
      <w:r w:rsidRPr="00393990">
        <w:rPr>
          <w:rFonts w:ascii="Arial" w:eastAsia="Times New Roman" w:hAnsi="Arial" w:cs="Arial"/>
          <w:sz w:val="20"/>
          <w:szCs w:val="20"/>
        </w:rPr>
        <w:t>SNe</w:t>
      </w:r>
      <w:proofErr w:type="spellEnd"/>
      <w:r w:rsidRPr="00393990">
        <w:rPr>
          <w:rFonts w:ascii="Arial" w:eastAsia="Times New Roman" w:hAnsi="Arial" w:cs="Arial"/>
          <w:sz w:val="20"/>
          <w:szCs w:val="20"/>
        </w:rPr>
        <w:t xml:space="preserve"> and therefore better luminosity distances for cosmological studies and 3) better constraints on the equation of state of dark energy.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90"/>
    <w:rsid w:val="00393990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2015-10-27T00:33:00Z</dcterms:created>
  <dcterms:modified xsi:type="dcterms:W3CDTF">2015-10-27T00:34:00Z</dcterms:modified>
</cp:coreProperties>
</file>