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A73" w:rsidRPr="00124A73" w:rsidRDefault="00124A73" w:rsidP="00124A73">
      <w:pPr>
        <w:rPr>
          <w:rFonts w:ascii="Arial" w:eastAsia="Times New Roman" w:hAnsi="Arial" w:cs="Arial"/>
          <w:b/>
          <w:sz w:val="20"/>
          <w:szCs w:val="20"/>
        </w:rPr>
      </w:pPr>
      <w:r w:rsidRPr="00124A73">
        <w:rPr>
          <w:rFonts w:ascii="Arial" w:eastAsia="Times New Roman" w:hAnsi="Arial" w:cs="Arial"/>
          <w:b/>
          <w:sz w:val="20"/>
          <w:szCs w:val="20"/>
        </w:rPr>
        <w:t xml:space="preserve">A Comprehensive Stellar Astrophysical Study of the Old Open Cluster M67 with </w:t>
      </w:r>
      <w:proofErr w:type="spellStart"/>
      <w:r w:rsidRPr="00124A73">
        <w:rPr>
          <w:rFonts w:ascii="Arial" w:eastAsia="Times New Roman" w:hAnsi="Arial" w:cs="Arial"/>
          <w:b/>
          <w:sz w:val="20"/>
          <w:szCs w:val="20"/>
        </w:rPr>
        <w:t>Kepler</w:t>
      </w:r>
      <w:proofErr w:type="spellEnd"/>
    </w:p>
    <w:p w:rsidR="00124A73" w:rsidRPr="00124A73" w:rsidRDefault="00124A73" w:rsidP="00124A73">
      <w:pPr>
        <w:rPr>
          <w:rFonts w:ascii="Arial" w:eastAsia="Times New Roman" w:hAnsi="Arial" w:cs="Arial"/>
          <w:sz w:val="20"/>
          <w:szCs w:val="20"/>
        </w:rPr>
      </w:pPr>
      <w:r w:rsidRPr="00124A73">
        <w:rPr>
          <w:rFonts w:ascii="Arial" w:eastAsia="Times New Roman" w:hAnsi="Arial" w:cs="Arial"/>
          <w:sz w:val="20"/>
          <w:szCs w:val="20"/>
        </w:rPr>
        <w:t>Robert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124A73">
        <w:rPr>
          <w:rFonts w:ascii="Arial" w:eastAsia="Times New Roman" w:hAnsi="Arial" w:cs="Arial"/>
          <w:sz w:val="20"/>
          <w:szCs w:val="20"/>
        </w:rPr>
        <w:t>Mathieu</w:t>
      </w:r>
    </w:p>
    <w:p w:rsidR="00124A73" w:rsidRDefault="00124A73" w:rsidP="00124A73">
      <w:pPr>
        <w:rPr>
          <w:rFonts w:ascii="Arial" w:eastAsia="Times New Roman" w:hAnsi="Arial" w:cs="Arial"/>
          <w:sz w:val="20"/>
          <w:szCs w:val="20"/>
        </w:rPr>
      </w:pPr>
      <w:r w:rsidRPr="00124A73">
        <w:rPr>
          <w:rFonts w:ascii="Arial" w:eastAsia="Times New Roman" w:hAnsi="Arial" w:cs="Arial"/>
          <w:sz w:val="20"/>
          <w:szCs w:val="20"/>
        </w:rPr>
        <w:t xml:space="preserve">University of Wisconsin </w:t>
      </w:r>
      <w:r>
        <w:rPr>
          <w:rFonts w:ascii="Arial" w:eastAsia="Times New Roman" w:hAnsi="Arial" w:cs="Arial"/>
          <w:sz w:val="20"/>
          <w:szCs w:val="20"/>
        </w:rPr>
        <w:t>–</w:t>
      </w:r>
      <w:r w:rsidRPr="00124A73">
        <w:rPr>
          <w:rFonts w:ascii="Arial" w:eastAsia="Times New Roman" w:hAnsi="Arial" w:cs="Arial"/>
          <w:sz w:val="20"/>
          <w:szCs w:val="20"/>
        </w:rPr>
        <w:t xml:space="preserve"> Madison</w:t>
      </w:r>
    </w:p>
    <w:p w:rsidR="00124A73" w:rsidRPr="00124A73" w:rsidRDefault="00124A73" w:rsidP="00124A73">
      <w:pPr>
        <w:rPr>
          <w:rFonts w:ascii="Arial" w:eastAsia="Times New Roman" w:hAnsi="Arial" w:cs="Arial"/>
          <w:sz w:val="20"/>
          <w:szCs w:val="20"/>
        </w:rPr>
      </w:pPr>
    </w:p>
    <w:p w:rsidR="00124A73" w:rsidRPr="00124A73" w:rsidRDefault="00124A73" w:rsidP="00124A73">
      <w:pPr>
        <w:rPr>
          <w:rFonts w:ascii="Arial" w:eastAsia="Times New Roman" w:hAnsi="Arial" w:cs="Arial"/>
          <w:sz w:val="20"/>
          <w:szCs w:val="20"/>
        </w:rPr>
      </w:pPr>
      <w:r w:rsidRPr="00124A73">
        <w:rPr>
          <w:rFonts w:ascii="Arial" w:eastAsia="Times New Roman" w:hAnsi="Arial" w:cs="Arial"/>
          <w:sz w:val="20"/>
          <w:szCs w:val="20"/>
        </w:rPr>
        <w:t xml:space="preserve">M67 is perhaps the best studied of </w:t>
      </w:r>
      <w:proofErr w:type="gramStart"/>
      <w:r w:rsidRPr="00124A73">
        <w:rPr>
          <w:rFonts w:ascii="Arial" w:eastAsia="Times New Roman" w:hAnsi="Arial" w:cs="Arial"/>
          <w:sz w:val="20"/>
          <w:szCs w:val="20"/>
        </w:rPr>
        <w:t>all star</w:t>
      </w:r>
      <w:proofErr w:type="gramEnd"/>
      <w:r w:rsidRPr="00124A73">
        <w:rPr>
          <w:rFonts w:ascii="Arial" w:eastAsia="Times New Roman" w:hAnsi="Arial" w:cs="Arial"/>
          <w:sz w:val="20"/>
          <w:szCs w:val="20"/>
        </w:rPr>
        <w:t xml:space="preserve"> clusters, either open or globular. Being at an age and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metallicity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very near solar, at an accessible distance of 850 pc with low reddening, and rich in content (over 1000 members including main-sequence dwarfs, a well populated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subgiant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branch and red giant branch, white dwarfs, blue stragglers, sub-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subgiants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>, X-ray sources and CVs), M67 is a corner</w:t>
      </w:r>
      <w:r>
        <w:rPr>
          <w:rFonts w:ascii="Arial" w:eastAsia="Times New Roman" w:hAnsi="Arial" w:cs="Arial"/>
          <w:sz w:val="20"/>
          <w:szCs w:val="20"/>
        </w:rPr>
        <w:t>stone of stellar astrophysics.</w:t>
      </w:r>
      <w:r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We comprise a strong and diverse research team that will use the proposed Campaign 5 long-cadence data for M67 to yield forefront findings across a wide array of domains of stellar astr</w:t>
      </w:r>
      <w:r>
        <w:rPr>
          <w:rFonts w:ascii="Arial" w:eastAsia="Times New Roman" w:hAnsi="Arial" w:cs="Arial"/>
          <w:sz w:val="20"/>
          <w:szCs w:val="20"/>
        </w:rPr>
        <w:t>ophysics. These will include:</w:t>
      </w:r>
      <w:r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 xml:space="preserve">" Searches for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exoplanet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signatures;</w:t>
      </w:r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 xml:space="preserve">" Red giant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asteroseismology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>;</w:t>
      </w:r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" Stellar evolution, including non-standard evolutionary paths (e.g., blue stragglers);</w:t>
      </w:r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" Stellar rotation and angular momentum evolution;</w:t>
      </w:r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" Stellar activity;</w:t>
      </w:r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" E</w:t>
      </w:r>
      <w:r>
        <w:rPr>
          <w:rFonts w:ascii="Arial" w:eastAsia="Times New Roman" w:hAnsi="Arial" w:cs="Arial"/>
          <w:sz w:val="20"/>
          <w:szCs w:val="20"/>
        </w:rPr>
        <w:t>clipsing binaries and beaming.</w:t>
      </w:r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The ability to observe M67 was a significant driver in motivating the K2 mission to the astronomical community and NASA. Indeed, M67 might be viewed as K2</w:t>
      </w:r>
      <w:r w:rsidRPr="00124A73">
        <w:rPr>
          <w:rFonts w:ascii="Arial" w:eastAsia="Times New Roman" w:hAnsi="Arial" w:cs="Arial"/>
          <w:sz w:val="20"/>
          <w:szCs w:val="20"/>
        </w:rPr>
        <w:t xml:space="preserve">s </w:t>
      </w:r>
      <w:r w:rsidRPr="00124A73">
        <w:rPr>
          <w:rFonts w:ascii="Arial" w:eastAsia="Times New Roman" w:hAnsi="Arial" w:cs="Arial"/>
          <w:sz w:val="20"/>
          <w:szCs w:val="20"/>
        </w:rPr>
        <w:t>Goldilocks</w:t>
      </w:r>
      <w:r w:rsidRPr="00124A73">
        <w:rPr>
          <w:rFonts w:ascii="Arial" w:eastAsia="Times New Roman" w:hAnsi="Arial" w:cs="Arial"/>
          <w:sz w:val="20"/>
          <w:szCs w:val="20"/>
        </w:rPr>
        <w:t xml:space="preserve"> cluster; the number of stars per unit area is perfectly matched to the </w:t>
      </w:r>
      <w:proofErr w:type="gramStart"/>
      <w:r w:rsidRPr="00124A73">
        <w:rPr>
          <w:rFonts w:ascii="Arial" w:eastAsia="Times New Roman" w:hAnsi="Arial" w:cs="Arial"/>
          <w:sz w:val="20"/>
          <w:szCs w:val="20"/>
        </w:rPr>
        <w:t xml:space="preserve">4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arcsec</w:t>
      </w:r>
      <w:proofErr w:type="spellEnd"/>
      <w:proofErr w:type="gramEnd"/>
      <w:r w:rsidRPr="00124A73">
        <w:rPr>
          <w:rFonts w:ascii="Arial" w:eastAsia="Times New Roman" w:hAnsi="Arial" w:cs="Arial"/>
          <w:sz w:val="20"/>
          <w:szCs w:val="20"/>
        </w:rPr>
        <w:t xml:space="preserve"> pixels, and yet not too crowded to allow good results on very faint members. A large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superaperture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augmented by targeted stars outside the cluster core will comprehensively and efficiently capture some 1400 likely cluster members. Targets of interest span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Kp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~ 8 to 20, the bright end being defined by evolved red giants for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asteroseismology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and the faint end being M dwarfs for which Hot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Jupiters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wil</w:t>
      </w:r>
      <w:r>
        <w:rPr>
          <w:rFonts w:ascii="Arial" w:eastAsia="Times New Roman" w:hAnsi="Arial" w:cs="Arial"/>
          <w:sz w:val="20"/>
          <w:szCs w:val="20"/>
        </w:rPr>
        <w:t>l still be easily detectable.</w:t>
      </w:r>
      <w:r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 xml:space="preserve">The team has strong expertise with time-series photometry and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in particular. We will provide state-of-the-art time series to the community </w:t>
      </w:r>
      <w:proofErr w:type="gramStart"/>
      <w:r w:rsidRPr="00124A73">
        <w:rPr>
          <w:rFonts w:ascii="Arial" w:eastAsia="Times New Roman" w:hAnsi="Arial" w:cs="Arial"/>
          <w:sz w:val="20"/>
          <w:szCs w:val="20"/>
        </w:rPr>
        <w:t>for  more</w:t>
      </w:r>
      <w:proofErr w:type="gramEnd"/>
      <w:r w:rsidRPr="00124A73">
        <w:rPr>
          <w:rFonts w:ascii="Arial" w:eastAsia="Times New Roman" w:hAnsi="Arial" w:cs="Arial"/>
          <w:sz w:val="20"/>
          <w:szCs w:val="20"/>
        </w:rPr>
        <w:t xml:space="preserve"> than 2,000 stars in the M67 field. Extractions using both simple aperture photometry and difference image analysis (the non-perfect guiding of K2 may provide data well- conditioned for the latter) will be performed, in addition to careful </w:t>
      </w:r>
      <w:proofErr w:type="spellStart"/>
      <w:r w:rsidRPr="00124A73">
        <w:rPr>
          <w:rFonts w:ascii="Arial" w:eastAsia="Times New Roman" w:hAnsi="Arial" w:cs="Arial"/>
          <w:sz w:val="20"/>
          <w:szCs w:val="20"/>
        </w:rPr>
        <w:t>detrending</w:t>
      </w:r>
      <w:proofErr w:type="spellEnd"/>
      <w:r w:rsidRPr="00124A73">
        <w:rPr>
          <w:rFonts w:ascii="Arial" w:eastAsia="Times New Roman" w:hAnsi="Arial" w:cs="Arial"/>
          <w:sz w:val="20"/>
          <w:szCs w:val="20"/>
        </w:rPr>
        <w:t xml:space="preserve"> of sys</w:t>
      </w:r>
      <w:r>
        <w:rPr>
          <w:rFonts w:ascii="Arial" w:eastAsia="Times New Roman" w:hAnsi="Arial" w:cs="Arial"/>
          <w:sz w:val="20"/>
          <w:szCs w:val="20"/>
        </w:rPr>
        <w:t xml:space="preserve">tematics in the time series. </w:t>
      </w:r>
      <w:r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 xml:space="preserve">This team also has assured access to a wide range of ground-based facilities, capabilities and data to follow-up K2 discoveries. The team leaders have extensive and successful experience with large international collaborations </w:t>
      </w:r>
      <w:r>
        <w:rPr>
          <w:rFonts w:ascii="Arial" w:eastAsia="Times New Roman" w:hAnsi="Arial" w:cs="Arial"/>
          <w:sz w:val="20"/>
          <w:szCs w:val="20"/>
        </w:rPr>
        <w:t>and major scientific projects.</w:t>
      </w:r>
      <w:bookmarkStart w:id="0" w:name="_GoBack"/>
      <w:bookmarkEnd w:id="0"/>
      <w:r w:rsidRPr="00124A73">
        <w:rPr>
          <w:rFonts w:ascii="Arial" w:eastAsia="Times New Roman" w:hAnsi="Arial" w:cs="Arial"/>
          <w:sz w:val="20"/>
          <w:szCs w:val="20"/>
        </w:rPr>
        <w:br/>
      </w:r>
      <w:r w:rsidRPr="00124A73">
        <w:rPr>
          <w:rFonts w:ascii="Arial" w:eastAsia="Times New Roman" w:hAnsi="Arial" w:cs="Arial"/>
          <w:sz w:val="20"/>
          <w:szCs w:val="20"/>
        </w:rPr>
        <w:br/>
        <w:t>We will make the best possible use that K2 observations of this key cluster can provide, both with targeting decisions, time series production for community use, and our own science results.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73"/>
    <w:rsid w:val="00124A73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Macintosh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2015-10-27T00:48:00Z</dcterms:created>
  <dcterms:modified xsi:type="dcterms:W3CDTF">2015-10-27T00:48:00Z</dcterms:modified>
</cp:coreProperties>
</file>