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6F" w:rsidRDefault="00AB456F" w:rsidP="00AB456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STARSPOT EVOLUTION ON ACTIVE LATE-TYPE STARS IN THE KEPLER FIELD</w:t>
      </w:r>
      <w:r>
        <w:rPr>
          <w:rFonts w:ascii="Arial" w:hAnsi="Arial" w:cs="Arial"/>
          <w:color w:val="000000"/>
          <w:sz w:val="18"/>
          <w:szCs w:val="18"/>
        </w:rPr>
        <w:br/>
        <w:t>Alexander Brown</w:t>
      </w:r>
      <w:r>
        <w:rPr>
          <w:rFonts w:ascii="Arial" w:hAnsi="Arial" w:cs="Arial"/>
          <w:color w:val="000000"/>
          <w:sz w:val="18"/>
          <w:szCs w:val="18"/>
        </w:rPr>
        <w:br/>
        <w:t>University of Colorado</w:t>
      </w:r>
      <w:r>
        <w:rPr>
          <w:rFonts w:ascii="Arial" w:hAnsi="Arial" w:cs="Arial"/>
          <w:color w:val="000000"/>
          <w:sz w:val="18"/>
          <w:szCs w:val="18"/>
        </w:rPr>
        <w:br/>
        <w:t>GO10012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AB456F" w:rsidRDefault="00AB456F" w:rsidP="00AB456F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Starspots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on late-type stars are a direct manifestation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photospheric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emergence of strong dynamo-generated magnetic fields. We propose to 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study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starspot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variability on 135 active stars that we have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indentified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from GALEX FUV+NUV imaging, and investigate how activity phenomena such as the growth and decay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starspots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differential rotation, activity cycles, and flaring operate on single and binary stars with a wide range of mass (and hence convection zone depth). This will hopefully allow us to constrain models of magnetic field generation and transport in the fast rotation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regime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any successful dynamo theory must be able to address.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6F"/>
    <w:rsid w:val="00AB456F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56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45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56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4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2015-10-20T18:30:00Z</dcterms:created>
  <dcterms:modified xsi:type="dcterms:W3CDTF">2015-10-20T18:30:00Z</dcterms:modified>
</cp:coreProperties>
</file>