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C2" w:rsidRDefault="001540C2" w:rsidP="001540C2">
      <w:pPr>
        <w:pStyle w:val="NormalWeb"/>
        <w:shd w:val="clear" w:color="auto" w:fill="FFFFFF"/>
        <w:rPr>
          <w:rFonts w:ascii="Arial" w:hAnsi="Arial" w:cs="Arial"/>
          <w:color w:val="000000"/>
          <w:sz w:val="18"/>
          <w:szCs w:val="18"/>
        </w:rPr>
      </w:pPr>
      <w:r>
        <w:rPr>
          <w:rFonts w:ascii="Arial" w:hAnsi="Arial" w:cs="Arial"/>
          <w:b/>
          <w:bCs/>
          <w:color w:val="000000"/>
          <w:sz w:val="18"/>
          <w:szCs w:val="18"/>
        </w:rPr>
        <w:t>DEVIATIONS FROM UNIFORM PERIOD SPACINGS OF GRAVITY MODES AS PROBES OF ROTATIONAL MIXING NEAR STELLAR CORES</w:t>
      </w:r>
      <w:r>
        <w:rPr>
          <w:rFonts w:ascii="Arial" w:hAnsi="Arial" w:cs="Arial"/>
          <w:color w:val="000000"/>
          <w:sz w:val="18"/>
          <w:szCs w:val="18"/>
        </w:rPr>
        <w:br/>
      </w:r>
      <w:proofErr w:type="spellStart"/>
      <w:r>
        <w:rPr>
          <w:rFonts w:ascii="Arial" w:hAnsi="Arial" w:cs="Arial"/>
          <w:color w:val="000000"/>
          <w:sz w:val="18"/>
          <w:szCs w:val="18"/>
        </w:rPr>
        <w:t>Conny</w:t>
      </w:r>
      <w:proofErr w:type="spellEnd"/>
      <w:r>
        <w:rPr>
          <w:rFonts w:ascii="Arial" w:hAnsi="Arial" w:cs="Arial"/>
          <w:color w:val="000000"/>
          <w:sz w:val="18"/>
          <w:szCs w:val="18"/>
        </w:rPr>
        <w:t xml:space="preserve"> </w:t>
      </w:r>
      <w:proofErr w:type="spellStart"/>
      <w:r>
        <w:rPr>
          <w:rFonts w:ascii="Arial" w:hAnsi="Arial" w:cs="Arial"/>
          <w:color w:val="000000"/>
          <w:sz w:val="18"/>
          <w:szCs w:val="18"/>
        </w:rPr>
        <w:t>Aerts</w:t>
      </w:r>
      <w:proofErr w:type="spellEnd"/>
      <w:r>
        <w:rPr>
          <w:rFonts w:ascii="Arial" w:hAnsi="Arial" w:cs="Arial"/>
          <w:color w:val="000000"/>
          <w:sz w:val="18"/>
          <w:szCs w:val="18"/>
        </w:rPr>
        <w:br/>
        <w:t>Leuven University</w:t>
      </w:r>
      <w:r>
        <w:rPr>
          <w:rFonts w:ascii="Arial" w:hAnsi="Arial" w:cs="Arial"/>
          <w:color w:val="000000"/>
          <w:sz w:val="18"/>
          <w:szCs w:val="18"/>
        </w:rPr>
        <w:br/>
        <w:t>GO30017</w:t>
      </w:r>
      <w:bookmarkStart w:id="0" w:name="_GoBack"/>
      <w:bookmarkEnd w:id="0"/>
      <w:r>
        <w:rPr>
          <w:rFonts w:ascii="Arial" w:hAnsi="Arial" w:cs="Arial"/>
          <w:color w:val="000000"/>
          <w:sz w:val="18"/>
          <w:szCs w:val="18"/>
        </w:rPr>
        <w:t xml:space="preserve"> </w:t>
      </w:r>
    </w:p>
    <w:p w:rsidR="001540C2" w:rsidRDefault="001540C2" w:rsidP="001540C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Our goal is to establish the simultaneous detection of uniform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and rotational frequency </w:t>
      </w:r>
      <w:proofErr w:type="spellStart"/>
      <w:r>
        <w:rPr>
          <w:rFonts w:ascii="Arial" w:hAnsi="Arial" w:cs="Arial"/>
          <w:color w:val="000000"/>
          <w:sz w:val="18"/>
          <w:szCs w:val="18"/>
        </w:rPr>
        <w:t>splittings</w:t>
      </w:r>
      <w:proofErr w:type="spellEnd"/>
      <w:r>
        <w:rPr>
          <w:rFonts w:ascii="Arial" w:hAnsi="Arial" w:cs="Arial"/>
          <w:color w:val="000000"/>
          <w:sz w:val="18"/>
          <w:szCs w:val="18"/>
        </w:rPr>
        <w:t xml:space="preserve"> of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gravity mode oscillations in a sample of carefully selected bright (i.e., </w:t>
      </w:r>
      <w:proofErr w:type="spellStart"/>
      <w:r>
        <w:rPr>
          <w:rFonts w:ascii="Arial" w:hAnsi="Arial" w:cs="Arial"/>
          <w:color w:val="000000"/>
          <w:sz w:val="18"/>
          <w:szCs w:val="18"/>
        </w:rPr>
        <w:t>Vmag</w:t>
      </w:r>
      <w:proofErr w:type="spellEnd"/>
      <w:r>
        <w:rPr>
          <w:rFonts w:ascii="Arial" w:hAnsi="Arial" w:cs="Arial"/>
          <w:color w:val="000000"/>
          <w:sz w:val="18"/>
          <w:szCs w:val="18"/>
        </w:rPr>
        <w:t xml:space="preserve"> below 13) F-type pulsating main-sequence stars, which are representative of massive host stars of </w:t>
      </w:r>
      <w:proofErr w:type="spellStart"/>
      <w:r>
        <w:rPr>
          <w:rFonts w:ascii="Arial" w:hAnsi="Arial" w:cs="Arial"/>
          <w:color w:val="000000"/>
          <w:sz w:val="18"/>
          <w:szCs w:val="18"/>
        </w:rPr>
        <w:t>exoplanetary</w:t>
      </w:r>
      <w:proofErr w:type="spellEnd"/>
      <w:r>
        <w:rPr>
          <w:rFonts w:ascii="Arial" w:hAnsi="Arial" w:cs="Arial"/>
          <w:color w:val="000000"/>
          <w:sz w:val="18"/>
          <w:szCs w:val="18"/>
        </w:rPr>
        <w:t xml:space="preserve"> systems,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satellite. This will allow </w:t>
      </w:r>
      <w:proofErr w:type="gramStart"/>
      <w:r>
        <w:rPr>
          <w:rFonts w:ascii="Arial" w:hAnsi="Arial" w:cs="Arial"/>
          <w:color w:val="000000"/>
          <w:sz w:val="18"/>
          <w:szCs w:val="18"/>
        </w:rPr>
        <w:t>to deduce</w:t>
      </w:r>
      <w:proofErr w:type="gramEnd"/>
      <w:r>
        <w:rPr>
          <w:rFonts w:ascii="Arial" w:hAnsi="Arial" w:cs="Arial"/>
          <w:color w:val="000000"/>
          <w:sz w:val="18"/>
          <w:szCs w:val="18"/>
        </w:rPr>
        <w:t xml:space="preserve"> if rotational mixing near the stellar core is the cause of deviations from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and/or if other yet unknown mixing processes occur. Additionally, we will determine the internal angular momentum distribution from the stellar core to the surface for all stars with rotational splitting. We plan to use the novel method we recently developed after the first detection such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of gravity modes of a main-sequence </w:t>
      </w:r>
      <w:proofErr w:type="spellStart"/>
      <w:r>
        <w:rPr>
          <w:rFonts w:ascii="Arial" w:hAnsi="Arial" w:cs="Arial"/>
          <w:color w:val="000000"/>
          <w:sz w:val="18"/>
          <w:szCs w:val="18"/>
        </w:rPr>
        <w:t>pulsator</w:t>
      </w:r>
      <w:proofErr w:type="spellEnd"/>
      <w:r>
        <w:rPr>
          <w:rFonts w:ascii="Arial" w:hAnsi="Arial" w:cs="Arial"/>
          <w:color w:val="000000"/>
          <w:sz w:val="18"/>
          <w:szCs w:val="18"/>
        </w:rPr>
        <w:t xml:space="preserve">, based on 150 consecutive days of high-precision space photometry gathered with the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satellite (</w:t>
      </w:r>
      <w:proofErr w:type="spellStart"/>
      <w:r>
        <w:rPr>
          <w:rFonts w:ascii="Arial" w:hAnsi="Arial" w:cs="Arial"/>
          <w:color w:val="000000"/>
          <w:sz w:val="18"/>
          <w:szCs w:val="18"/>
        </w:rPr>
        <w:t>Degroote</w:t>
      </w:r>
      <w:proofErr w:type="spellEnd"/>
      <w:r>
        <w:rPr>
          <w:rFonts w:ascii="Arial" w:hAnsi="Arial" w:cs="Arial"/>
          <w:color w:val="000000"/>
          <w:sz w:val="18"/>
          <w:szCs w:val="18"/>
        </w:rPr>
        <w:t xml:space="preserve"> et al., 2010, Nature, 464, 259). The small deviation from the spacing uniformity of the star HD50230 allowed </w:t>
      </w:r>
      <w:proofErr w:type="gramStart"/>
      <w:r>
        <w:rPr>
          <w:rFonts w:ascii="Arial" w:hAnsi="Arial" w:cs="Arial"/>
          <w:color w:val="000000"/>
          <w:sz w:val="18"/>
          <w:szCs w:val="18"/>
        </w:rPr>
        <w:t>to deduce</w:t>
      </w:r>
      <w:proofErr w:type="gramEnd"/>
      <w:r>
        <w:rPr>
          <w:rFonts w:ascii="Arial" w:hAnsi="Arial" w:cs="Arial"/>
          <w:color w:val="000000"/>
          <w:sz w:val="18"/>
          <w:szCs w:val="18"/>
        </w:rPr>
        <w:t xml:space="preserve"> the occurrence of a chemically inhomogeneous zone adjacent to the stellar core of this star. The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data have a too short time base to allow the additional detection of rotational splitting of the gravity modes. This prevented us to deduce the internal angular momentum distribution inside the star despite the readiness of the methodology. We shall overcome this limitation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for a sample of 72 F-type gravity 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discovered in the public Q1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This will provide a seismically calibrated law for the near-core mixing and angular momentum distribution in main sequence stars, thanks to their gravity </w:t>
      </w:r>
      <w:proofErr w:type="gramStart"/>
      <w:r>
        <w:rPr>
          <w:rFonts w:ascii="Arial" w:hAnsi="Arial" w:cs="Arial"/>
          <w:color w:val="000000"/>
          <w:sz w:val="18"/>
          <w:szCs w:val="18"/>
        </w:rPr>
        <w:t>modes which</w:t>
      </w:r>
      <w:proofErr w:type="gramEnd"/>
      <w:r>
        <w:rPr>
          <w:rFonts w:ascii="Arial" w:hAnsi="Arial" w:cs="Arial"/>
          <w:color w:val="000000"/>
          <w:sz w:val="18"/>
          <w:szCs w:val="18"/>
        </w:rPr>
        <w:t xml:space="preserve"> penetrate all the way from the core to the surface.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C2"/>
    <w:rsid w:val="001540C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0C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540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0C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54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88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Macintosh Word</Application>
  <DocSecurity>0</DocSecurity>
  <Lines>13</Lines>
  <Paragraphs>3</Paragraphs>
  <ScaleCrop>false</ScaleCrop>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2015-10-20T19:04:00Z</dcterms:created>
  <dcterms:modified xsi:type="dcterms:W3CDTF">2015-10-20T19:04:00Z</dcterms:modified>
</cp:coreProperties>
</file>