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43" w:rsidRDefault="00AD3E43" w:rsidP="00AD3E43">
      <w:pPr>
        <w:pStyle w:val="NormalWeb"/>
        <w:shd w:val="clear" w:color="auto" w:fill="FFFFFF"/>
        <w:rPr>
          <w:rFonts w:ascii="Arial" w:hAnsi="Arial" w:cs="Arial"/>
          <w:color w:val="000000"/>
          <w:sz w:val="18"/>
          <w:szCs w:val="18"/>
        </w:rPr>
      </w:pPr>
      <w:r>
        <w:rPr>
          <w:rFonts w:ascii="Arial" w:hAnsi="Arial" w:cs="Arial"/>
          <w:b/>
          <w:bCs/>
          <w:color w:val="000000"/>
          <w:sz w:val="18"/>
          <w:szCs w:val="18"/>
        </w:rPr>
        <w:t>USING NON-SINUSOIDAL LIGHT CURVES TO MAP THE CONVECTION ZONES OF GAMMA DORADUS VARIABLES</w:t>
      </w:r>
      <w:r>
        <w:rPr>
          <w:rFonts w:ascii="Arial" w:hAnsi="Arial" w:cs="Arial"/>
          <w:color w:val="000000"/>
          <w:sz w:val="18"/>
          <w:szCs w:val="18"/>
        </w:rPr>
        <w:br/>
        <w:t>Mike Montgomery</w:t>
      </w:r>
      <w:r>
        <w:rPr>
          <w:rFonts w:ascii="Arial" w:hAnsi="Arial" w:cs="Arial"/>
          <w:color w:val="000000"/>
          <w:sz w:val="18"/>
          <w:szCs w:val="18"/>
        </w:rPr>
        <w:br/>
        <w:t>University of Texas</w:t>
      </w:r>
      <w:r>
        <w:rPr>
          <w:rFonts w:ascii="Arial" w:hAnsi="Arial" w:cs="Arial"/>
          <w:color w:val="000000"/>
          <w:sz w:val="18"/>
          <w:szCs w:val="18"/>
        </w:rPr>
        <w:br/>
        <w:t>GO30033</w:t>
      </w:r>
      <w:bookmarkStart w:id="0" w:name="_GoBack"/>
      <w:bookmarkEnd w:id="0"/>
      <w:r>
        <w:rPr>
          <w:rFonts w:ascii="Arial" w:hAnsi="Arial" w:cs="Arial"/>
          <w:color w:val="000000"/>
          <w:sz w:val="18"/>
          <w:szCs w:val="18"/>
        </w:rPr>
        <w:t xml:space="preserve"> </w:t>
      </w:r>
    </w:p>
    <w:p w:rsidR="00AD3E43" w:rsidRDefault="00AD3E43" w:rsidP="00AD3E43">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use the nonlinearities present in the light curves of large-amplitude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variables to constrain the depth of their convection zones. The basis of this technique is the strong </w:t>
      </w:r>
      <w:proofErr w:type="spellStart"/>
      <w:r>
        <w:rPr>
          <w:rFonts w:ascii="Arial" w:hAnsi="Arial" w:cs="Arial"/>
          <w:color w:val="000000"/>
          <w:sz w:val="18"/>
          <w:szCs w:val="18"/>
        </w:rPr>
        <w:t>temeperature</w:t>
      </w:r>
      <w:proofErr w:type="spellEnd"/>
      <w:r>
        <w:rPr>
          <w:rFonts w:ascii="Arial" w:hAnsi="Arial" w:cs="Arial"/>
          <w:color w:val="000000"/>
          <w:sz w:val="18"/>
          <w:szCs w:val="18"/>
        </w:rPr>
        <w:t xml:space="preserve"> dependence of stellar convection zones: relatively small variations in the surface temperature due to pulsation can result in large changes in the size of the convection zone during a pulsation cycle, and this in turn introduces nonlinearities into the light curves. This technique has been successfully applied to pulsating white dwarf stars and should be straightforward to apply to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stars. In addition, we seek to monitor changes in the convection zones of these objects over multiple epochs. We therefore request continuing long-cadence observations for four such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stars in the upcoming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observing cycle. At present there are two competing proposed mechanisms concerning the source of mode driving based on completely different assumptions regarding the physics of convection in these objects; our analysis will help resolve this long-standing question. Finally, we note that our approach is one of only two techniques that can be used to measure the depth of the convection zone of a pulsating star, and it is the only one available for stars such as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w:t>
      </w:r>
      <w:proofErr w:type="gramStart"/>
      <w:r>
        <w:rPr>
          <w:rFonts w:ascii="Arial" w:hAnsi="Arial" w:cs="Arial"/>
          <w:color w:val="000000"/>
          <w:sz w:val="18"/>
          <w:szCs w:val="18"/>
        </w:rPr>
        <w:t>variables which</w:t>
      </w:r>
      <w:proofErr w:type="gramEnd"/>
      <w:r>
        <w:rPr>
          <w:rFonts w:ascii="Arial" w:hAnsi="Arial" w:cs="Arial"/>
          <w:color w:val="000000"/>
          <w:sz w:val="18"/>
          <w:szCs w:val="18"/>
        </w:rPr>
        <w:t xml:space="preserve"> have only a handful of excited modes. As a result, this investigation will provide important data with which to test the results of </w:t>
      </w:r>
      <w:proofErr w:type="spellStart"/>
      <w:r>
        <w:rPr>
          <w:rFonts w:ascii="Arial" w:hAnsi="Arial" w:cs="Arial"/>
          <w:color w:val="000000"/>
          <w:sz w:val="18"/>
          <w:szCs w:val="18"/>
        </w:rPr>
        <w:t>hydrodynamical</w:t>
      </w:r>
      <w:proofErr w:type="spellEnd"/>
      <w:r>
        <w:rPr>
          <w:rFonts w:ascii="Arial" w:hAnsi="Arial" w:cs="Arial"/>
          <w:color w:val="000000"/>
          <w:sz w:val="18"/>
          <w:szCs w:val="18"/>
        </w:rPr>
        <w:t xml:space="preserve"> simulations of convection in this part of the HR diagram.</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43"/>
    <w:rsid w:val="00AD3E4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3E4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D3E4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3E4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D3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52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1429</Characters>
  <Application>Microsoft Macintosh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2015-10-20T20:17:00Z</dcterms:created>
  <dcterms:modified xsi:type="dcterms:W3CDTF">2015-10-20T20:17:00Z</dcterms:modified>
</cp:coreProperties>
</file>