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
      </w:pPr>
      <w:r>
        <w:rPr>
          <w:rFonts w:ascii="Arial" w:cs="Arial" w:eastAsia="Arial" w:hAnsi="Arial"/>
          <w:b/>
          <w:bCs/>
          <w:color w:val="1A252F"/>
          <w:sz w:val="38"/>
          <w:szCs w:val="38"/>
        </w:rPr>
        <w:t xml:space="preserve">Test Plan — Fixed Income Case Study Pipeline</w:t>
      </w:r>
    </w:p>
    <w:p>
      <w:pPr>
        <w:spacing w:before="0" w:after="60"/>
      </w:pPr>
      <w:r>
        <w:rPr>
          <w:rFonts w:ascii="Arial" w:cs="Arial" w:eastAsia="Arial" w:hAnsi="Arial"/>
          <w:i/>
          <w:iCs/>
          <w:color w:val="7F8C8D"/>
          <w:sz w:val="20"/>
          <w:szCs w:val="20"/>
        </w:rPr>
        <w:t xml:space="preserve">28E00900 | Spring 2026  |  Salo · Rintala · Talasmaa</w:t>
      </w:r>
    </w:p>
    <w:p>
      <w:pPr>
        <w:spacing w:before="0" w:after="200"/>
      </w:pPr>
      <w:r>
        <w:rPr>
          <w:rFonts w:ascii="Arial" w:cs="Arial" w:eastAsia="Arial" w:hAnsi="Arial"/>
          <w:color w:val="7F8C8D"/>
          <w:sz w:val="19"/>
          <w:szCs w:val="19"/>
        </w:rPr>
        <w:t xml:space="preserve">Version 1.0  |  Run: </w:t>
      </w:r>
      <w:r>
        <w:rPr>
          <w:rFonts w:ascii="Courier New" w:cs="Courier New" w:eastAsia="Courier New" w:hAnsi="Courier New"/>
          <w:color w:val="1F618D"/>
          <w:sz w:val="19"/>
          <w:szCs w:val="19"/>
        </w:rPr>
        <w:t xml:space="preserve">pytest tests/test_pipeline.py -v</w:t>
      </w:r>
    </w:p>
    <w:p>
      <w:pPr>
        <w:pBdr>
          <w:bottom w:val="single" w:color="BDC3C7" w:sz="2" w:space="1"/>
        </w:pBdr>
        <w:spacing w:before="100" w:after="100"/>
      </w:pPr>
    </w:p>
    <w:p>
      <w:pPr>
        <w:pStyle w:val="Heading1"/>
        <w:pBdr>
          <w:bottom w:val="single" w:color="1F618D" w:sz="4" w:space="1"/>
        </w:pBdr>
        <w:spacing w:before="280" w:after="100"/>
      </w:pPr>
      <w:r>
        <w:rPr>
          <w:rFonts w:ascii="Arial" w:cs="Arial" w:eastAsia="Arial" w:hAnsi="Arial"/>
          <w:b/>
          <w:bCs/>
          <w:color w:val="1A252F"/>
          <w:sz w:val="26"/>
          <w:szCs w:val="26"/>
        </w:rPr>
        <w:t xml:space="preserve">1. Overview &amp; Philosophy</w:t>
      </w:r>
    </w:p>
    <w:p>
      <w:pPr>
        <w:spacing w:before="60" w:after="60"/>
      </w:pPr>
      <w:r>
        <w:rPr>
          <w:rFonts w:ascii="Arial" w:cs="Arial" w:eastAsia="Arial" w:hAnsi="Arial"/>
          <w:color w:val="1A252F"/>
          <w:sz w:val="19"/>
          <w:szCs w:val="19"/>
        </w:rPr>
        <w:t xml:space="preserve">This test plan covers both manual visual checks (done by a human looking at charts and numbers) and automated unit tests (run by pytest). The goal is not 100% coverage — it is to catch the specific failure modes most likely in a financial data pipeline: silent NaN bugs, formula errors, and wrong-direction results.</w:t>
      </w:r>
    </w:p>
    <w:p>
      <w:pPr>
        <w:spacing w:before="0" w:after="0"/>
      </w:pPr>
      <w:r>
        <w:rPr>
          <w:sz w:val="8"/>
          <w:szCs w:val="8"/>
        </w:rPr>
        <w:t xml:space="preserve"/>
      </w:r>
    </w:p>
    <w:p>
      <w:pPr>
        <w:pBdr>
          <w:left w:val="single" w:color="1F618D" w:sz="10" w:space="8"/>
        </w:pBdr>
        <w:shd w:fill="EBF5FB" w:val="clear"/>
        <w:spacing w:before="80" w:after="80"/>
        <w:ind w:left="400"/>
      </w:pPr>
      <w:r>
        <w:rPr>
          <w:rFonts w:ascii="Arial" w:cs="Arial" w:eastAsia="Arial" w:hAnsi="Arial"/>
          <w:i/>
          <w:iCs/>
          <w:color w:val="1A252F"/>
          <w:sz w:val="19"/>
          <w:szCs w:val="19"/>
        </w:rPr>
        <w:t xml:space="preserve">Rule of thumb: if a test would catch a bug that costs more than 30 minutes to find manually, write the test. If it would only catch something obvious from looking at the output, skip it.</w:t>
      </w:r>
    </w:p>
    <w:p>
      <w:pPr>
        <w:spacing w:before="0" w:after="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480"/>
        <w:gridCol w:w="2480"/>
      </w:tblGrid>
      <w:tr>
        <w:tc>
          <w:tcPr>
            <w:tcW w:type="dxa" w:w="2200"/>
            <w:tcBorders>
              <w:top w:val="single" w:color="BDC3C7" w:sz="1"/>
              <w:left w:val="single" w:color="BDC3C7" w:sz="1"/>
              <w:bottom w:val="single" w:color="BDC3C7" w:sz="1"/>
              <w:right w:val="single" w:color="BDC3C7" w:sz="1"/>
            </w:tcBorders>
            <w:shd w:fill="1A252F" w:val="clear"/>
            <w:tcMar>
              <w:top w:type="dxa" w:w="60"/>
              <w:left w:type="dxa" w:w="100"/>
              <w:bottom w:type="dxa" w:w="60"/>
              <w:right w:type="dxa" w:w="100"/>
            </w:tcMar>
          </w:tcPr>
          <w:p>
            <w:r>
              <w:rPr>
                <w:rFonts w:ascii="Arial" w:cs="Arial" w:eastAsia="Arial" w:hAnsi="Arial"/>
                <w:b/>
                <w:bCs/>
                <w:color w:val="FFFFFF"/>
                <w:sz w:val="18"/>
                <w:szCs w:val="18"/>
              </w:rPr>
              <w:t xml:space="preserve">Test type</w:t>
            </w:r>
          </w:p>
        </w:tc>
        <w:tc>
          <w:tcPr>
            <w:tcW w:type="dxa" w:w="3200"/>
            <w:tcBorders>
              <w:top w:val="single" w:color="BDC3C7" w:sz="1"/>
              <w:left w:val="single" w:color="BDC3C7" w:sz="1"/>
              <w:bottom w:val="single" w:color="BDC3C7" w:sz="1"/>
              <w:right w:val="single" w:color="BDC3C7" w:sz="1"/>
            </w:tcBorders>
            <w:shd w:fill="1A252F" w:val="clear"/>
            <w:tcMar>
              <w:top w:type="dxa" w:w="60"/>
              <w:left w:type="dxa" w:w="100"/>
              <w:bottom w:type="dxa" w:w="60"/>
              <w:right w:type="dxa" w:w="100"/>
            </w:tcMar>
          </w:tcPr>
          <w:p>
            <w:r>
              <w:rPr>
                <w:rFonts w:ascii="Arial" w:cs="Arial" w:eastAsia="Arial" w:hAnsi="Arial"/>
                <w:b/>
                <w:bCs/>
                <w:color w:val="FFFFFF"/>
                <w:sz w:val="18"/>
                <w:szCs w:val="18"/>
              </w:rPr>
              <w:t xml:space="preserve">What it catches</w:t>
            </w:r>
          </w:p>
        </w:tc>
        <w:tc>
          <w:tcPr>
            <w:tcW w:type="dxa" w:w="1480"/>
            <w:tcBorders>
              <w:top w:val="single" w:color="BDC3C7" w:sz="1"/>
              <w:left w:val="single" w:color="BDC3C7" w:sz="1"/>
              <w:bottom w:val="single" w:color="BDC3C7" w:sz="1"/>
              <w:right w:val="single" w:color="BDC3C7" w:sz="1"/>
            </w:tcBorders>
            <w:shd w:fill="1A252F" w:val="clear"/>
            <w:tcMar>
              <w:top w:type="dxa" w:w="60"/>
              <w:left w:type="dxa" w:w="100"/>
              <w:bottom w:type="dxa" w:w="60"/>
              <w:right w:type="dxa" w:w="100"/>
            </w:tcMar>
          </w:tcPr>
          <w:p>
            <w:r>
              <w:rPr>
                <w:rFonts w:ascii="Arial" w:cs="Arial" w:eastAsia="Arial" w:hAnsi="Arial"/>
                <w:b/>
                <w:bCs/>
                <w:color w:val="FFFFFF"/>
                <w:sz w:val="18"/>
                <w:szCs w:val="18"/>
              </w:rPr>
              <w:t xml:space="preserve">Time to run</w:t>
            </w:r>
          </w:p>
        </w:tc>
        <w:tc>
          <w:tcPr>
            <w:tcW w:type="dxa" w:w="2480"/>
            <w:tcBorders>
              <w:top w:val="single" w:color="BDC3C7" w:sz="1"/>
              <w:left w:val="single" w:color="BDC3C7" w:sz="1"/>
              <w:bottom w:val="single" w:color="BDC3C7" w:sz="1"/>
              <w:right w:val="single" w:color="BDC3C7" w:sz="1"/>
            </w:tcBorders>
            <w:shd w:fill="1A252F" w:val="clear"/>
            <w:tcMar>
              <w:top w:type="dxa" w:w="60"/>
              <w:left w:type="dxa" w:w="100"/>
              <w:bottom w:type="dxa" w:w="60"/>
              <w:right w:type="dxa" w:w="100"/>
            </w:tcMar>
          </w:tcPr>
          <w:p>
            <w:r>
              <w:rPr>
                <w:rFonts w:ascii="Arial" w:cs="Arial" w:eastAsia="Arial" w:hAnsi="Arial"/>
                <w:b/>
                <w:bCs/>
                <w:color w:val="FFFFFF"/>
                <w:sz w:val="18"/>
                <w:szCs w:val="18"/>
              </w:rPr>
              <w:t xml:space="preserve">When to run</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Manual visual (Part 2)</w:t>
            </w:r>
          </w:p>
        </w:tc>
        <w:tc>
          <w:tcPr>
            <w:tcW w:type="dxa" w:w="3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Chart looks wrong, surprising numbers, obvious data gaps</w:t>
            </w:r>
          </w:p>
        </w:tc>
        <w:tc>
          <w:tcPr>
            <w:tcW w:type="dxa" w:w="14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~1 hour</w:t>
            </w:r>
          </w:p>
        </w:tc>
        <w:tc>
          <w:tcPr>
            <w:tcW w:type="dxa" w:w="24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Before submission</w:t>
            </w:r>
          </w:p>
        </w:tc>
      </w:tr>
      <w:tr>
        <w:tc>
          <w:tcPr>
            <w:tcW w:type="dxa" w:w="22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Automated unit tests (Part 3)</w:t>
            </w:r>
          </w:p>
        </w:tc>
        <w:tc>
          <w:tcPr>
            <w:tcW w:type="dxa" w:w="32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Formula errors, NaN bugs, index misalignment, regression drift</w:t>
            </w:r>
          </w:p>
        </w:tc>
        <w:tc>
          <w:tcPr>
            <w:tcW w:type="dxa" w:w="148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~2 minutes</w:t>
            </w:r>
          </w:p>
        </w:tc>
        <w:tc>
          <w:tcPr>
            <w:tcW w:type="dxa" w:w="248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After any code change</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Smoke tests (Part 3, Section 6)</w:t>
            </w:r>
          </w:p>
        </w:tc>
        <w:tc>
          <w:tcPr>
            <w:tcW w:type="dxa" w:w="3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Module crashes, missing functions, import errors</w:t>
            </w:r>
          </w:p>
        </w:tc>
        <w:tc>
          <w:tcPr>
            <w:tcW w:type="dxa" w:w="14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~30 seconds</w:t>
            </w:r>
          </w:p>
        </w:tc>
        <w:tc>
          <w:tcPr>
            <w:tcW w:type="dxa" w:w="24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After any code change</w:t>
            </w:r>
          </w:p>
        </w:tc>
      </w:tr>
    </w:tbl>
    <w:p>
      <w:pPr>
        <w:spacing w:before="200" w:after="0"/>
      </w:pPr>
    </w:p>
    <w:p>
      <w:pPr>
        <w:pStyle w:val="Heading1"/>
        <w:pBdr>
          <w:bottom w:val="single" w:color="1F618D" w:sz="4" w:space="1"/>
        </w:pBdr>
        <w:spacing w:before="280" w:after="100"/>
      </w:pPr>
      <w:r>
        <w:rPr>
          <w:rFonts w:ascii="Arial" w:cs="Arial" w:eastAsia="Arial" w:hAnsi="Arial"/>
          <w:b/>
          <w:bCs/>
          <w:color w:val="1A252F"/>
          <w:sz w:val="26"/>
          <w:szCs w:val="26"/>
        </w:rPr>
        <w:t xml:space="preserve">2. Risk Register — What Can Go Wrong</w:t>
      </w:r>
    </w:p>
    <w:p>
      <w:pPr>
        <w:spacing w:before="60" w:after="60"/>
      </w:pPr>
      <w:r>
        <w:rPr>
          <w:rFonts w:ascii="Arial" w:cs="Arial" w:eastAsia="Arial" w:hAnsi="Arial"/>
          <w:color w:val="1A252F"/>
          <w:sz w:val="19"/>
          <w:szCs w:val="19"/>
        </w:rPr>
        <w:t xml:space="preserve">These are the specific failure modes this test plan is designed to catch, ranked by likelihood and impact.</w:t>
      </w:r>
    </w:p>
    <w:p>
      <w:pPr>
        <w:spacing w:before="0" w:after="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960"/>
      </w:tblGrid>
      <w:tr>
        <w:tc>
          <w:tcPr>
            <w:tcW w:type="dxa" w:w="2800"/>
            <w:tcBorders>
              <w:top w:val="single" w:color="BDC3C7" w:sz="1"/>
              <w:left w:val="single" w:color="BDC3C7" w:sz="1"/>
              <w:bottom w:val="single" w:color="BDC3C7" w:sz="1"/>
              <w:right w:val="single" w:color="BDC3C7" w:sz="1"/>
            </w:tcBorders>
            <w:shd w:fill="1A252F" w:val="clear"/>
            <w:tcMar>
              <w:top w:type="dxa" w:w="60"/>
              <w:left w:type="dxa" w:w="100"/>
              <w:bottom w:type="dxa" w:w="60"/>
              <w:right w:type="dxa" w:w="100"/>
            </w:tcMar>
          </w:tcPr>
          <w:p>
            <w:r>
              <w:rPr>
                <w:rFonts w:ascii="Arial" w:cs="Arial" w:eastAsia="Arial" w:hAnsi="Arial"/>
                <w:b/>
                <w:bCs/>
                <w:color w:val="FFFFFF"/>
                <w:sz w:val="18"/>
                <w:szCs w:val="18"/>
              </w:rPr>
              <w:t xml:space="preserve">Risk</w:t>
            </w:r>
          </w:p>
        </w:tc>
        <w:tc>
          <w:tcPr>
            <w:tcW w:type="dxa" w:w="1800"/>
            <w:tcBorders>
              <w:top w:val="single" w:color="BDC3C7" w:sz="1"/>
              <w:left w:val="single" w:color="BDC3C7" w:sz="1"/>
              <w:bottom w:val="single" w:color="BDC3C7" w:sz="1"/>
              <w:right w:val="single" w:color="BDC3C7" w:sz="1"/>
            </w:tcBorders>
            <w:shd w:fill="1A252F" w:val="clear"/>
            <w:tcMar>
              <w:top w:type="dxa" w:w="60"/>
              <w:left w:type="dxa" w:w="100"/>
              <w:bottom w:type="dxa" w:w="60"/>
              <w:right w:type="dxa" w:w="100"/>
            </w:tcMar>
          </w:tcPr>
          <w:p>
            <w:r>
              <w:rPr>
                <w:rFonts w:ascii="Arial" w:cs="Arial" w:eastAsia="Arial" w:hAnsi="Arial"/>
                <w:b/>
                <w:bCs/>
                <w:color w:val="FFFFFF"/>
                <w:sz w:val="18"/>
                <w:szCs w:val="18"/>
              </w:rPr>
              <w:t xml:space="preserve">Likelihood</w:t>
            </w:r>
          </w:p>
        </w:tc>
        <w:tc>
          <w:tcPr>
            <w:tcW w:type="dxa" w:w="1800"/>
            <w:tcBorders>
              <w:top w:val="single" w:color="BDC3C7" w:sz="1"/>
              <w:left w:val="single" w:color="BDC3C7" w:sz="1"/>
              <w:bottom w:val="single" w:color="BDC3C7" w:sz="1"/>
              <w:right w:val="single" w:color="BDC3C7" w:sz="1"/>
            </w:tcBorders>
            <w:shd w:fill="1A252F" w:val="clear"/>
            <w:tcMar>
              <w:top w:type="dxa" w:w="60"/>
              <w:left w:type="dxa" w:w="100"/>
              <w:bottom w:type="dxa" w:w="60"/>
              <w:right w:type="dxa" w:w="100"/>
            </w:tcMar>
          </w:tcPr>
          <w:p>
            <w:r>
              <w:rPr>
                <w:rFonts w:ascii="Arial" w:cs="Arial" w:eastAsia="Arial" w:hAnsi="Arial"/>
                <w:b/>
                <w:bCs/>
                <w:color w:val="FFFFFF"/>
                <w:sz w:val="18"/>
                <w:szCs w:val="18"/>
              </w:rPr>
              <w:t xml:space="preserve">Impact</w:t>
            </w:r>
          </w:p>
        </w:tc>
        <w:tc>
          <w:tcPr>
            <w:tcW w:type="dxa" w:w="2960"/>
            <w:tcBorders>
              <w:top w:val="single" w:color="BDC3C7" w:sz="1"/>
              <w:left w:val="single" w:color="BDC3C7" w:sz="1"/>
              <w:bottom w:val="single" w:color="BDC3C7" w:sz="1"/>
              <w:right w:val="single" w:color="BDC3C7" w:sz="1"/>
            </w:tcBorders>
            <w:shd w:fill="1A252F" w:val="clear"/>
            <w:tcMar>
              <w:top w:type="dxa" w:w="60"/>
              <w:left w:type="dxa" w:w="100"/>
              <w:bottom w:type="dxa" w:w="60"/>
              <w:right w:type="dxa" w:w="100"/>
            </w:tcMar>
          </w:tcPr>
          <w:p>
            <w:r>
              <w:rPr>
                <w:rFonts w:ascii="Arial" w:cs="Arial" w:eastAsia="Arial" w:hAnsi="Arial"/>
                <w:b/>
                <w:bCs/>
                <w:color w:val="FFFFFF"/>
                <w:sz w:val="18"/>
                <w:szCs w:val="18"/>
              </w:rPr>
              <w:t xml:space="preserve">Caught by</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Date index misalignment (NaN bug)</w:t>
            </w:r>
          </w:p>
        </w:tc>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High — already occurred once</w:t>
            </w:r>
          </w:p>
        </w:tc>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High — all Q5 results wrong</w:t>
            </w:r>
          </w:p>
        </w:tc>
        <w:tc>
          <w:tcPr>
            <w:tcW w:type="dxa" w:w="29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TestDataAlignment</w:t>
            </w:r>
          </w:p>
        </w:tc>
      </w:tr>
      <w:tr>
        <w:tc>
          <w:tcPr>
            <w:tcW w:type="dxa" w:w="28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Log return formula error (wrong base)</w:t>
            </w:r>
          </w:p>
        </w:tc>
        <w:tc>
          <w:tcPr>
            <w:tcW w:type="dxa" w:w="18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Medium</w:t>
            </w:r>
          </w:p>
        </w:tc>
        <w:tc>
          <w:tcPr>
            <w:tcW w:type="dxa" w:w="18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High — all returns wrong</w:t>
            </w:r>
          </w:p>
        </w:tc>
        <w:tc>
          <w:tcPr>
            <w:tcW w:type="dxa" w:w="296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TestReturnCalculations</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Forward rate formula typo</w:t>
            </w:r>
          </w:p>
        </w:tc>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Medium</w:t>
            </w:r>
          </w:p>
        </w:tc>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High — Q2 results wrong</w:t>
            </w:r>
          </w:p>
        </w:tc>
        <w:tc>
          <w:tcPr>
            <w:tcW w:type="dxa" w:w="29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TestForwardRates</w:t>
            </w:r>
          </w:p>
        </w:tc>
      </w:tr>
      <w:tr>
        <w:tc>
          <w:tcPr>
            <w:tcW w:type="dxa" w:w="28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Wrong shift() direction in Q2</w:t>
            </w:r>
          </w:p>
        </w:tc>
        <w:tc>
          <w:tcPr>
            <w:tcW w:type="dxa" w:w="18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Medium</w:t>
            </w:r>
          </w:p>
        </w:tc>
        <w:tc>
          <w:tcPr>
            <w:tcW w:type="dxa" w:w="18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High — regression reversed</w:t>
            </w:r>
          </w:p>
        </w:tc>
        <w:tc>
          <w:tcPr>
            <w:tcW w:type="dxa" w:w="296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TestForwardRates</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ETF data not adjusted for dividends</w:t>
            </w:r>
          </w:p>
        </w:tc>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Low (auto_adjust=True)</w:t>
            </w:r>
          </w:p>
        </w:tc>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High — spurious return crashes</w:t>
            </w:r>
          </w:p>
        </w:tc>
        <w:tc>
          <w:tcPr>
            <w:tcW w:type="dxa" w:w="29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TestReturnCalculations</w:t>
            </w:r>
          </w:p>
        </w:tc>
      </w:tr>
      <w:tr>
        <w:tc>
          <w:tcPr>
            <w:tcW w:type="dxa" w:w="28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Portfolio weights not summing to 1</w:t>
            </w:r>
          </w:p>
        </w:tc>
        <w:tc>
          <w:tcPr>
            <w:tcW w:type="dxa" w:w="18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Low</w:t>
            </w:r>
          </w:p>
        </w:tc>
        <w:tc>
          <w:tcPr>
            <w:tcW w:type="dxa" w:w="18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Medium — returns biased</w:t>
            </w:r>
          </w:p>
        </w:tc>
        <w:tc>
          <w:tcPr>
            <w:tcW w:type="dxa" w:w="296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TestPortfolioStats</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Annualisation factor wrong (*12 vs *252)</w:t>
            </w:r>
          </w:p>
        </w:tc>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Low</w:t>
            </w:r>
          </w:p>
        </w:tc>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Medium — stats off by factor</w:t>
            </w:r>
          </w:p>
        </w:tc>
        <w:tc>
          <w:tcPr>
            <w:tcW w:type="dxa" w:w="29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TestPortfolioStats</w:t>
            </w:r>
          </w:p>
        </w:tc>
      </w:tr>
      <w:tr>
        <w:tc>
          <w:tcPr>
            <w:tcW w:type="dxa" w:w="28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Silent NaN in regression data</w:t>
            </w:r>
          </w:p>
        </w:tc>
        <w:tc>
          <w:tcPr>
            <w:tcW w:type="dxa" w:w="18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Medium</w:t>
            </w:r>
          </w:p>
        </w:tc>
        <w:tc>
          <w:tcPr>
            <w:tcW w:type="dxa" w:w="18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Medium — fewer observations</w:t>
            </w:r>
          </w:p>
        </w:tc>
        <w:tc>
          <w:tcPr>
            <w:tcW w:type="dxa" w:w="296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TestDataIntegrity</w:t>
            </w:r>
          </w:p>
        </w:tc>
      </w:tr>
    </w:tbl>
    <w:p>
      <w:pPr>
        <w:spacing w:before="200" w:after="0"/>
      </w:pPr>
    </w:p>
    <w:p>
      <w:pPr>
        <w:pStyle w:val="Heading1"/>
        <w:pBdr>
          <w:bottom w:val="single" w:color="1F618D" w:sz="4" w:space="1"/>
        </w:pBdr>
        <w:spacing w:before="280" w:after="100"/>
      </w:pPr>
      <w:r>
        <w:rPr>
          <w:rFonts w:ascii="Arial" w:cs="Arial" w:eastAsia="Arial" w:hAnsi="Arial"/>
          <w:b/>
          <w:bCs/>
          <w:color w:val="1A252F"/>
          <w:sz w:val="26"/>
          <w:szCs w:val="26"/>
        </w:rPr>
        <w:t xml:space="preserve">3. Manual Visual Checks</w:t>
      </w:r>
    </w:p>
    <w:p>
      <w:pPr>
        <w:spacing w:before="60" w:after="60"/>
      </w:pPr>
      <w:r>
        <w:rPr>
          <w:rFonts w:ascii="Arial" w:cs="Arial" w:eastAsia="Arial" w:hAnsi="Arial"/>
          <w:color w:val="1A252F"/>
          <w:sz w:val="19"/>
          <w:szCs w:val="19"/>
        </w:rPr>
        <w:t xml:space="preserve">These are checks you perform by looking at charts and numbers. Each check should take 1-3 minutes. Total time: approximately 45-60 minutes. Do these once before submission.</w:t>
      </w:r>
    </w:p>
    <w:p>
      <w:pPr>
        <w:pStyle w:val="Heading2"/>
        <w:spacing w:before="200" w:after="80"/>
      </w:pPr>
      <w:r>
        <w:rPr>
          <w:rFonts w:ascii="Arial" w:cs="Arial" w:eastAsia="Arial" w:hAnsi="Arial"/>
          <w:b/>
          <w:bCs/>
          <w:color w:val="1F618D"/>
          <w:sz w:val="22"/>
          <w:szCs w:val="22"/>
        </w:rPr>
        <w:t xml:space="preserve">3.1 Q1 — Yield Curve Charts</w:t>
      </w:r>
    </w:p>
    <w:p>
      <w:pPr>
        <w:pBdr>
          <w:left w:val="single" w:color="7F8C8D" w:sz="10" w:space="8"/>
        </w:pBdr>
        <w:shd w:fill="F4F6F7" w:val="clear"/>
        <w:spacing w:before="80" w:after="80"/>
        <w:ind w:left="400"/>
      </w:pPr>
      <w:r>
        <w:rPr>
          <w:rFonts w:ascii="Arial" w:cs="Arial" w:eastAsia="Arial" w:hAnsi="Arial"/>
          <w:i/>
          <w:iCs/>
          <w:color w:val="1A252F"/>
          <w:sz w:val="19"/>
          <w:szCs w:val="19"/>
        </w:rPr>
        <w:t xml:space="preserve">Open: outputs/Q1_rate_levels.png, Q1_curve_slope.png, Q1_avg_curves_by_subperiod.png, Q1_heatmap.png</w:t>
      </w:r>
    </w:p>
    <w:p>
      <w:pPr>
        <w:spacing w:before="0" w:after="0"/>
      </w:pPr>
      <w:r>
        <w:rPr>
          <w:sz w:val="8"/>
          <w:szCs w:val="8"/>
        </w:rPr>
        <w:t xml:space="preserve"/>
      </w:r>
    </w:p>
    <w:p>
      <w:pPr>
        <w:pStyle w:val="ListParagraph"/>
        <w:numPr>
          <w:ilvl w:val="0"/>
          <w:numId w:val="2"/>
        </w:numPr>
        <w:spacing w:before="40" w:after="40"/>
      </w:pPr>
      <w:r>
        <w:rPr>
          <w:rFonts w:ascii="Arial" w:cs="Arial" w:eastAsia="Arial" w:hAnsi="Arial"/>
          <w:b/>
          <w:bCs/>
          <w:sz w:val="19"/>
          <w:szCs w:val="19"/>
        </w:rPr>
        <w:t xml:space="preserve">Rate levels chart: </w:t>
      </w:r>
      <w:r>
        <w:rPr>
          <w:rFonts w:ascii="Arial" w:cs="Arial" w:eastAsia="Arial" w:hAnsi="Arial"/>
          <w:sz w:val="19"/>
          <w:szCs w:val="19"/>
        </w:rPr>
        <w:t xml:space="preserve">2Y, 5Y, 10Y should all show a clear decline from ~4% in 2004-2007 to negative values around 2016-2020, then a sharp rise in 2022. If any line is flat or missing, the data is wrong.</w:t>
      </w:r>
    </w:p>
    <w:p>
      <w:pPr>
        <w:pStyle w:val="ListParagraph"/>
        <w:numPr>
          <w:ilvl w:val="0"/>
          <w:numId w:val="2"/>
        </w:numPr>
        <w:spacing w:before="40" w:after="40"/>
      </w:pPr>
      <w:r>
        <w:rPr>
          <w:rFonts w:ascii="Arial" w:cs="Arial" w:eastAsia="Arial" w:hAnsi="Arial"/>
          <w:b/>
          <w:bCs/>
          <w:sz w:val="19"/>
          <w:szCs w:val="19"/>
        </w:rPr>
        <w:t xml:space="preserve">Curve slope chart: </w:t>
      </w:r>
      <w:r>
        <w:rPr>
          <w:rFonts w:ascii="Arial" w:cs="Arial" w:eastAsia="Arial" w:hAnsi="Arial"/>
          <w:sz w:val="19"/>
          <w:szCs w:val="19"/>
        </w:rPr>
        <w:t xml:space="preserve">Should be positive most of the time (upward sloping), go deeply negative around 2022-2023 (inversion), and show a large positive spike around 2009 (steep curve post-Lehman). The red fill should appear in 2022-2023.</w:t>
      </w:r>
    </w:p>
    <w:p>
      <w:pPr>
        <w:pStyle w:val="ListParagraph"/>
        <w:numPr>
          <w:ilvl w:val="0"/>
          <w:numId w:val="2"/>
        </w:numPr>
        <w:spacing w:before="40" w:after="40"/>
      </w:pPr>
      <w:r>
        <w:rPr>
          <w:rFonts w:ascii="Arial" w:cs="Arial" w:eastAsia="Arial" w:hAnsi="Arial"/>
          <w:b/>
          <w:bCs/>
          <w:sz w:val="19"/>
          <w:szCs w:val="19"/>
        </w:rPr>
        <w:t xml:space="preserve">Average curves chart: </w:t>
      </w:r>
      <w:r>
        <w:rPr>
          <w:rFonts w:ascii="Arial" w:cs="Arial" w:eastAsia="Arial" w:hAnsi="Arial"/>
          <w:sz w:val="19"/>
          <w:szCs w:val="19"/>
        </w:rPr>
        <w:t xml:space="preserve">QE Era curve (red) should be the lowest, sitting below zero at the short end. Hiking Cycle (brown) should look flat or slightly inverted. GFC curves should be higher overall. If curves are crossing in unexpected ways, check sub-period dates in config.py.</w:t>
      </w:r>
    </w:p>
    <w:p>
      <w:pPr>
        <w:pStyle w:val="ListParagraph"/>
        <w:numPr>
          <w:ilvl w:val="0"/>
          <w:numId w:val="2"/>
        </w:numPr>
        <w:spacing w:before="40" w:after="40"/>
      </w:pPr>
      <w:r>
        <w:rPr>
          <w:rFonts w:ascii="Arial" w:cs="Arial" w:eastAsia="Arial" w:hAnsi="Arial"/>
          <w:b/>
          <w:bCs/>
          <w:sz w:val="19"/>
          <w:szCs w:val="19"/>
        </w:rPr>
        <w:t xml:space="preserve">Heatmap: </w:t>
      </w:r>
      <w:r>
        <w:rPr>
          <w:rFonts w:ascii="Arial" w:cs="Arial" w:eastAsia="Arial" w:hAnsi="Arial"/>
          <w:sz w:val="19"/>
          <w:szCs w:val="19"/>
        </w:rPr>
        <w:t xml:space="preserve">Should show a clear transition from red/orange (2004-2008, high rates) to deep green (2015-2021, negative/near-zero rates) back to orange/yellow (2022+). The bottom rows (longer maturities) should be redder than the top rows in most periods.</w:t>
      </w:r>
    </w:p>
    <w:p>
      <w:pPr>
        <w:pStyle w:val="Heading2"/>
        <w:spacing w:before="200" w:after="80"/>
      </w:pPr>
      <w:r>
        <w:rPr>
          <w:rFonts w:ascii="Arial" w:cs="Arial" w:eastAsia="Arial" w:hAnsi="Arial"/>
          <w:b/>
          <w:bCs/>
          <w:color w:val="1F618D"/>
          <w:sz w:val="22"/>
          <w:szCs w:val="22"/>
        </w:rPr>
        <w:t xml:space="preserve">3.2 Q2 — Forward Rate Results</w:t>
      </w:r>
    </w:p>
    <w:p>
      <w:pPr>
        <w:pBdr>
          <w:left w:val="single" w:color="7F8C8D" w:sz="10" w:space="8"/>
        </w:pBdr>
        <w:shd w:fill="F4F6F7" w:val="clear"/>
        <w:spacing w:before="80" w:after="80"/>
        <w:ind w:left="400"/>
      </w:pPr>
      <w:r>
        <w:rPr>
          <w:rFonts w:ascii="Arial" w:cs="Arial" w:eastAsia="Arial" w:hAnsi="Arial"/>
          <w:i/>
          <w:iCs/>
          <w:color w:val="1A252F"/>
          <w:sz w:val="19"/>
          <w:szCs w:val="19"/>
        </w:rPr>
        <w:t xml:space="preserve">Check console output first, then open: outputs/Q2_scatter.png, Q2_timeseries.png, Q2_regression_table.png</w:t>
      </w:r>
    </w:p>
    <w:p>
      <w:pPr>
        <w:spacing w:before="0" w:after="0"/>
      </w:pPr>
      <w:r>
        <w:rPr>
          <w:sz w:val="8"/>
          <w:szCs w:val="8"/>
        </w:rPr>
        <w:t xml:space="preserve"/>
      </w:r>
    </w:p>
    <w:p>
      <w:pPr>
        <w:pStyle w:val="ListParagraph"/>
        <w:numPr>
          <w:ilvl w:val="0"/>
          <w:numId w:val="2"/>
        </w:numPr>
        <w:spacing w:before="40" w:after="40"/>
      </w:pPr>
      <w:r>
        <w:rPr>
          <w:rFonts w:ascii="Arial" w:cs="Arial" w:eastAsia="Arial" w:hAnsi="Arial"/>
          <w:b/>
          <w:bCs/>
          <w:sz w:val="19"/>
          <w:szCs w:val="19"/>
        </w:rPr>
        <w:t xml:space="preserve">Console output beta values: </w:t>
      </w:r>
      <w:r>
        <w:rPr>
          <w:rFonts w:ascii="Arial" w:cs="Arial" w:eastAsia="Arial" w:hAnsi="Arial"/>
          <w:sz w:val="19"/>
          <w:szCs w:val="19"/>
        </w:rPr>
        <w:t xml:space="preserve">Should decline from ~0.79 at 1Y to negative at 4Y. If all betas are near 1.0, the shift() alignment is wrong. If all betas are near 0, there may be a NaN issue in the data.</w:t>
      </w:r>
    </w:p>
    <w:p>
      <w:pPr>
        <w:pStyle w:val="ListParagraph"/>
        <w:numPr>
          <w:ilvl w:val="0"/>
          <w:numId w:val="2"/>
        </w:numPr>
        <w:spacing w:before="40" w:after="40"/>
      </w:pPr>
      <w:r>
        <w:rPr>
          <w:rFonts w:ascii="Arial" w:cs="Arial" w:eastAsia="Arial" w:hAnsi="Arial"/>
          <w:b/>
          <w:bCs/>
          <w:sz w:val="19"/>
          <w:szCs w:val="19"/>
        </w:rPr>
        <w:t xml:space="preserve">Scatter plots: </w:t>
      </w:r>
      <w:r>
        <w:rPr>
          <w:rFonts w:ascii="Arial" w:cs="Arial" w:eastAsia="Arial" w:hAnsi="Arial"/>
          <w:sz w:val="19"/>
          <w:szCs w:val="19"/>
        </w:rPr>
        <w:t xml:space="preserve">The 1Y scatter should show a clear positive relationship. The 4Y scatter should show a negative or flat relationship. The fitted regression line (red) should be below the 45-degree perfect prediction line (black dashed) for all horizons — this is the visual representation of the term premium.</w:t>
      </w:r>
    </w:p>
    <w:p>
      <w:pPr>
        <w:pStyle w:val="ListParagraph"/>
        <w:numPr>
          <w:ilvl w:val="0"/>
          <w:numId w:val="2"/>
        </w:numPr>
        <w:spacing w:before="40" w:after="40"/>
      </w:pPr>
      <w:r>
        <w:rPr>
          <w:rFonts w:ascii="Arial" w:cs="Arial" w:eastAsia="Arial" w:hAnsi="Arial"/>
          <w:b/>
          <w:bCs/>
          <w:sz w:val="19"/>
          <w:szCs w:val="19"/>
        </w:rPr>
        <w:t xml:space="preserve">Time series plots: </w:t>
      </w:r>
      <w:r>
        <w:rPr>
          <w:rFonts w:ascii="Arial" w:cs="Arial" w:eastAsia="Arial" w:hAnsi="Arial"/>
          <w:sz w:val="19"/>
          <w:szCs w:val="19"/>
        </w:rPr>
        <w:t xml:space="preserve">The forward rate line should systematically sit above the realized rate line for most of the sample — forward rates overcalling future rates. This gap is the term premium.</w:t>
      </w:r>
    </w:p>
    <w:p>
      <w:pPr>
        <w:pStyle w:val="Heading2"/>
        <w:spacing w:before="200" w:after="80"/>
      </w:pPr>
      <w:r>
        <w:rPr>
          <w:rFonts w:ascii="Arial" w:cs="Arial" w:eastAsia="Arial" w:hAnsi="Arial"/>
          <w:b/>
          <w:bCs/>
          <w:color w:val="1F618D"/>
          <w:sz w:val="22"/>
          <w:szCs w:val="22"/>
        </w:rPr>
        <w:t xml:space="preserve">3.3 Q3 — Duration Risk</w:t>
      </w:r>
    </w:p>
    <w:p>
      <w:pPr>
        <w:pBdr>
          <w:left w:val="single" w:color="7F8C8D" w:sz="10" w:space="8"/>
        </w:pBdr>
        <w:shd w:fill="F4F6F7" w:val="clear"/>
        <w:spacing w:before="80" w:after="80"/>
        <w:ind w:left="400"/>
      </w:pPr>
      <w:r>
        <w:rPr>
          <w:rFonts w:ascii="Arial" w:cs="Arial" w:eastAsia="Arial" w:hAnsi="Arial"/>
          <w:i/>
          <w:iCs/>
          <w:color w:val="1A252F"/>
          <w:sz w:val="19"/>
          <w:szCs w:val="19"/>
        </w:rPr>
        <w:t xml:space="preserve">Open: outputs/Q3_cumulative_returns.png, Q3_drawdown.png, Q3_annual_returns.png</w:t>
      </w:r>
    </w:p>
    <w:p>
      <w:pPr>
        <w:spacing w:before="0" w:after="0"/>
      </w:pPr>
      <w:r>
        <w:rPr>
          <w:sz w:val="8"/>
          <w:szCs w:val="8"/>
        </w:rPr>
        <w:t xml:space="preserve"/>
      </w:r>
    </w:p>
    <w:p>
      <w:pPr>
        <w:pStyle w:val="ListParagraph"/>
        <w:numPr>
          <w:ilvl w:val="0"/>
          <w:numId w:val="2"/>
        </w:numPr>
        <w:spacing w:before="40" w:after="40"/>
      </w:pPr>
      <w:r>
        <w:rPr>
          <w:rFonts w:ascii="Arial" w:cs="Arial" w:eastAsia="Arial" w:hAnsi="Arial"/>
          <w:b/>
          <w:bCs/>
          <w:sz w:val="19"/>
          <w:szCs w:val="19"/>
        </w:rPr>
        <w:t xml:space="preserve">Cumulative returns: </w:t>
      </w:r>
      <w:r>
        <w:rPr>
          <w:rFonts w:ascii="Arial" w:cs="Arial" w:eastAsia="Arial" w:hAnsi="Arial"/>
          <w:sz w:val="19"/>
          <w:szCs w:val="19"/>
        </w:rPr>
        <w:t xml:space="preserve">All three should trend upward over the full sample with the large drop in 2022. The long bucket should show the most dramatic 2022 crash (highest duration = most rate sensitivity). The short bucket should barely move in most years.</w:t>
      </w:r>
    </w:p>
    <w:p>
      <w:pPr>
        <w:pStyle w:val="ListParagraph"/>
        <w:numPr>
          <w:ilvl w:val="0"/>
          <w:numId w:val="2"/>
        </w:numPr>
        <w:spacing w:before="40" w:after="40"/>
      </w:pPr>
      <w:r>
        <w:rPr>
          <w:rFonts w:ascii="Arial" w:cs="Arial" w:eastAsia="Arial" w:hAnsi="Arial"/>
          <w:b/>
          <w:bCs/>
          <w:sz w:val="19"/>
          <w:szCs w:val="19"/>
        </w:rPr>
        <w:t xml:space="preserve">Drawdown chart: </w:t>
      </w:r>
      <w:r>
        <w:rPr>
          <w:rFonts w:ascii="Arial" w:cs="Arial" w:eastAsia="Arial" w:hAnsi="Arial"/>
          <w:sz w:val="19"/>
          <w:szCs w:val="19"/>
        </w:rPr>
        <w:t xml:space="preserve">Long bucket should show the deepest 2022 drawdown. Short bucket shows a surprisingly large drawdown according to your data (-42%) — this is worth investigating. It may reflect the short ETF holding some non-standard securities. Mention this in the report.</w:t>
      </w:r>
    </w:p>
    <w:p>
      <w:pPr>
        <w:pStyle w:val="ListParagraph"/>
        <w:numPr>
          <w:ilvl w:val="0"/>
          <w:numId w:val="2"/>
        </w:numPr>
        <w:spacing w:before="40" w:after="40"/>
      </w:pPr>
      <w:r>
        <w:rPr>
          <w:rFonts w:ascii="Arial" w:cs="Arial" w:eastAsia="Arial" w:hAnsi="Arial"/>
          <w:b/>
          <w:bCs/>
          <w:sz w:val="19"/>
          <w:szCs w:val="19"/>
        </w:rPr>
        <w:t xml:space="preserve">Annual bars: </w:t>
      </w:r>
      <w:r>
        <w:rPr>
          <w:rFonts w:ascii="Arial" w:cs="Arial" w:eastAsia="Arial" w:hAnsi="Arial"/>
          <w:sz w:val="19"/>
          <w:szCs w:val="19"/>
        </w:rPr>
        <w:t xml:space="preserve">2022 should be clearly negative for all buckets. 2019 should be clearly positive. 2008 results depend on when the ETF started.</w:t>
      </w:r>
    </w:p>
    <w:p>
      <w:pPr>
        <w:pStyle w:val="Heading2"/>
        <w:spacing w:before="200" w:after="80"/>
      </w:pPr>
      <w:r>
        <w:rPr>
          <w:rFonts w:ascii="Arial" w:cs="Arial" w:eastAsia="Arial" w:hAnsi="Arial"/>
          <w:b/>
          <w:bCs/>
          <w:color w:val="1F618D"/>
          <w:sz w:val="22"/>
          <w:szCs w:val="22"/>
        </w:rPr>
        <w:t xml:space="preserve">3.4 Q4 — Credit Markets</w:t>
      </w:r>
    </w:p>
    <w:p>
      <w:pPr>
        <w:pBdr>
          <w:left w:val="single" w:color="7F8C8D" w:sz="10" w:space="8"/>
        </w:pBdr>
        <w:shd w:fill="F4F6F7" w:val="clear"/>
        <w:spacing w:before="80" w:after="80"/>
        <w:ind w:left="400"/>
      </w:pPr>
      <w:r>
        <w:rPr>
          <w:rFonts w:ascii="Arial" w:cs="Arial" w:eastAsia="Arial" w:hAnsi="Arial"/>
          <w:i/>
          <w:iCs/>
          <w:color w:val="1A252F"/>
          <w:sz w:val="19"/>
          <w:szCs w:val="19"/>
        </w:rPr>
        <w:t xml:space="preserve">Open: outputs/Q4_cumulative_returns.png, Q4_credit_excess.png, Q4_drawdown.png</w:t>
      </w:r>
    </w:p>
    <w:p>
      <w:pPr>
        <w:spacing w:before="0" w:after="0"/>
      </w:pPr>
      <w:r>
        <w:rPr>
          <w:sz w:val="8"/>
          <w:szCs w:val="8"/>
        </w:rPr>
        <w:t xml:space="preserve"/>
      </w:r>
    </w:p>
    <w:p>
      <w:pPr>
        <w:pStyle w:val="ListParagraph"/>
        <w:numPr>
          <w:ilvl w:val="0"/>
          <w:numId w:val="2"/>
        </w:numPr>
        <w:spacing w:before="40" w:after="40"/>
      </w:pPr>
      <w:r>
        <w:rPr>
          <w:rFonts w:ascii="Arial" w:cs="Arial" w:eastAsia="Arial" w:hAnsi="Arial"/>
          <w:b/>
          <w:bCs/>
          <w:sz w:val="19"/>
          <w:szCs w:val="19"/>
        </w:rPr>
        <w:t xml:space="preserve">Cumulative returns: </w:t>
      </w:r>
      <w:r>
        <w:rPr>
          <w:rFonts w:ascii="Arial" w:cs="Arial" w:eastAsia="Arial" w:hAnsi="Arial"/>
          <w:sz w:val="19"/>
          <w:szCs w:val="19"/>
        </w:rPr>
        <w:t xml:space="preserve">Corp and govt mid should track each other closely most of the time, with corp diverging (either above or below) during stress periods. If the lines are identical, the wrong ETFs were loaded.</w:t>
      </w:r>
    </w:p>
    <w:p>
      <w:pPr>
        <w:pStyle w:val="ListParagraph"/>
        <w:numPr>
          <w:ilvl w:val="0"/>
          <w:numId w:val="2"/>
        </w:numPr>
        <w:spacing w:before="40" w:after="40"/>
      </w:pPr>
      <w:r>
        <w:rPr>
          <w:rFonts w:ascii="Arial" w:cs="Arial" w:eastAsia="Arial" w:hAnsi="Arial"/>
          <w:b/>
          <w:bCs/>
          <w:sz w:val="19"/>
          <w:szCs w:val="19"/>
        </w:rPr>
        <w:t xml:space="preserve">Credit excess chart: </w:t>
      </w:r>
      <w:r>
        <w:rPr>
          <w:rFonts w:ascii="Arial" w:cs="Arial" w:eastAsia="Arial" w:hAnsi="Arial"/>
          <w:sz w:val="19"/>
          <w:szCs w:val="19"/>
        </w:rPr>
        <w:t xml:space="preserve">Monthly bars should be roughly centered around zero (your data shows -0.31% annualised over full sample, so very slightly negative on average). The cumulative line should not trend strongly upward or downward — if it does, there is a structural shift worth explaining.</w:t>
      </w:r>
    </w:p>
    <w:p>
      <w:pPr>
        <w:pStyle w:val="ListParagraph"/>
        <w:numPr>
          <w:ilvl w:val="0"/>
          <w:numId w:val="2"/>
        </w:numPr>
        <w:spacing w:before="40" w:after="40"/>
      </w:pPr>
      <w:r>
        <w:rPr>
          <w:rFonts w:ascii="Arial" w:cs="Arial" w:eastAsia="Arial" w:hAnsi="Arial"/>
          <w:b/>
          <w:bCs/>
          <w:sz w:val="19"/>
          <w:szCs w:val="19"/>
        </w:rPr>
        <w:t xml:space="preserve">Key episodes to verify: </w:t>
      </w:r>
      <w:r>
        <w:rPr>
          <w:rFonts w:ascii="Arial" w:cs="Arial" w:eastAsia="Arial" w:hAnsi="Arial"/>
          <w:sz w:val="19"/>
          <w:szCs w:val="19"/>
        </w:rPr>
        <w:t xml:space="preserve">Post-Lehman (late 2008): large negative bars followed by large positive reversal. Sovereign crisis (2010-2012): persistent negative bars. 2022: should show positive credit excess as spreads compressed during hiking cycle.</w:t>
      </w:r>
    </w:p>
    <w:p>
      <w:pPr>
        <w:pStyle w:val="Heading2"/>
        <w:spacing w:before="200" w:after="80"/>
      </w:pPr>
      <w:r>
        <w:rPr>
          <w:rFonts w:ascii="Arial" w:cs="Arial" w:eastAsia="Arial" w:hAnsi="Arial"/>
          <w:b/>
          <w:bCs/>
          <w:color w:val="1F618D"/>
          <w:sz w:val="22"/>
          <w:szCs w:val="22"/>
        </w:rPr>
        <w:t xml:space="preserve">3.5 Q5 — Portfolio and Systematic Risk</w:t>
      </w:r>
    </w:p>
    <w:p>
      <w:pPr>
        <w:pBdr>
          <w:left w:val="single" w:color="7F8C8D" w:sz="10" w:space="8"/>
        </w:pBdr>
        <w:shd w:fill="F4F6F7" w:val="clear"/>
        <w:spacing w:before="80" w:after="80"/>
        <w:ind w:left="400"/>
      </w:pPr>
      <w:r>
        <w:rPr>
          <w:rFonts w:ascii="Arial" w:cs="Arial" w:eastAsia="Arial" w:hAnsi="Arial"/>
          <w:i/>
          <w:iCs/>
          <w:color w:val="1A252F"/>
          <w:sz w:val="19"/>
          <w:szCs w:val="19"/>
        </w:rPr>
        <w:t xml:space="preserve">Open: outputs/Q5_efficient_frontier.png, Q5_rolling_equity_beta.png, Q5_correlation_heatmap.png</w:t>
      </w:r>
    </w:p>
    <w:p>
      <w:pPr>
        <w:spacing w:before="0" w:after="0"/>
      </w:pPr>
      <w:r>
        <w:rPr>
          <w:sz w:val="8"/>
          <w:szCs w:val="8"/>
        </w:rPr>
        <w:t xml:space="preserve"/>
      </w:r>
    </w:p>
    <w:p>
      <w:pPr>
        <w:pStyle w:val="ListParagraph"/>
        <w:numPr>
          <w:ilvl w:val="0"/>
          <w:numId w:val="2"/>
        </w:numPr>
        <w:spacing w:before="40" w:after="40"/>
      </w:pPr>
      <w:r>
        <w:rPr>
          <w:rFonts w:ascii="Arial" w:cs="Arial" w:eastAsia="Arial" w:hAnsi="Arial"/>
          <w:b/>
          <w:bCs/>
          <w:sz w:val="19"/>
          <w:szCs w:val="19"/>
        </w:rPr>
        <w:t xml:space="preserve">Efficient frontier: </w:t>
      </w:r>
      <w:r>
        <w:rPr>
          <w:rFonts w:ascii="Arial" w:cs="Arial" w:eastAsia="Arial" w:hAnsi="Arial"/>
          <w:sz w:val="19"/>
          <w:szCs w:val="19"/>
        </w:rPr>
        <w:t xml:space="preserve">Should show two overlapping clouds of points — orange (equity + govt only) and green/colourful (equity + govt + corp). The corp cloud should extend slightly to different areas of the risk-return space. If the clouds are identical or perfectly separated, something is wrong.</w:t>
      </w:r>
    </w:p>
    <w:p>
      <w:pPr>
        <w:pStyle w:val="ListParagraph"/>
        <w:numPr>
          <w:ilvl w:val="0"/>
          <w:numId w:val="2"/>
        </w:numPr>
        <w:spacing w:before="40" w:after="40"/>
      </w:pPr>
      <w:r>
        <w:rPr>
          <w:rFonts w:ascii="Arial" w:cs="Arial" w:eastAsia="Arial" w:hAnsi="Arial"/>
          <w:b/>
          <w:bCs/>
          <w:sz w:val="19"/>
          <w:szCs w:val="19"/>
        </w:rPr>
        <w:t xml:space="preserve">Rolling equity beta: </w:t>
      </w:r>
      <w:r>
        <w:rPr>
          <w:rFonts w:ascii="Arial" w:cs="Arial" w:eastAsia="Arial" w:hAnsi="Arial"/>
          <w:sz w:val="19"/>
          <w:szCs w:val="19"/>
        </w:rPr>
        <w:t xml:space="preserve">Should show a clear spike during crisis periods — particularly 2011 (sovereign crisis) and 2020 (COVID). This is the correlation breakdown effect. If the beta is flat throughout, the rolling calculation is wrong.</w:t>
      </w:r>
    </w:p>
    <w:p>
      <w:pPr>
        <w:pStyle w:val="ListParagraph"/>
        <w:numPr>
          <w:ilvl w:val="0"/>
          <w:numId w:val="2"/>
        </w:numPr>
        <w:spacing w:before="40" w:after="40"/>
      </w:pPr>
      <w:r>
        <w:rPr>
          <w:rFonts w:ascii="Arial" w:cs="Arial" w:eastAsia="Arial" w:hAnsi="Arial"/>
          <w:b/>
          <w:bCs/>
          <w:sz w:val="19"/>
          <w:szCs w:val="19"/>
        </w:rPr>
        <w:t xml:space="preserve">Correlation heatmap: </w:t>
      </w:r>
      <w:r>
        <w:rPr>
          <w:rFonts w:ascii="Arial" w:cs="Arial" w:eastAsia="Arial" w:hAnsi="Arial"/>
          <w:sz w:val="19"/>
          <w:szCs w:val="19"/>
        </w:rPr>
        <w:t xml:space="preserve">Equity and govt should show a negative or near-zero correlation (bonds are diversifiers against equities). Corp should show a positive correlation with both equity (~0.3) and govt (~0.7). If corp shows high negative correlation with equity, something is wrong.</w:t>
      </w:r>
    </w:p>
    <w:p>
      <w:pPr>
        <w:pStyle w:val="ListParagraph"/>
        <w:numPr>
          <w:ilvl w:val="0"/>
          <w:numId w:val="2"/>
        </w:numPr>
        <w:spacing w:before="40" w:after="40"/>
      </w:pPr>
      <w:r>
        <w:rPr>
          <w:rFonts w:ascii="Arial" w:cs="Arial" w:eastAsia="Arial" w:hAnsi="Arial"/>
          <w:b/>
          <w:bCs/>
          <w:sz w:val="19"/>
          <w:szCs w:val="19"/>
        </w:rPr>
        <w:t xml:space="preserve">Regression table console output: </w:t>
      </w:r>
      <w:r>
        <w:rPr>
          <w:rFonts w:ascii="Arial" w:cs="Arial" w:eastAsia="Arial" w:hAnsi="Arial"/>
          <w:sz w:val="19"/>
          <w:szCs w:val="19"/>
        </w:rPr>
        <w:t xml:space="preserve">Alpha p-value should be &gt; 0.05 (not significant). Both betas should have p &lt; 0.05 (significant). R² should be around 0.5-0.6. These match your output — if re-running gives very different numbers, the input data changed.</w:t>
      </w:r>
    </w:p>
    <w:p>
      <w:pPr>
        <w:spacing w:before="200" w:after="0"/>
      </w:pPr>
    </w:p>
    <w:p>
      <w:pPr>
        <w:pStyle w:val="Heading1"/>
        <w:pBdr>
          <w:bottom w:val="single" w:color="1F618D" w:sz="4" w:space="1"/>
        </w:pBdr>
        <w:spacing w:before="280" w:after="100"/>
      </w:pPr>
      <w:r>
        <w:rPr>
          <w:rFonts w:ascii="Arial" w:cs="Arial" w:eastAsia="Arial" w:hAnsi="Arial"/>
          <w:b/>
          <w:bCs/>
          <w:color w:val="1A252F"/>
          <w:sz w:val="26"/>
          <w:szCs w:val="26"/>
        </w:rPr>
        <w:t xml:space="preserve">4. Automated Unit Tests</w:t>
      </w:r>
    </w:p>
    <w:p>
      <w:pPr>
        <w:spacing w:before="60" w:after="60"/>
      </w:pPr>
      <w:r>
        <w:rPr>
          <w:rFonts w:ascii="Arial" w:cs="Arial" w:eastAsia="Arial" w:hAnsi="Arial"/>
          <w:color w:val="1A252F"/>
          <w:sz w:val="19"/>
          <w:szCs w:val="19"/>
        </w:rPr>
        <w:t xml:space="preserve">All automated tests live in tests/test_pipeline.py. Run with:</w:t>
      </w:r>
    </w:p>
    <w:p>
      <w:pPr>
        <w:shd w:fill="F4F6F7" w:val="clear"/>
        <w:spacing w:before="40" w:after="40"/>
        <w:ind w:left="560"/>
      </w:pPr>
      <w:r>
        <w:rPr>
          <w:rFonts w:ascii="Courier New" w:cs="Courier New" w:eastAsia="Courier New" w:hAnsi="Courier New"/>
          <w:color w:val="1A252F"/>
          <w:sz w:val="17"/>
          <w:szCs w:val="17"/>
        </w:rPr>
        <w:t xml:space="preserve">pip install pytest</w:t>
      </w:r>
    </w:p>
    <w:p>
      <w:pPr>
        <w:shd w:fill="F4F6F7" w:val="clear"/>
        <w:spacing w:before="40" w:after="40"/>
        <w:ind w:left="560"/>
      </w:pPr>
      <w:r>
        <w:rPr>
          <w:rFonts w:ascii="Courier New" w:cs="Courier New" w:eastAsia="Courier New" w:hAnsi="Courier New"/>
          <w:color w:val="1A252F"/>
          <w:sz w:val="17"/>
          <w:szCs w:val="17"/>
        </w:rPr>
        <w:t xml:space="preserve">pytest tests/test_pipeline.py -v</w:t>
      </w:r>
    </w:p>
    <w:p>
      <w:pPr>
        <w:spacing w:before="0" w:after="0"/>
      </w:pPr>
      <w:r>
        <w:rPr>
          <w:sz w:val="8"/>
          <w:szCs w:val="8"/>
        </w:rPr>
        <w:t xml:space="preserve"/>
      </w:r>
    </w:p>
    <w:p>
      <w:pPr>
        <w:spacing w:before="60" w:after="60"/>
      </w:pPr>
      <w:r>
        <w:rPr>
          <w:rFonts w:ascii="Arial" w:cs="Arial" w:eastAsia="Arial" w:hAnsi="Arial"/>
          <w:color w:val="1A252F"/>
          <w:sz w:val="19"/>
          <w:szCs w:val="19"/>
        </w:rPr>
        <w:t xml:space="preserve">For a quick pass/fail summary without details:</w:t>
      </w:r>
    </w:p>
    <w:p>
      <w:pPr>
        <w:shd w:fill="F4F6F7" w:val="clear"/>
        <w:spacing w:before="40" w:after="40"/>
        <w:ind w:left="560"/>
      </w:pPr>
      <w:r>
        <w:rPr>
          <w:rFonts w:ascii="Courier New" w:cs="Courier New" w:eastAsia="Courier New" w:hAnsi="Courier New"/>
          <w:color w:val="1A252F"/>
          <w:sz w:val="17"/>
          <w:szCs w:val="17"/>
        </w:rPr>
        <w:t xml:space="preserve">pytest tests/test_pipeline.py -q</w:t>
      </w:r>
    </w:p>
    <w:p>
      <w:pPr>
        <w:spacing w:before="0" w:after="0"/>
      </w:pPr>
      <w:r>
        <w:rPr>
          <w:sz w:val="8"/>
          <w:szCs w:val="8"/>
        </w:rPr>
        <w:t xml:space="preserve"/>
      </w:r>
    </w:p>
    <w:p>
      <w:pPr>
        <w:pBdr>
          <w:left w:val="single" w:color="1F618D" w:sz="10" w:space="8"/>
        </w:pBdr>
        <w:shd w:fill="EBF5FB" w:val="clear"/>
        <w:spacing w:before="80" w:after="80"/>
        <w:ind w:left="400"/>
      </w:pPr>
      <w:r>
        <w:rPr>
          <w:rFonts w:ascii="Arial" w:cs="Arial" w:eastAsia="Arial" w:hAnsi="Arial"/>
          <w:i/>
          <w:iCs/>
          <w:color w:val="1A252F"/>
          <w:sz w:val="19"/>
          <w:szCs w:val="19"/>
        </w:rPr>
        <w:t xml:space="preserve">Tests are grouped into 6 classes. Each class tests one component. If a class fails completely, that component has a systematic problem. If one test in a class fails, it is an isolated issue.</w:t>
      </w:r>
    </w:p>
    <w:p>
      <w:pPr>
        <w:pStyle w:val="Heading2"/>
        <w:spacing w:before="200" w:after="80"/>
      </w:pPr>
      <w:r>
        <w:rPr>
          <w:rFonts w:ascii="Arial" w:cs="Arial" w:eastAsia="Arial" w:hAnsi="Arial"/>
          <w:b/>
          <w:bCs/>
          <w:color w:val="1F618D"/>
          <w:sz w:val="22"/>
          <w:szCs w:val="22"/>
        </w:rPr>
        <w:t xml:space="preserve">4.1 TestDataIntegrity (12 tests)</w:t>
      </w:r>
    </w:p>
    <w:p>
      <w:pPr>
        <w:spacing w:before="60" w:after="60"/>
      </w:pPr>
      <w:r>
        <w:rPr>
          <w:rFonts w:ascii="Arial" w:cs="Arial" w:eastAsia="Arial" w:hAnsi="Arial"/>
          <w:color w:val="1A252F"/>
          <w:sz w:val="19"/>
          <w:szCs w:val="19"/>
        </w:rPr>
        <w:t xml:space="preserve">Checks that parquet files exist, have correct columns, no unexpected NaNs, correct date ranges, and plausible numeric values.</w:t>
      </w:r>
    </w:p>
    <w:p>
      <w:pPr>
        <w:spacing w:before="0" w:after="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c>
          <w:tcPr>
            <w:tcW w:type="dxa" w:w="2600"/>
            <w:tcBorders>
              <w:top w:val="single" w:color="BDC3C7" w:sz="1"/>
              <w:left w:val="single" w:color="BDC3C7" w:sz="1"/>
              <w:bottom w:val="single" w:color="BDC3C7" w:sz="1"/>
              <w:right w:val="single" w:color="BDC3C7" w:sz="1"/>
            </w:tcBorders>
            <w:shd w:fill="1A252F" w:val="clear"/>
            <w:tcMar>
              <w:top w:type="dxa" w:w="60"/>
              <w:left w:type="dxa" w:w="100"/>
              <w:bottom w:type="dxa" w:w="60"/>
              <w:right w:type="dxa" w:w="100"/>
            </w:tcMar>
          </w:tcPr>
          <w:p>
            <w:r>
              <w:rPr>
                <w:rFonts w:ascii="Arial" w:cs="Arial" w:eastAsia="Arial" w:hAnsi="Arial"/>
                <w:b/>
                <w:bCs/>
                <w:color w:val="FFFFFF"/>
                <w:sz w:val="18"/>
                <w:szCs w:val="18"/>
              </w:rPr>
              <w:t xml:space="preserve">Test name</w:t>
            </w:r>
          </w:p>
        </w:tc>
        <w:tc>
          <w:tcPr>
            <w:tcW w:type="dxa" w:w="2800"/>
            <w:tcBorders>
              <w:top w:val="single" w:color="BDC3C7" w:sz="1"/>
              <w:left w:val="single" w:color="BDC3C7" w:sz="1"/>
              <w:bottom w:val="single" w:color="BDC3C7" w:sz="1"/>
              <w:right w:val="single" w:color="BDC3C7" w:sz="1"/>
            </w:tcBorders>
            <w:shd w:fill="1A252F" w:val="clear"/>
            <w:tcMar>
              <w:top w:type="dxa" w:w="60"/>
              <w:left w:type="dxa" w:w="100"/>
              <w:bottom w:type="dxa" w:w="60"/>
              <w:right w:type="dxa" w:w="100"/>
            </w:tcMar>
          </w:tcPr>
          <w:p>
            <w:r>
              <w:rPr>
                <w:rFonts w:ascii="Arial" w:cs="Arial" w:eastAsia="Arial" w:hAnsi="Arial"/>
                <w:b/>
                <w:bCs/>
                <w:color w:val="FFFFFF"/>
                <w:sz w:val="18"/>
                <w:szCs w:val="18"/>
              </w:rPr>
              <w:t xml:space="preserve">What it checks</w:t>
            </w:r>
          </w:p>
        </w:tc>
        <w:tc>
          <w:tcPr>
            <w:tcW w:type="dxa" w:w="3960"/>
            <w:tcBorders>
              <w:top w:val="single" w:color="BDC3C7" w:sz="1"/>
              <w:left w:val="single" w:color="BDC3C7" w:sz="1"/>
              <w:bottom w:val="single" w:color="BDC3C7" w:sz="1"/>
              <w:right w:val="single" w:color="BDC3C7" w:sz="1"/>
            </w:tcBorders>
            <w:shd w:fill="1A252F" w:val="clear"/>
            <w:tcMar>
              <w:top w:type="dxa" w:w="60"/>
              <w:left w:type="dxa" w:w="100"/>
              <w:bottom w:type="dxa" w:w="60"/>
              <w:right w:type="dxa" w:w="100"/>
            </w:tcMar>
          </w:tcPr>
          <w:p>
            <w:r>
              <w:rPr>
                <w:rFonts w:ascii="Arial" w:cs="Arial" w:eastAsia="Arial" w:hAnsi="Arial"/>
                <w:b/>
                <w:bCs/>
                <w:color w:val="FFFFFF"/>
                <w:sz w:val="18"/>
                <w:szCs w:val="18"/>
              </w:rPr>
              <w:t xml:space="preserve">Fails if...</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test_spot_rates_exists</w:t>
            </w:r>
          </w:p>
        </w:tc>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File loads and is non-empty</w:t>
            </w:r>
          </w:p>
        </w:tc>
        <w:tc>
          <w:tcPr>
            <w:tcW w:type="dxa" w:w="39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data_import.py never ran</w:t>
            </w:r>
          </w:p>
        </w:tc>
      </w:tr>
      <w:tr>
        <w:tc>
          <w:tcPr>
            <w:tcW w:type="dxa" w:w="26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test_spot_rates_columns</w:t>
            </w:r>
          </w:p>
        </w:tc>
        <w:tc>
          <w:tcPr>
            <w:tcW w:type="dxa" w:w="28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All 7 maturity columns present</w:t>
            </w:r>
          </w:p>
        </w:tc>
        <w:tc>
          <w:tcPr>
            <w:tcW w:type="dxa" w:w="396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Column renamed or missing</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test_spot_rates_coverage</w:t>
            </w:r>
          </w:p>
        </w:tc>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Data spans 2004–2025</w:t>
            </w:r>
          </w:p>
        </w:tc>
        <w:tc>
          <w:tcPr>
            <w:tcW w:type="dxa" w:w="39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API returned truncated data</w:t>
            </w:r>
          </w:p>
        </w:tc>
      </w:tr>
      <w:tr>
        <w:tc>
          <w:tcPr>
            <w:tcW w:type="dxa" w:w="26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test_spot_rates_no_nans</w:t>
            </w:r>
          </w:p>
        </w:tc>
        <w:tc>
          <w:tcPr>
            <w:tcW w:type="dxa" w:w="28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Zero NaN values in any column</w:t>
            </w:r>
          </w:p>
        </w:tc>
        <w:tc>
          <w:tcPr>
            <w:tcW w:type="dxa" w:w="396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API gap or join error</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test_spot_rates_plausible_range</w:t>
            </w:r>
          </w:p>
        </w:tc>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Yields between -5% and 15%</w:t>
            </w:r>
          </w:p>
        </w:tc>
        <w:tc>
          <w:tcPr>
            <w:tcW w:type="dxa" w:w="39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Wrong units (e.g. decimal not percent)</w:t>
            </w:r>
          </w:p>
        </w:tc>
      </w:tr>
      <w:tr>
        <w:tc>
          <w:tcPr>
            <w:tcW w:type="dxa" w:w="26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test_spot_rates_term_structure</w:t>
            </w:r>
          </w:p>
        </w:tc>
        <w:tc>
          <w:tcPr>
            <w:tcW w:type="dxa" w:w="28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Average 10Y &gt; average 1Y</w:t>
            </w:r>
          </w:p>
        </w:tc>
        <w:tc>
          <w:tcPr>
            <w:tcW w:type="dxa" w:w="396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Data loaded in wrong order</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test_etf_prices_positive</w:t>
            </w:r>
          </w:p>
        </w:tc>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All ETF prices &gt; 0</w:t>
            </w:r>
          </w:p>
        </w:tc>
        <w:tc>
          <w:tcPr>
            <w:tcW w:type="dxa" w:w="39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Return series loaded instead of prices</w:t>
            </w:r>
          </w:p>
        </w:tc>
      </w:tr>
      <w:tr>
        <w:tc>
          <w:tcPr>
            <w:tcW w:type="dxa" w:w="26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test_etf_returns_plausible_range</w:t>
            </w:r>
          </w:p>
        </w:tc>
        <w:tc>
          <w:tcPr>
            <w:tcW w:type="dxa" w:w="28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Monthly returns between -50% and +50%</w:t>
            </w:r>
          </w:p>
        </w:tc>
        <w:tc>
          <w:tcPr>
            <w:tcW w:type="dxa" w:w="396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Daily returns loaded instead of monthly</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test_msci_coverage</w:t>
            </w:r>
          </w:p>
        </w:tc>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MSCI data spans 2000–2025</w:t>
            </w:r>
          </w:p>
        </w:tc>
        <w:tc>
          <w:tcPr>
            <w:tcW w:type="dxa" w:w="39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CSV not found or wrong file</w:t>
            </w:r>
          </w:p>
        </w:tc>
      </w:tr>
    </w:tbl>
    <w:p>
      <w:pPr>
        <w:pStyle w:val="Heading2"/>
        <w:spacing w:before="200" w:after="80"/>
      </w:pPr>
      <w:r>
        <w:rPr>
          <w:rFonts w:ascii="Arial" w:cs="Arial" w:eastAsia="Arial" w:hAnsi="Arial"/>
          <w:b/>
          <w:bCs/>
          <w:color w:val="1F618D"/>
          <w:sz w:val="22"/>
          <w:szCs w:val="22"/>
        </w:rPr>
        <w:t xml:space="preserve">4.2 TestReturnCalculations (5 tests)</w:t>
      </w:r>
    </w:p>
    <w:p>
      <w:pPr>
        <w:spacing w:before="60" w:after="60"/>
      </w:pPr>
      <w:r>
        <w:rPr>
          <w:rFonts w:ascii="Arial" w:cs="Arial" w:eastAsia="Arial" w:hAnsi="Arial"/>
          <w:color w:val="1A252F"/>
          <w:sz w:val="19"/>
          <w:szCs w:val="19"/>
        </w:rPr>
        <w:t xml:space="preserve">Spot-checks return calculations against known financial events. These tests encode historical facts about market returns.</w:t>
      </w:r>
    </w:p>
    <w:p>
      <w:pPr>
        <w:spacing w:before="0" w:after="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c>
          <w:tcPr>
            <w:tcW w:type="dxa" w:w="2800"/>
            <w:tcBorders>
              <w:top w:val="single" w:color="BDC3C7" w:sz="1"/>
              <w:left w:val="single" w:color="BDC3C7" w:sz="1"/>
              <w:bottom w:val="single" w:color="BDC3C7" w:sz="1"/>
              <w:right w:val="single" w:color="BDC3C7" w:sz="1"/>
            </w:tcBorders>
            <w:shd w:fill="1A252F" w:val="clear"/>
            <w:tcMar>
              <w:top w:type="dxa" w:w="60"/>
              <w:left w:type="dxa" w:w="100"/>
              <w:bottom w:type="dxa" w:w="60"/>
              <w:right w:type="dxa" w:w="100"/>
            </w:tcMar>
          </w:tcPr>
          <w:p>
            <w:r>
              <w:rPr>
                <w:rFonts w:ascii="Arial" w:cs="Arial" w:eastAsia="Arial" w:hAnsi="Arial"/>
                <w:b/>
                <w:bCs/>
                <w:color w:val="FFFFFF"/>
                <w:sz w:val="18"/>
                <w:szCs w:val="18"/>
              </w:rPr>
              <w:t xml:space="preserve">Test name</w:t>
            </w:r>
          </w:p>
        </w:tc>
        <w:tc>
          <w:tcPr>
            <w:tcW w:type="dxa" w:w="3400"/>
            <w:tcBorders>
              <w:top w:val="single" w:color="BDC3C7" w:sz="1"/>
              <w:left w:val="single" w:color="BDC3C7" w:sz="1"/>
              <w:bottom w:val="single" w:color="BDC3C7" w:sz="1"/>
              <w:right w:val="single" w:color="BDC3C7" w:sz="1"/>
            </w:tcBorders>
            <w:shd w:fill="1A252F" w:val="clear"/>
            <w:tcMar>
              <w:top w:type="dxa" w:w="60"/>
              <w:left w:type="dxa" w:w="100"/>
              <w:bottom w:type="dxa" w:w="60"/>
              <w:right w:type="dxa" w:w="100"/>
            </w:tcMar>
          </w:tcPr>
          <w:p>
            <w:r>
              <w:rPr>
                <w:rFonts w:ascii="Arial" w:cs="Arial" w:eastAsia="Arial" w:hAnsi="Arial"/>
                <w:b/>
                <w:bCs/>
                <w:color w:val="FFFFFF"/>
                <w:sz w:val="18"/>
                <w:szCs w:val="18"/>
              </w:rPr>
              <w:t xml:space="preserve">Historical fact being verified</w:t>
            </w:r>
          </w:p>
        </w:tc>
        <w:tc>
          <w:tcPr>
            <w:tcW w:type="dxa" w:w="3160"/>
            <w:tcBorders>
              <w:top w:val="single" w:color="BDC3C7" w:sz="1"/>
              <w:left w:val="single" w:color="BDC3C7" w:sz="1"/>
              <w:bottom w:val="single" w:color="BDC3C7" w:sz="1"/>
              <w:right w:val="single" w:color="BDC3C7" w:sz="1"/>
            </w:tcBorders>
            <w:shd w:fill="1A252F" w:val="clear"/>
            <w:tcMar>
              <w:top w:type="dxa" w:w="60"/>
              <w:left w:type="dxa" w:w="100"/>
              <w:bottom w:type="dxa" w:w="60"/>
              <w:right w:type="dxa" w:w="100"/>
            </w:tcMar>
          </w:tcPr>
          <w:p>
            <w:r>
              <w:rPr>
                <w:rFonts w:ascii="Arial" w:cs="Arial" w:eastAsia="Arial" w:hAnsi="Arial"/>
                <w:b/>
                <w:bCs/>
                <w:color w:val="FFFFFF"/>
                <w:sz w:val="18"/>
                <w:szCs w:val="18"/>
              </w:rPr>
              <w:t xml:space="preserve">Expected range</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test_log_return_formula</w:t>
            </w:r>
          </w:p>
        </w:tc>
        <w:tc>
          <w:tcPr>
            <w:tcW w:type="dxa" w:w="3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r_t = ln(P_t / P_{t-1}) exactly</w:t>
            </w:r>
          </w:p>
        </w:tc>
        <w:tc>
          <w:tcPr>
            <w:tcW w:type="dxa" w:w="3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Zero tolerance (1e-10)</w:t>
            </w:r>
          </w:p>
        </w:tc>
      </w:tr>
      <w:tr>
        <w:tc>
          <w:tcPr>
            <w:tcW w:type="dxa" w:w="28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test_2008_equity_crash</w:t>
            </w:r>
          </w:p>
        </w:tc>
        <w:tc>
          <w:tcPr>
            <w:tcW w:type="dxa" w:w="34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MSCI Europe lost ~45-50% in 2008</w:t>
            </w:r>
          </w:p>
        </w:tc>
        <w:tc>
          <w:tcPr>
            <w:tcW w:type="dxa" w:w="316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Annual log return: -0.70 to -0.35</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test_2022_bond_crash</w:t>
            </w:r>
          </w:p>
        </w:tc>
        <w:tc>
          <w:tcPr>
            <w:tcW w:type="dxa" w:w="3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Long govts crashed in 2022 hiking cycle</w:t>
            </w:r>
          </w:p>
        </w:tc>
        <w:tc>
          <w:tcPr>
            <w:tcW w:type="dxa" w:w="3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Annual return &lt; -15%</w:t>
            </w:r>
          </w:p>
        </w:tc>
      </w:tr>
      <w:tr>
        <w:tc>
          <w:tcPr>
            <w:tcW w:type="dxa" w:w="28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test_2019_bond_rally</w:t>
            </w:r>
          </w:p>
        </w:tc>
        <w:tc>
          <w:tcPr>
            <w:tcW w:type="dxa" w:w="34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ECB dovish pivot, bonds rallied in 2019</w:t>
            </w:r>
          </w:p>
        </w:tc>
        <w:tc>
          <w:tcPr>
            <w:tcW w:type="dxa" w:w="316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Annual return &gt; +5%</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test_cumulative_return_consistency</w:t>
            </w:r>
          </w:p>
        </w:tc>
        <w:tc>
          <w:tcPr>
            <w:tcW w:type="dxa" w:w="3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Sum of log returns = ln(final/initial)</w:t>
            </w:r>
          </w:p>
        </w:tc>
        <w:tc>
          <w:tcPr>
            <w:tcW w:type="dxa" w:w="3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Tolerance: 2% for resampling</w:t>
            </w:r>
          </w:p>
        </w:tc>
      </w:tr>
    </w:tbl>
    <w:p>
      <w:pPr>
        <w:pStyle w:val="Heading2"/>
        <w:spacing w:before="200" w:after="80"/>
      </w:pPr>
      <w:r>
        <w:rPr>
          <w:rFonts w:ascii="Arial" w:cs="Arial" w:eastAsia="Arial" w:hAnsi="Arial"/>
          <w:b/>
          <w:bCs/>
          <w:color w:val="1F618D"/>
          <w:sz w:val="22"/>
          <w:szCs w:val="22"/>
        </w:rPr>
        <w:t xml:space="preserve">4.3 TestForwardRates (4 tests)</w:t>
      </w:r>
    </w:p>
    <w:p>
      <w:pPr>
        <w:spacing w:before="60" w:after="60"/>
      </w:pPr>
      <w:r>
        <w:rPr>
          <w:rFonts w:ascii="Arial" w:cs="Arial" w:eastAsia="Arial" w:hAnsi="Arial"/>
          <w:color w:val="1A252F"/>
          <w:sz w:val="19"/>
          <w:szCs w:val="19"/>
        </w:rPr>
        <w:t xml:space="preserve">Tests the forward rate formula and its mathematical properties.</w:t>
      </w:r>
    </w:p>
    <w:p>
      <w:pPr>
        <w:spacing w:before="0" w:after="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DC3C7" w:sz="1"/>
              <w:left w:val="single" w:color="BDC3C7" w:sz="1"/>
              <w:bottom w:val="single" w:color="BDC3C7" w:sz="1"/>
              <w:right w:val="single" w:color="BDC3C7" w:sz="1"/>
            </w:tcBorders>
            <w:shd w:fill="1A252F" w:val="clear"/>
            <w:tcMar>
              <w:top w:type="dxa" w:w="60"/>
              <w:left w:type="dxa" w:w="100"/>
              <w:bottom w:type="dxa" w:w="60"/>
              <w:right w:type="dxa" w:w="100"/>
            </w:tcMar>
          </w:tcPr>
          <w:p>
            <w:r>
              <w:rPr>
                <w:rFonts w:ascii="Arial" w:cs="Arial" w:eastAsia="Arial" w:hAnsi="Arial"/>
                <w:b/>
                <w:bCs/>
                <w:color w:val="FFFFFF"/>
                <w:sz w:val="18"/>
                <w:szCs w:val="18"/>
              </w:rPr>
              <w:t xml:space="preserve">Test name</w:t>
            </w:r>
          </w:p>
        </w:tc>
        <w:tc>
          <w:tcPr>
            <w:tcW w:type="dxa" w:w="6360"/>
            <w:tcBorders>
              <w:top w:val="single" w:color="BDC3C7" w:sz="1"/>
              <w:left w:val="single" w:color="BDC3C7" w:sz="1"/>
              <w:bottom w:val="single" w:color="BDC3C7" w:sz="1"/>
              <w:right w:val="single" w:color="BDC3C7" w:sz="1"/>
            </w:tcBorders>
            <w:shd w:fill="1A252F" w:val="clear"/>
            <w:tcMar>
              <w:top w:type="dxa" w:w="60"/>
              <w:left w:type="dxa" w:w="100"/>
              <w:bottom w:type="dxa" w:w="60"/>
              <w:right w:type="dxa" w:w="100"/>
            </w:tcMar>
          </w:tcPr>
          <w:p>
            <w:r>
              <w:rPr>
                <w:rFonts w:ascii="Arial" w:cs="Arial" w:eastAsia="Arial" w:hAnsi="Arial"/>
                <w:b/>
                <w:bCs/>
                <w:color w:val="FFFFFF"/>
                <w:sz w:val="18"/>
                <w:szCs w:val="18"/>
              </w:rPr>
              <w:t xml:space="preserve">What it verifies</w:t>
            </w:r>
          </w:p>
        </w:tc>
      </w:tr>
      <w:tr>
        <w:tc>
          <w:tcPr>
            <w:tcW w:type="dxa" w:w="3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test_forward_rate_formula_manual</w:t>
            </w:r>
          </w:p>
        </w:tc>
        <w:tc>
          <w:tcPr>
            <w:tcW w:type="dxa" w:w="6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Manual check: f(1,2) with s1=2%, s2=3% = 4.009%</w:t>
            </w:r>
          </w:p>
        </w:tc>
      </w:tr>
      <w:tr>
        <w:tc>
          <w:tcPr>
            <w:tcW w:type="dxa" w:w="30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test_forward_rate_no_arbitrage</w:t>
            </w:r>
          </w:p>
        </w:tc>
        <w:tc>
          <w:tcPr>
            <w:tcW w:type="dxa" w:w="636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No-arbitrage: (1+s2)^2 = (1+s1)*(1+fwd) for all observations</w:t>
            </w:r>
          </w:p>
        </w:tc>
      </w:tr>
      <w:tr>
        <w:tc>
          <w:tcPr>
            <w:tcW w:type="dxa" w:w="3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test_forward_rate_positive_slope</w:t>
            </w:r>
          </w:p>
        </w:tc>
        <w:tc>
          <w:tcPr>
            <w:tcW w:type="dxa" w:w="6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When curve is upward sloping, fwd &gt; spot (holds &gt;95% of cases)</w:t>
            </w:r>
          </w:p>
        </w:tc>
      </w:tr>
      <w:tr>
        <w:tc>
          <w:tcPr>
            <w:tcW w:type="dxa" w:w="30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test_fwd_shift_alignment</w:t>
            </w:r>
          </w:p>
        </w:tc>
        <w:tc>
          <w:tcPr>
            <w:tcW w:type="dxa" w:w="636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shift(-12) reduces non-NaN count by exactly 12</w:t>
            </w:r>
          </w:p>
        </w:tc>
      </w:tr>
    </w:tbl>
    <w:p>
      <w:pPr>
        <w:pStyle w:val="Heading2"/>
        <w:spacing w:before="200" w:after="80"/>
      </w:pPr>
      <w:r>
        <w:rPr>
          <w:rFonts w:ascii="Arial" w:cs="Arial" w:eastAsia="Arial" w:hAnsi="Arial"/>
          <w:b/>
          <w:bCs/>
          <w:color w:val="1F618D"/>
          <w:sz w:val="22"/>
          <w:szCs w:val="22"/>
        </w:rPr>
        <w:t xml:space="preserve">4.4 TestRegressions (5 tests)</w:t>
      </w:r>
    </w:p>
    <w:p>
      <w:pPr>
        <w:spacing w:before="60" w:after="60"/>
      </w:pPr>
      <w:r>
        <w:rPr>
          <w:rFonts w:ascii="Arial" w:cs="Arial" w:eastAsia="Arial" w:hAnsi="Arial"/>
          <w:color w:val="1A252F"/>
          <w:sz w:val="19"/>
          <w:szCs w:val="19"/>
        </w:rPr>
        <w:t xml:space="preserve">Tests that regression outputs are in the expected range. These are regression tests — if results change significantly after a code edit, something broke.</w:t>
      </w:r>
    </w:p>
    <w:p>
      <w:pPr>
        <w:spacing w:before="0" w:after="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c>
          <w:tcPr>
            <w:tcW w:type="dxa" w:w="3000"/>
            <w:tcBorders>
              <w:top w:val="single" w:color="BDC3C7" w:sz="1"/>
              <w:left w:val="single" w:color="BDC3C7" w:sz="1"/>
              <w:bottom w:val="single" w:color="BDC3C7" w:sz="1"/>
              <w:right w:val="single" w:color="BDC3C7" w:sz="1"/>
            </w:tcBorders>
            <w:shd w:fill="1A252F" w:val="clear"/>
            <w:tcMar>
              <w:top w:type="dxa" w:w="60"/>
              <w:left w:type="dxa" w:w="100"/>
              <w:bottom w:type="dxa" w:w="60"/>
              <w:right w:type="dxa" w:w="100"/>
            </w:tcMar>
          </w:tcPr>
          <w:p>
            <w:r>
              <w:rPr>
                <w:rFonts w:ascii="Arial" w:cs="Arial" w:eastAsia="Arial" w:hAnsi="Arial"/>
                <w:b/>
                <w:bCs/>
                <w:color w:val="FFFFFF"/>
                <w:sz w:val="18"/>
                <w:szCs w:val="18"/>
              </w:rPr>
              <w:t xml:space="preserve">Test name</w:t>
            </w:r>
          </w:p>
        </w:tc>
        <w:tc>
          <w:tcPr>
            <w:tcW w:type="dxa" w:w="2400"/>
            <w:tcBorders>
              <w:top w:val="single" w:color="BDC3C7" w:sz="1"/>
              <w:left w:val="single" w:color="BDC3C7" w:sz="1"/>
              <w:bottom w:val="single" w:color="BDC3C7" w:sz="1"/>
              <w:right w:val="single" w:color="BDC3C7" w:sz="1"/>
            </w:tcBorders>
            <w:shd w:fill="1A252F" w:val="clear"/>
            <w:tcMar>
              <w:top w:type="dxa" w:w="60"/>
              <w:left w:type="dxa" w:w="100"/>
              <w:bottom w:type="dxa" w:w="60"/>
              <w:right w:type="dxa" w:w="100"/>
            </w:tcMar>
          </w:tcPr>
          <w:p>
            <w:r>
              <w:rPr>
                <w:rFonts w:ascii="Arial" w:cs="Arial" w:eastAsia="Arial" w:hAnsi="Arial"/>
                <w:b/>
                <w:bCs/>
                <w:color w:val="FFFFFF"/>
                <w:sz w:val="18"/>
                <w:szCs w:val="18"/>
              </w:rPr>
              <w:t xml:space="preserve">Expected value</w:t>
            </w:r>
          </w:p>
        </w:tc>
        <w:tc>
          <w:tcPr>
            <w:tcW w:type="dxa" w:w="3960"/>
            <w:tcBorders>
              <w:top w:val="single" w:color="BDC3C7" w:sz="1"/>
              <w:left w:val="single" w:color="BDC3C7" w:sz="1"/>
              <w:bottom w:val="single" w:color="BDC3C7" w:sz="1"/>
              <w:right w:val="single" w:color="BDC3C7" w:sz="1"/>
            </w:tcBorders>
            <w:shd w:fill="1A252F" w:val="clear"/>
            <w:tcMar>
              <w:top w:type="dxa" w:w="60"/>
              <w:left w:type="dxa" w:w="100"/>
              <w:bottom w:type="dxa" w:w="60"/>
              <w:right w:type="dxa" w:w="100"/>
            </w:tcMar>
          </w:tcPr>
          <w:p>
            <w:r>
              <w:rPr>
                <w:rFonts w:ascii="Arial" w:cs="Arial" w:eastAsia="Arial" w:hAnsi="Arial"/>
                <w:b/>
                <w:bCs/>
                <w:color w:val="FFFFFF"/>
                <w:sz w:val="18"/>
                <w:szCs w:val="18"/>
              </w:rPr>
              <w:t xml:space="preserve">Tolerance</w:t>
            </w:r>
          </w:p>
        </w:tc>
      </w:tr>
      <w:tr>
        <w:tc>
          <w:tcPr>
            <w:tcW w:type="dxa" w:w="3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test_fama_bliss_1y_beta</w:t>
            </w:r>
          </w:p>
        </w:tc>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Beta ≈ 0.792</w:t>
            </w:r>
          </w:p>
        </w:tc>
        <w:tc>
          <w:tcPr>
            <w:tcW w:type="dxa" w:w="39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0.60 to 0.95</w:t>
            </w:r>
          </w:p>
        </w:tc>
      </w:tr>
      <w:tr>
        <w:tc>
          <w:tcPr>
            <w:tcW w:type="dxa" w:w="30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test_fama_bliss_beta_declining</w:t>
            </w:r>
          </w:p>
        </w:tc>
        <w:tc>
          <w:tcPr>
            <w:tcW w:type="dxa" w:w="24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beta_1Y &gt; beta_2Y &gt; beta_3Y</w:t>
            </w:r>
          </w:p>
        </w:tc>
        <w:tc>
          <w:tcPr>
            <w:tcW w:type="dxa" w:w="396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Strict ordering</w:t>
            </w:r>
          </w:p>
        </w:tc>
      </w:tr>
      <w:tr>
        <w:tc>
          <w:tcPr>
            <w:tcW w:type="dxa" w:w="3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test_q5_regression_r_squared</w:t>
            </w:r>
          </w:p>
        </w:tc>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R² ≈ 0.561</w:t>
            </w:r>
          </w:p>
        </w:tc>
        <w:tc>
          <w:tcPr>
            <w:tcW w:type="dxa" w:w="39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0.35 to 0.75</w:t>
            </w:r>
          </w:p>
        </w:tc>
      </w:tr>
      <w:tr>
        <w:tc>
          <w:tcPr>
            <w:tcW w:type="dxa" w:w="30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test_q5_equity_beta_positive</w:t>
            </w:r>
          </w:p>
        </w:tc>
        <w:tc>
          <w:tcPr>
            <w:tcW w:type="dxa" w:w="24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beta_equity ≈ 0.121</w:t>
            </w:r>
          </w:p>
        </w:tc>
        <w:tc>
          <w:tcPr>
            <w:tcW w:type="dxa" w:w="396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0.05 to 0.30</w:t>
            </w:r>
          </w:p>
        </w:tc>
      </w:tr>
      <w:tr>
        <w:tc>
          <w:tcPr>
            <w:tcW w:type="dxa" w:w="3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test_q5_alpha_insignificant</w:t>
            </w:r>
          </w:p>
        </w:tc>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p-value &gt; 0.05</w:t>
            </w:r>
          </w:p>
        </w:tc>
        <w:tc>
          <w:tcPr>
            <w:tcW w:type="dxa" w:w="39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Strict &gt;0.05</w:t>
            </w:r>
          </w:p>
        </w:tc>
      </w:tr>
    </w:tbl>
    <w:p>
      <w:pPr>
        <w:pStyle w:val="Heading2"/>
        <w:spacing w:before="200" w:after="80"/>
      </w:pPr>
      <w:r>
        <w:rPr>
          <w:rFonts w:ascii="Arial" w:cs="Arial" w:eastAsia="Arial" w:hAnsi="Arial"/>
          <w:b/>
          <w:bCs/>
          <w:color w:val="1F618D"/>
          <w:sz w:val="22"/>
          <w:szCs w:val="22"/>
        </w:rPr>
        <w:t xml:space="preserve">4.5 TestPortfolioStats (6 tests)</w:t>
      </w:r>
    </w:p>
    <w:p>
      <w:pPr>
        <w:spacing w:before="60" w:after="60"/>
      </w:pPr>
      <w:r>
        <w:rPr>
          <w:rFonts w:ascii="Arial" w:cs="Arial" w:eastAsia="Arial" w:hAnsi="Arial"/>
          <w:color w:val="1A252F"/>
          <w:sz w:val="19"/>
          <w:szCs w:val="19"/>
        </w:rPr>
        <w:t xml:space="preserve">Tests portfolio statistics formulas and basic economic properties.</w:t>
      </w:r>
    </w:p>
    <w:p>
      <w:pPr>
        <w:spacing w:before="0" w:after="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DC3C7" w:sz="1"/>
              <w:left w:val="single" w:color="BDC3C7" w:sz="1"/>
              <w:bottom w:val="single" w:color="BDC3C7" w:sz="1"/>
              <w:right w:val="single" w:color="BDC3C7" w:sz="1"/>
            </w:tcBorders>
            <w:shd w:fill="1A252F" w:val="clear"/>
            <w:tcMar>
              <w:top w:type="dxa" w:w="60"/>
              <w:left w:type="dxa" w:w="100"/>
              <w:bottom w:type="dxa" w:w="60"/>
              <w:right w:type="dxa" w:w="100"/>
            </w:tcMar>
          </w:tcPr>
          <w:p>
            <w:r>
              <w:rPr>
                <w:rFonts w:ascii="Arial" w:cs="Arial" w:eastAsia="Arial" w:hAnsi="Arial"/>
                <w:b/>
                <w:bCs/>
                <w:color w:val="FFFFFF"/>
                <w:sz w:val="18"/>
                <w:szCs w:val="18"/>
              </w:rPr>
              <w:t xml:space="preserve">Test name</w:t>
            </w:r>
          </w:p>
        </w:tc>
        <w:tc>
          <w:tcPr>
            <w:tcW w:type="dxa" w:w="6160"/>
            <w:tcBorders>
              <w:top w:val="single" w:color="BDC3C7" w:sz="1"/>
              <w:left w:val="single" w:color="BDC3C7" w:sz="1"/>
              <w:bottom w:val="single" w:color="BDC3C7" w:sz="1"/>
              <w:right w:val="single" w:color="BDC3C7" w:sz="1"/>
            </w:tcBorders>
            <w:shd w:fill="1A252F" w:val="clear"/>
            <w:tcMar>
              <w:top w:type="dxa" w:w="60"/>
              <w:left w:type="dxa" w:w="100"/>
              <w:bottom w:type="dxa" w:w="60"/>
              <w:right w:type="dxa" w:w="100"/>
            </w:tcMar>
          </w:tcPr>
          <w:p>
            <w:r>
              <w:rPr>
                <w:rFonts w:ascii="Arial" w:cs="Arial" w:eastAsia="Arial" w:hAnsi="Arial"/>
                <w:b/>
                <w:bCs/>
                <w:color w:val="FFFFFF"/>
                <w:sz w:val="18"/>
                <w:szCs w:val="18"/>
              </w:rPr>
              <w:t xml:space="preserve">What it verifies</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test_annualised_return_formula</w:t>
            </w:r>
          </w:p>
        </w:tc>
        <w:tc>
          <w:tcPr>
            <w:tcW w:type="dxa" w:w="6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mean(r) * 12 * 100 ≈ 2.22% for govt mid</w:t>
            </w:r>
          </w:p>
        </w:tc>
      </w:tr>
      <w:tr>
        <w:tc>
          <w:tcPr>
            <w:tcW w:type="dxa" w:w="32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test_annualised_vol_formula</w:t>
            </w:r>
          </w:p>
        </w:tc>
        <w:tc>
          <w:tcPr>
            <w:tcW w:type="dxa" w:w="616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std(r) * sqrt(12) * 100 ≈ 5.82% for govt mid</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test_sharpe_ratio_formula</w:t>
            </w:r>
          </w:p>
        </w:tc>
        <w:tc>
          <w:tcPr>
            <w:tcW w:type="dxa" w:w="6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Ann.Return / Ann.Vol ≈ 0.38 for govt mid</w:t>
            </w:r>
          </w:p>
        </w:tc>
      </w:tr>
      <w:tr>
        <w:tc>
          <w:tcPr>
            <w:tcW w:type="dxa" w:w="32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test_max_drawdown_negative</w:t>
            </w:r>
          </w:p>
        </w:tc>
        <w:tc>
          <w:tcPr>
            <w:tcW w:type="dxa" w:w="616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Drawdown is always ≤ 0 for all assets</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test_portfolio_weights_sum_to_one</w:t>
            </w:r>
          </w:p>
        </w:tc>
        <w:tc>
          <w:tcPr>
            <w:tcW w:type="dxa" w:w="6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All 6 portfolio weight dicts sum to exactly 1.0</w:t>
            </w:r>
          </w:p>
        </w:tc>
      </w:tr>
      <w:tr>
        <w:tc>
          <w:tcPr>
            <w:tcW w:type="dxa" w:w="32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test_diversification_reduces_vol</w:t>
            </w:r>
          </w:p>
        </w:tc>
        <w:tc>
          <w:tcPr>
            <w:tcW w:type="dxa" w:w="616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60/40 portfolio has lower vol than 100% equity</w:t>
            </w:r>
          </w:p>
        </w:tc>
      </w:tr>
    </w:tbl>
    <w:p>
      <w:pPr>
        <w:pStyle w:val="Heading2"/>
        <w:spacing w:before="200" w:after="80"/>
      </w:pPr>
      <w:r>
        <w:rPr>
          <w:rFonts w:ascii="Arial" w:cs="Arial" w:eastAsia="Arial" w:hAnsi="Arial"/>
          <w:b/>
          <w:bCs/>
          <w:color w:val="1F618D"/>
          <w:sz w:val="22"/>
          <w:szCs w:val="22"/>
        </w:rPr>
        <w:t xml:space="preserve">4.6 TestDataAlignment (5 tests)</w:t>
      </w:r>
    </w:p>
    <w:p>
      <w:pPr>
        <w:spacing w:before="60" w:after="60"/>
      </w:pPr>
      <w:r>
        <w:rPr>
          <w:rFonts w:ascii="Arial" w:cs="Arial" w:eastAsia="Arial" w:hAnsi="Arial"/>
          <w:color w:val="1A252F"/>
          <w:sz w:val="19"/>
          <w:szCs w:val="19"/>
        </w:rPr>
        <w:t xml:space="preserve">Tests that date index normalization works correctly. This class directly tests the fix for the Q5 NaN bug.</w:t>
      </w:r>
    </w:p>
    <w:p>
      <w:pPr>
        <w:spacing w:before="0" w:after="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DC3C7" w:sz="1"/>
              <w:left w:val="single" w:color="BDC3C7" w:sz="1"/>
              <w:bottom w:val="single" w:color="BDC3C7" w:sz="1"/>
              <w:right w:val="single" w:color="BDC3C7" w:sz="1"/>
            </w:tcBorders>
            <w:shd w:fill="1A252F" w:val="clear"/>
            <w:tcMar>
              <w:top w:type="dxa" w:w="60"/>
              <w:left w:type="dxa" w:w="100"/>
              <w:bottom w:type="dxa" w:w="60"/>
              <w:right w:type="dxa" w:w="100"/>
            </w:tcMar>
          </w:tcPr>
          <w:p>
            <w:r>
              <w:rPr>
                <w:rFonts w:ascii="Arial" w:cs="Arial" w:eastAsia="Arial" w:hAnsi="Arial"/>
                <w:b/>
                <w:bCs/>
                <w:color w:val="FFFFFF"/>
                <w:sz w:val="18"/>
                <w:szCs w:val="18"/>
              </w:rPr>
              <w:t xml:space="preserve">Test name</w:t>
            </w:r>
          </w:p>
        </w:tc>
        <w:tc>
          <w:tcPr>
            <w:tcW w:type="dxa" w:w="6160"/>
            <w:tcBorders>
              <w:top w:val="single" w:color="BDC3C7" w:sz="1"/>
              <w:left w:val="single" w:color="BDC3C7" w:sz="1"/>
              <w:bottom w:val="single" w:color="BDC3C7" w:sz="1"/>
              <w:right w:val="single" w:color="BDC3C7" w:sz="1"/>
            </w:tcBorders>
            <w:shd w:fill="1A252F" w:val="clear"/>
            <w:tcMar>
              <w:top w:type="dxa" w:w="60"/>
              <w:left w:type="dxa" w:w="100"/>
              <w:bottom w:type="dxa" w:w="60"/>
              <w:right w:type="dxa" w:w="100"/>
            </w:tcMar>
          </w:tcPr>
          <w:p>
            <w:r>
              <w:rPr>
                <w:rFonts w:ascii="Arial" w:cs="Arial" w:eastAsia="Arial" w:hAnsi="Arial"/>
                <w:b/>
                <w:bCs/>
                <w:color w:val="FFFFFF"/>
                <w:sz w:val="18"/>
                <w:szCs w:val="18"/>
              </w:rPr>
              <w:t xml:space="preserve">What it verifies</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test_etf_index_is_month_end</w:t>
            </w:r>
          </w:p>
        </w:tc>
        <w:tc>
          <w:tcPr>
            <w:tcW w:type="dxa" w:w="6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After normalization, ETF dates are month-end</w:t>
            </w:r>
          </w:p>
        </w:tc>
      </w:tr>
      <w:tr>
        <w:tc>
          <w:tcPr>
            <w:tcW w:type="dxa" w:w="32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test_msci_index_is_month_end</w:t>
            </w:r>
          </w:p>
        </w:tc>
        <w:tc>
          <w:tcPr>
            <w:tcW w:type="dxa" w:w="616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MSCI dates are already month-end</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test_aligned_join_has_no_nans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After normalization, join produces zero NaN rows</w:t>
            </w:r>
          </w:p>
        </w:tc>
      </w:tr>
      <w:tr>
        <w:tc>
          <w:tcPr>
            <w:tcW w:type="dxa" w:w="32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test_common_sample_start</w:t>
            </w:r>
          </w:p>
        </w:tc>
        <w:tc>
          <w:tcPr>
            <w:tcW w:type="dxa" w:w="616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Common sample starts in 2009 (when corp_ig available)</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test_spot_rates_monthly_frequency</w:t>
            </w:r>
          </w:p>
        </w:tc>
        <w:tc>
          <w:tcPr>
            <w:tcW w:type="dxa" w:w="6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No gaps &gt; 35 days in ECB spot rate index</w:t>
            </w:r>
          </w:p>
        </w:tc>
      </w:tr>
    </w:tbl>
    <w:p>
      <w:pPr>
        <w:pStyle w:val="Heading2"/>
        <w:spacing w:before="200" w:after="80"/>
      </w:pPr>
      <w:r>
        <w:rPr>
          <w:rFonts w:ascii="Arial" w:cs="Arial" w:eastAsia="Arial" w:hAnsi="Arial"/>
          <w:b/>
          <w:bCs/>
          <w:color w:val="1F618D"/>
          <w:sz w:val="22"/>
          <w:szCs w:val="22"/>
        </w:rPr>
        <w:t xml:space="preserve">4.7 TestModuleSmoke (5 tests)</w:t>
      </w:r>
    </w:p>
    <w:p>
      <w:pPr>
        <w:spacing w:before="60" w:after="60"/>
      </w:pPr>
      <w:r>
        <w:rPr>
          <w:rFonts w:ascii="Arial" w:cs="Arial" w:eastAsia="Arial" w:hAnsi="Arial"/>
          <w:color w:val="1A252F"/>
          <w:sz w:val="19"/>
          <w:szCs w:val="19"/>
        </w:rPr>
        <w:t xml:space="preserve">Smoke tests: each Q module is imported and run_all() is called. Uses a non-interactive matplotlib backend so no windows open. These run the full pipeline end-to-end.</w:t>
      </w:r>
    </w:p>
    <w:p>
      <w:pPr>
        <w:spacing w:before="0" w:after="0"/>
      </w:pPr>
      <w:r>
        <w:rPr>
          <w:sz w:val="8"/>
          <w:szCs w:val="8"/>
        </w:rPr>
        <w:t xml:space="preserve"/>
      </w:r>
    </w:p>
    <w:p>
      <w:pPr>
        <w:pBdr>
          <w:left w:val="single" w:color="1E8449" w:sz="10" w:space="8"/>
        </w:pBdr>
        <w:shd w:fill="EAFAF1" w:val="clear"/>
        <w:spacing w:before="80" w:after="80"/>
        <w:ind w:left="400"/>
      </w:pPr>
      <w:r>
        <w:rPr>
          <w:rFonts w:ascii="Arial" w:cs="Arial" w:eastAsia="Arial" w:hAnsi="Arial"/>
          <w:i/>
          <w:iCs/>
          <w:color w:val="1A252F"/>
          <w:sz w:val="19"/>
          <w:szCs w:val="19"/>
        </w:rPr>
        <w:t xml:space="preserve">Smoke tests are the most valuable tests for catching regressions after teammates edit code. Run these every time someone pushes to GitHub.</w:t>
      </w:r>
    </w:p>
    <w:p>
      <w:pPr>
        <w:spacing w:before="200" w:after="0"/>
      </w:pPr>
    </w:p>
    <w:p>
      <w:pPr>
        <w:pStyle w:val="Heading1"/>
        <w:pBdr>
          <w:bottom w:val="single" w:color="1F618D" w:sz="4" w:space="1"/>
        </w:pBdr>
        <w:spacing w:before="280" w:after="100"/>
      </w:pPr>
      <w:r>
        <w:rPr>
          <w:rFonts w:ascii="Arial" w:cs="Arial" w:eastAsia="Arial" w:hAnsi="Arial"/>
          <w:b/>
          <w:bCs/>
          <w:color w:val="1A252F"/>
          <w:sz w:val="26"/>
          <w:szCs w:val="26"/>
        </w:rPr>
        <w:t xml:space="preserve">5. Interpreting Test Failures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BDC3C7" w:sz="1"/>
              <w:left w:val="single" w:color="BDC3C7" w:sz="1"/>
              <w:bottom w:val="single" w:color="BDC3C7" w:sz="1"/>
              <w:right w:val="single" w:color="BDC3C7" w:sz="1"/>
            </w:tcBorders>
            <w:shd w:fill="1A252F" w:val="clear"/>
            <w:tcMar>
              <w:top w:type="dxa" w:w="60"/>
              <w:left w:type="dxa" w:w="100"/>
              <w:bottom w:type="dxa" w:w="60"/>
              <w:right w:type="dxa" w:w="100"/>
            </w:tcMar>
          </w:tcPr>
          <w:p>
            <w:r>
              <w:rPr>
                <w:rFonts w:ascii="Arial" w:cs="Arial" w:eastAsia="Arial" w:hAnsi="Arial"/>
                <w:b/>
                <w:bCs/>
                <w:color w:val="FFFFFF"/>
                <w:sz w:val="18"/>
                <w:szCs w:val="18"/>
              </w:rPr>
              <w:t xml:space="preserve">Failure pattern</w:t>
            </w:r>
          </w:p>
        </w:tc>
        <w:tc>
          <w:tcPr>
            <w:tcW w:type="dxa" w:w="3200"/>
            <w:tcBorders>
              <w:top w:val="single" w:color="BDC3C7" w:sz="1"/>
              <w:left w:val="single" w:color="BDC3C7" w:sz="1"/>
              <w:bottom w:val="single" w:color="BDC3C7" w:sz="1"/>
              <w:right w:val="single" w:color="BDC3C7" w:sz="1"/>
            </w:tcBorders>
            <w:shd w:fill="1A252F" w:val="clear"/>
            <w:tcMar>
              <w:top w:type="dxa" w:w="60"/>
              <w:left w:type="dxa" w:w="100"/>
              <w:bottom w:type="dxa" w:w="60"/>
              <w:right w:type="dxa" w:w="100"/>
            </w:tcMar>
          </w:tcPr>
          <w:p>
            <w:r>
              <w:rPr>
                <w:rFonts w:ascii="Arial" w:cs="Arial" w:eastAsia="Arial" w:hAnsi="Arial"/>
                <w:b/>
                <w:bCs/>
                <w:color w:val="FFFFFF"/>
                <w:sz w:val="18"/>
                <w:szCs w:val="18"/>
              </w:rPr>
              <w:t xml:space="preserve">Most likely cause</w:t>
            </w:r>
          </w:p>
        </w:tc>
        <w:tc>
          <w:tcPr>
            <w:tcW w:type="dxa" w:w="3560"/>
            <w:tcBorders>
              <w:top w:val="single" w:color="BDC3C7" w:sz="1"/>
              <w:left w:val="single" w:color="BDC3C7" w:sz="1"/>
              <w:bottom w:val="single" w:color="BDC3C7" w:sz="1"/>
              <w:right w:val="single" w:color="BDC3C7" w:sz="1"/>
            </w:tcBorders>
            <w:shd w:fill="1A252F" w:val="clear"/>
            <w:tcMar>
              <w:top w:type="dxa" w:w="60"/>
              <w:left w:type="dxa" w:w="100"/>
              <w:bottom w:type="dxa" w:w="60"/>
              <w:right w:type="dxa" w:w="100"/>
            </w:tcMar>
          </w:tcPr>
          <w:p>
            <w:r>
              <w:rPr>
                <w:rFonts w:ascii="Arial" w:cs="Arial" w:eastAsia="Arial" w:hAnsi="Arial"/>
                <w:b/>
                <w:bCs/>
                <w:color w:val="FFFFFF"/>
                <w:sz w:val="18"/>
                <w:szCs w:val="18"/>
              </w:rPr>
              <w:t xml:space="preserve">Where to look</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All TestDataIntegrity tests fail</w:t>
            </w:r>
          </w:p>
        </w:tc>
        <w:tc>
          <w:tcPr>
            <w:tcW w:type="dxa" w:w="3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data_import.py not run, or run from wrong directory</w:t>
            </w:r>
          </w:p>
        </w:tc>
        <w:tc>
          <w:tcPr>
            <w:tcW w:type="dxa" w:w="3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Run python data/data_import.py from project root</w:t>
            </w:r>
          </w:p>
        </w:tc>
      </w:tr>
      <w:tr>
        <w:tc>
          <w:tcPr>
            <w:tcW w:type="dxa" w:w="26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test_2008_equity_crash fails</w:t>
            </w:r>
          </w:p>
        </w:tc>
        <w:tc>
          <w:tcPr>
            <w:tcW w:type="dxa" w:w="32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MSCI data not resampled correctly, or wrong CSV</w:t>
            </w:r>
          </w:p>
        </w:tc>
        <w:tc>
          <w:tcPr>
            <w:tcW w:type="dxa" w:w="356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Check data/raw/MSCI_Europe_daily.csv, rerun fetch_and_save_msci()</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test_fama_bliss_beta_declining fails</w:t>
            </w:r>
          </w:p>
        </w:tc>
        <w:tc>
          <w:tcPr>
            <w:tcW w:type="dxa" w:w="3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shift() direction wrong in Q2, or wrong forward formula</w:t>
            </w:r>
          </w:p>
        </w:tc>
        <w:tc>
          <w:tcPr>
            <w:tcW w:type="dxa" w:w="3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Check Q2_forward_rates.py compute_forward_rates() and build_regression_data()</w:t>
            </w:r>
          </w:p>
        </w:tc>
      </w:tr>
      <w:tr>
        <w:tc>
          <w:tcPr>
            <w:tcW w:type="dxa" w:w="26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test_aligned_join_has_no_nans fails</w:t>
            </w:r>
          </w:p>
        </w:tc>
        <w:tc>
          <w:tcPr>
            <w:tcW w:type="dxa" w:w="32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Index normalization missing or applied to wrong object</w:t>
            </w:r>
          </w:p>
        </w:tc>
        <w:tc>
          <w:tcPr>
            <w:tcW w:type="dxa" w:w="356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Check load_all_returns() in Q5, ensure both .to_period('M').to_timestamp('M') calls present</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test_portfolio_weights_sum_to_one fails</w:t>
            </w:r>
          </w:p>
        </w:tc>
        <w:tc>
          <w:tcPr>
            <w:tcW w:type="dxa" w:w="3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Weight dict edited and typo introduced</w:t>
            </w:r>
          </w:p>
        </w:tc>
        <w:tc>
          <w:tcPr>
            <w:tcW w:type="dxa" w:w="3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Check BOND_PORTFOLIOS and MIXED_PORTFOLIOS dicts in Q5</w:t>
            </w:r>
          </w:p>
        </w:tc>
      </w:tr>
      <w:tr>
        <w:tc>
          <w:tcPr>
            <w:tcW w:type="dxa" w:w="26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test_q5_alpha_insignificant fails</w:t>
            </w:r>
          </w:p>
        </w:tc>
        <w:tc>
          <w:tcPr>
            <w:tcW w:type="dxa" w:w="32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Data window changed significantly, or wrong regression spec</w:t>
            </w:r>
          </w:p>
        </w:tc>
        <w:tc>
          <w:tcPr>
            <w:tcW w:type="dxa" w:w="356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Check that corp_ig and equity/govt are on the same date index in Q5</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All TestModuleSmoke tests fail</w:t>
            </w:r>
          </w:p>
        </w:tc>
        <w:tc>
          <w:tcPr>
            <w:tcW w:type="dxa" w:w="3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Import error — usually a missing dependency or renamed function</w:t>
            </w:r>
          </w:p>
        </w:tc>
        <w:tc>
          <w:tcPr>
            <w:tcW w:type="dxa" w:w="3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val="false"/>
                <w:bCs w:val="false"/>
                <w:color w:val="1A252F"/>
                <w:sz w:val="18"/>
                <w:szCs w:val="18"/>
              </w:rPr>
              <w:t xml:space="preserve">Run python -c 'import src.Q1_yield_curve' to see the exact import error</w:t>
            </w:r>
          </w:p>
        </w:tc>
      </w:tr>
      <w:tr>
        <w:tc>
          <w:tcPr>
            <w:tcW w:type="dxa" w:w="26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One smoke test fails, others pass</w:t>
            </w:r>
          </w:p>
        </w:tc>
        <w:tc>
          <w:tcPr>
            <w:tcW w:type="dxa" w:w="32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That specific Q module has a bug introduced by recent edit</w:t>
            </w:r>
          </w:p>
        </w:tc>
        <w:tc>
          <w:tcPr>
            <w:tcW w:type="dxa" w:w="356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val="false"/>
                <w:bCs w:val="false"/>
                <w:color w:val="1A252F"/>
                <w:sz w:val="18"/>
                <w:szCs w:val="18"/>
              </w:rPr>
              <w:t xml:space="preserve">Run that module directly: python -c 'import src.Q3_duration_risk; src.Q3_duration_risk.run_all()'</w:t>
            </w:r>
          </w:p>
        </w:tc>
      </w:tr>
    </w:tbl>
    <w:p>
      <w:pPr>
        <w:spacing w:before="200" w:after="0"/>
      </w:pPr>
    </w:p>
    <w:p>
      <w:pPr>
        <w:pStyle w:val="Heading1"/>
        <w:pBdr>
          <w:bottom w:val="single" w:color="1F618D" w:sz="4" w:space="1"/>
        </w:pBdr>
        <w:spacing w:before="280" w:after="100"/>
      </w:pPr>
      <w:r>
        <w:rPr>
          <w:rFonts w:ascii="Arial" w:cs="Arial" w:eastAsia="Arial" w:hAnsi="Arial"/>
          <w:b/>
          <w:bCs/>
          <w:color w:val="1A252F"/>
          <w:sz w:val="26"/>
          <w:szCs w:val="26"/>
        </w:rPr>
        <w:t xml:space="preserve">6. Setup and CI Integration</w:t>
      </w:r>
    </w:p>
    <w:p>
      <w:pPr>
        <w:pStyle w:val="Heading2"/>
        <w:spacing w:before="200" w:after="80"/>
      </w:pPr>
      <w:r>
        <w:rPr>
          <w:rFonts w:ascii="Arial" w:cs="Arial" w:eastAsia="Arial" w:hAnsi="Arial"/>
          <w:b/>
          <w:bCs/>
          <w:color w:val="1F618D"/>
          <w:sz w:val="22"/>
          <w:szCs w:val="22"/>
        </w:rPr>
        <w:t xml:space="preserve">6.1 Installing pytest</w:t>
      </w:r>
    </w:p>
    <w:p>
      <w:pPr>
        <w:shd w:fill="F4F6F7" w:val="clear"/>
        <w:spacing w:before="40" w:after="40"/>
        <w:ind w:left="560"/>
      </w:pPr>
      <w:r>
        <w:rPr>
          <w:rFonts w:ascii="Courier New" w:cs="Courier New" w:eastAsia="Courier New" w:hAnsi="Courier New"/>
          <w:color w:val="1A252F"/>
          <w:sz w:val="17"/>
          <w:szCs w:val="17"/>
        </w:rPr>
        <w:t xml:space="preserve">pip install pytest</w:t>
      </w:r>
    </w:p>
    <w:p>
      <w:pPr>
        <w:shd w:fill="F4F6F7" w:val="clear"/>
        <w:spacing w:before="40" w:after="40"/>
        <w:ind w:left="560"/>
      </w:pPr>
      <w:r>
        <w:rPr>
          <w:rFonts w:ascii="Courier New" w:cs="Courier New" w:eastAsia="Courier New" w:hAnsi="Courier New"/>
          <w:color w:val="1A252F"/>
          <w:sz w:val="17"/>
          <w:szCs w:val="17"/>
        </w:rPr>
        <w:t xml:space="preserve"># or add to requirements.txt:</w:t>
      </w:r>
    </w:p>
    <w:p>
      <w:pPr>
        <w:shd w:fill="F4F6F7" w:val="clear"/>
        <w:spacing w:before="40" w:after="40"/>
        <w:ind w:left="560"/>
      </w:pPr>
      <w:r>
        <w:rPr>
          <w:rFonts w:ascii="Courier New" w:cs="Courier New" w:eastAsia="Courier New" w:hAnsi="Courier New"/>
          <w:color w:val="1A252F"/>
          <w:sz w:val="17"/>
          <w:szCs w:val="17"/>
        </w:rPr>
        <w:t xml:space="preserve">pytest&gt;=7.0</w:t>
      </w:r>
    </w:p>
    <w:p>
      <w:pPr>
        <w:spacing w:before="0" w:after="0"/>
      </w:pPr>
      <w:r>
        <w:rPr>
          <w:sz w:val="8"/>
          <w:szCs w:val="8"/>
        </w:rPr>
        <w:t xml:space="preserve"/>
      </w:r>
    </w:p>
    <w:p>
      <w:pPr>
        <w:pStyle w:val="Heading2"/>
        <w:spacing w:before="200" w:after="80"/>
      </w:pPr>
      <w:r>
        <w:rPr>
          <w:rFonts w:ascii="Arial" w:cs="Arial" w:eastAsia="Arial" w:hAnsi="Arial"/>
          <w:b/>
          <w:bCs/>
          <w:color w:val="1F618D"/>
          <w:sz w:val="22"/>
          <w:szCs w:val="22"/>
        </w:rPr>
        <w:t xml:space="preserve">6.2 Running tests</w:t>
      </w:r>
    </w:p>
    <w:p>
      <w:pPr>
        <w:shd w:fill="F4F6F7" w:val="clear"/>
        <w:spacing w:before="40" w:after="40"/>
        <w:ind w:left="560"/>
      </w:pPr>
      <w:r>
        <w:rPr>
          <w:rFonts w:ascii="Courier New" w:cs="Courier New" w:eastAsia="Courier New" w:hAnsi="Courier New"/>
          <w:color w:val="1A252F"/>
          <w:sz w:val="17"/>
          <w:szCs w:val="17"/>
        </w:rPr>
        <w:t xml:space="preserve"># Run all tests with verbose output</w:t>
      </w:r>
    </w:p>
    <w:p>
      <w:pPr>
        <w:shd w:fill="F4F6F7" w:val="clear"/>
        <w:spacing w:before="40" w:after="40"/>
        <w:ind w:left="560"/>
      </w:pPr>
      <w:r>
        <w:rPr>
          <w:rFonts w:ascii="Courier New" w:cs="Courier New" w:eastAsia="Courier New" w:hAnsi="Courier New"/>
          <w:color w:val="1A252F"/>
          <w:sz w:val="17"/>
          <w:szCs w:val="17"/>
        </w:rPr>
        <w:t xml:space="preserve">pytest tests/test_pipeline.py -v</w:t>
      </w:r>
    </w:p>
    <w:p>
      <w:pPr>
        <w:spacing w:before="0" w:after="0"/>
      </w:pPr>
      <w:r>
        <w:rPr>
          <w:sz w:val="8"/>
          <w:szCs w:val="8"/>
        </w:rPr>
        <w:t xml:space="preserve"/>
      </w:r>
    </w:p>
    <w:p>
      <w:pPr>
        <w:shd w:fill="F4F6F7" w:val="clear"/>
        <w:spacing w:before="40" w:after="40"/>
        <w:ind w:left="560"/>
      </w:pPr>
      <w:r>
        <w:rPr>
          <w:rFonts w:ascii="Courier New" w:cs="Courier New" w:eastAsia="Courier New" w:hAnsi="Courier New"/>
          <w:color w:val="1A252F"/>
          <w:sz w:val="17"/>
          <w:szCs w:val="17"/>
        </w:rPr>
        <w:t xml:space="preserve"># Run only one class</w:t>
      </w:r>
    </w:p>
    <w:p>
      <w:pPr>
        <w:shd w:fill="F4F6F7" w:val="clear"/>
        <w:spacing w:before="40" w:after="40"/>
        <w:ind w:left="560"/>
      </w:pPr>
      <w:r>
        <w:rPr>
          <w:rFonts w:ascii="Courier New" w:cs="Courier New" w:eastAsia="Courier New" w:hAnsi="Courier New"/>
          <w:color w:val="1A252F"/>
          <w:sz w:val="17"/>
          <w:szCs w:val="17"/>
        </w:rPr>
        <w:t xml:space="preserve">pytest tests/test_pipeline.py::TestReturnCalculations -v</w:t>
      </w:r>
    </w:p>
    <w:p>
      <w:pPr>
        <w:spacing w:before="0" w:after="0"/>
      </w:pPr>
      <w:r>
        <w:rPr>
          <w:sz w:val="8"/>
          <w:szCs w:val="8"/>
        </w:rPr>
        <w:t xml:space="preserve"/>
      </w:r>
    </w:p>
    <w:p>
      <w:pPr>
        <w:shd w:fill="F4F6F7" w:val="clear"/>
        <w:spacing w:before="40" w:after="40"/>
        <w:ind w:left="560"/>
      </w:pPr>
      <w:r>
        <w:rPr>
          <w:rFonts w:ascii="Courier New" w:cs="Courier New" w:eastAsia="Courier New" w:hAnsi="Courier New"/>
          <w:color w:val="1A252F"/>
          <w:sz w:val="17"/>
          <w:szCs w:val="17"/>
        </w:rPr>
        <w:t xml:space="preserve"># Run only one specific test</w:t>
      </w:r>
    </w:p>
    <w:p>
      <w:pPr>
        <w:shd w:fill="F4F6F7" w:val="clear"/>
        <w:spacing w:before="40" w:after="40"/>
        <w:ind w:left="560"/>
      </w:pPr>
      <w:r>
        <w:rPr>
          <w:rFonts w:ascii="Courier New" w:cs="Courier New" w:eastAsia="Courier New" w:hAnsi="Courier New"/>
          <w:color w:val="1A252F"/>
          <w:sz w:val="17"/>
          <w:szCs w:val="17"/>
        </w:rPr>
        <w:t xml:space="preserve">pytest tests/test_pipeline.py::TestPortfolioStats::test_portfolio_weights_sum_to_one -v</w:t>
      </w:r>
    </w:p>
    <w:p>
      <w:pPr>
        <w:spacing w:before="0" w:after="0"/>
      </w:pPr>
      <w:r>
        <w:rPr>
          <w:sz w:val="8"/>
          <w:szCs w:val="8"/>
        </w:rPr>
        <w:t xml:space="preserve"/>
      </w:r>
    </w:p>
    <w:p>
      <w:pPr>
        <w:shd w:fill="F4F6F7" w:val="clear"/>
        <w:spacing w:before="40" w:after="40"/>
        <w:ind w:left="560"/>
      </w:pPr>
      <w:r>
        <w:rPr>
          <w:rFonts w:ascii="Courier New" w:cs="Courier New" w:eastAsia="Courier New" w:hAnsi="Courier New"/>
          <w:color w:val="1A252F"/>
          <w:sz w:val="17"/>
          <w:szCs w:val="17"/>
        </w:rPr>
        <w:t xml:space="preserve"># Stop at first failure</w:t>
      </w:r>
    </w:p>
    <w:p>
      <w:pPr>
        <w:shd w:fill="F4F6F7" w:val="clear"/>
        <w:spacing w:before="40" w:after="40"/>
        <w:ind w:left="560"/>
      </w:pPr>
      <w:r>
        <w:rPr>
          <w:rFonts w:ascii="Courier New" w:cs="Courier New" w:eastAsia="Courier New" w:hAnsi="Courier New"/>
          <w:color w:val="1A252F"/>
          <w:sz w:val="17"/>
          <w:szCs w:val="17"/>
        </w:rPr>
        <w:t xml:space="preserve">pytest tests/test_pipeline.py -x</w:t>
      </w:r>
    </w:p>
    <w:p>
      <w:pPr>
        <w:spacing w:before="0" w:after="0"/>
      </w:pPr>
      <w:r>
        <w:rPr>
          <w:sz w:val="8"/>
          <w:szCs w:val="8"/>
        </w:rPr>
        <w:t xml:space="preserve"/>
      </w:r>
    </w:p>
    <w:p>
      <w:pPr>
        <w:shd w:fill="F4F6F7" w:val="clear"/>
        <w:spacing w:before="40" w:after="40"/>
        <w:ind w:left="560"/>
      </w:pPr>
      <w:r>
        <w:rPr>
          <w:rFonts w:ascii="Courier New" w:cs="Courier New" w:eastAsia="Courier New" w:hAnsi="Courier New"/>
          <w:color w:val="1A252F"/>
          <w:sz w:val="17"/>
          <w:szCs w:val="17"/>
        </w:rPr>
        <w:t xml:space="preserve"># Show print statements (useful for debugging)</w:t>
      </w:r>
    </w:p>
    <w:p>
      <w:pPr>
        <w:shd w:fill="F4F6F7" w:val="clear"/>
        <w:spacing w:before="40" w:after="40"/>
        <w:ind w:left="560"/>
      </w:pPr>
      <w:r>
        <w:rPr>
          <w:rFonts w:ascii="Courier New" w:cs="Courier New" w:eastAsia="Courier New" w:hAnsi="Courier New"/>
          <w:color w:val="1A252F"/>
          <w:sz w:val="17"/>
          <w:szCs w:val="17"/>
        </w:rPr>
        <w:t xml:space="preserve">pytest tests/test_pipeline.py -v -s</w:t>
      </w:r>
    </w:p>
    <w:p>
      <w:pPr>
        <w:spacing w:before="0" w:after="0"/>
      </w:pPr>
      <w:r>
        <w:rPr>
          <w:sz w:val="8"/>
          <w:szCs w:val="8"/>
        </w:rPr>
        <w:t xml:space="preserve"/>
      </w:r>
    </w:p>
    <w:p>
      <w:pPr>
        <w:pStyle w:val="Heading2"/>
        <w:spacing w:before="200" w:after="80"/>
      </w:pPr>
      <w:r>
        <w:rPr>
          <w:rFonts w:ascii="Arial" w:cs="Arial" w:eastAsia="Arial" w:hAnsi="Arial"/>
          <w:b/>
          <w:bCs/>
          <w:color w:val="1F618D"/>
          <w:sz w:val="22"/>
          <w:szCs w:val="22"/>
        </w:rPr>
        <w:t xml:space="preserve">6.3 Expected output when everything passes</w:t>
      </w:r>
    </w:p>
    <w:p>
      <w:pPr>
        <w:shd w:fill="F4F6F7" w:val="clear"/>
        <w:spacing w:before="40" w:after="40"/>
        <w:ind w:left="560"/>
      </w:pPr>
      <w:r>
        <w:rPr>
          <w:rFonts w:ascii="Courier New" w:cs="Courier New" w:eastAsia="Courier New" w:hAnsi="Courier New"/>
          <w:color w:val="1A252F"/>
          <w:sz w:val="17"/>
          <w:szCs w:val="17"/>
        </w:rPr>
        <w:t xml:space="preserve">collected 42 items</w:t>
      </w:r>
    </w:p>
    <w:p>
      <w:pPr>
        <w:shd w:fill="F4F6F7" w:val="clear"/>
        <w:spacing w:before="40" w:after="40"/>
        <w:ind w:left="560"/>
      </w:pPr>
      <w:r>
        <w:rPr>
          <w:rFonts w:ascii="Courier New" w:cs="Courier New" w:eastAsia="Courier New" w:hAnsi="Courier New"/>
          <w:color w:val="1A252F"/>
          <w:sz w:val="17"/>
          <w:szCs w:val="17"/>
        </w:rPr>
        <w:t xml:space="preserve"/>
      </w:r>
    </w:p>
    <w:p>
      <w:pPr>
        <w:shd w:fill="F4F6F7" w:val="clear"/>
        <w:spacing w:before="40" w:after="40"/>
        <w:ind w:left="560"/>
      </w:pPr>
      <w:r>
        <w:rPr>
          <w:rFonts w:ascii="Courier New" w:cs="Courier New" w:eastAsia="Courier New" w:hAnsi="Courier New"/>
          <w:color w:val="1A252F"/>
          <w:sz w:val="17"/>
          <w:szCs w:val="17"/>
        </w:rPr>
        <w:t xml:space="preserve">tests/test_pipeline.py::TestDataIntegrity::test_spot_rates_exists PASSED</w:t>
      </w:r>
    </w:p>
    <w:p>
      <w:pPr>
        <w:shd w:fill="F4F6F7" w:val="clear"/>
        <w:spacing w:before="40" w:after="40"/>
        <w:ind w:left="560"/>
      </w:pPr>
      <w:r>
        <w:rPr>
          <w:rFonts w:ascii="Courier New" w:cs="Courier New" w:eastAsia="Courier New" w:hAnsi="Courier New"/>
          <w:color w:val="1A252F"/>
          <w:sz w:val="17"/>
          <w:szCs w:val="17"/>
        </w:rPr>
        <w:t xml:space="preserve">tests/test_pipeline.py::TestDataIntegrity::test_spot_rates_columns PASSED</w:t>
      </w:r>
    </w:p>
    <w:p>
      <w:pPr>
        <w:shd w:fill="F4F6F7" w:val="clear"/>
        <w:spacing w:before="40" w:after="40"/>
        <w:ind w:left="560"/>
      </w:pPr>
      <w:r>
        <w:rPr>
          <w:rFonts w:ascii="Courier New" w:cs="Courier New" w:eastAsia="Courier New" w:hAnsi="Courier New"/>
          <w:color w:val="1A252F"/>
          <w:sz w:val="17"/>
          <w:szCs w:val="17"/>
        </w:rPr>
        <w:t xml:space="preserve">... (all 42 lines)</w:t>
      </w:r>
    </w:p>
    <w:p>
      <w:pPr>
        <w:shd w:fill="F4F6F7" w:val="clear"/>
        <w:spacing w:before="40" w:after="40"/>
        <w:ind w:left="560"/>
      </w:pPr>
      <w:r>
        <w:rPr>
          <w:rFonts w:ascii="Courier New" w:cs="Courier New" w:eastAsia="Courier New" w:hAnsi="Courier New"/>
          <w:color w:val="1A252F"/>
          <w:sz w:val="17"/>
          <w:szCs w:val="17"/>
        </w:rPr>
        <w:t xml:space="preserve"/>
      </w:r>
    </w:p>
    <w:p>
      <w:pPr>
        <w:shd w:fill="F4F6F7" w:val="clear"/>
        <w:spacing w:before="40" w:after="40"/>
        <w:ind w:left="560"/>
      </w:pPr>
      <w:r>
        <w:rPr>
          <w:rFonts w:ascii="Courier New" w:cs="Courier New" w:eastAsia="Courier New" w:hAnsi="Courier New"/>
          <w:color w:val="1A252F"/>
          <w:sz w:val="17"/>
          <w:szCs w:val="17"/>
        </w:rPr>
        <w:t xml:space="preserve">42 passed in 18.3s</w:t>
      </w:r>
    </w:p>
    <w:p>
      <w:pPr>
        <w:spacing w:before="0" w:after="0"/>
      </w:pPr>
      <w:r>
        <w:rPr>
          <w:sz w:val="8"/>
          <w:szCs w:val="8"/>
        </w:rPr>
        <w:t xml:space="preserve"/>
      </w:r>
    </w:p>
    <w:p>
      <w:pPr>
        <w:pBdr>
          <w:left w:val="single" w:color="D35400" w:sz="10" w:space="8"/>
        </w:pBdr>
        <w:shd w:fill="FEF9E7" w:val="clear"/>
        <w:spacing w:before="80" w:after="80"/>
        <w:ind w:left="400"/>
      </w:pPr>
      <w:r>
        <w:rPr>
          <w:rFonts w:ascii="Arial" w:cs="Arial" w:eastAsia="Arial" w:hAnsi="Arial"/>
          <w:i/>
          <w:iCs/>
          <w:color w:val="1A252F"/>
          <w:sz w:val="19"/>
          <w:szCs w:val="19"/>
        </w:rPr>
        <w:t xml:space="preserve">The smoke tests (TestModuleSmoke) take the longest — about 15 seconds — because they run the full pipeline. The other tests take about 3 seconds total.</w:t>
      </w:r>
    </w:p>
    <w:p>
      <w:pPr>
        <w:pBdr>
          <w:bottom w:val="single" w:color="BDC3C7" w:sz="2" w:space="1"/>
        </w:pBdr>
        <w:spacing w:before="100" w:after="100"/>
      </w:pPr>
    </w:p>
    <w:p>
      <w:pPr>
        <w:spacing w:before="160" w:after="0"/>
        <w:jc w:val="center"/>
      </w:pPr>
      <w:r>
        <w:rPr>
          <w:rFonts w:ascii="Courier New" w:cs="Courier New" w:eastAsia="Courier New" w:hAnsi="Courier New"/>
          <w:color w:val="7F8C8D"/>
          <w:sz w:val="17"/>
          <w:szCs w:val="17"/>
        </w:rPr>
        <w:t xml:space="preserve">test file location: tests/test_pipeline.py  |  run with: pytest tests/test_pipeline.py -v</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9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00"/>
      <w:outlineLvl w:val="0"/>
    </w:pPr>
    <w:rPr>
      <w:rFonts w:ascii="Arial" w:cs="Arial" w:eastAsia="Arial" w:hAnsi="Arial"/>
      <w:b/>
      <w:bCs/>
      <w:sz w:val="26"/>
      <w:szCs w:val="26"/>
    </w:rPr>
  </w:style>
  <w:style w:type="paragraph" w:styleId="Heading2">
    <w:name w:val="Heading 2"/>
    <w:basedOn w:val="Normal"/>
    <w:next w:val="Normal"/>
    <w:qFormat/>
    <w:pPr>
      <w:spacing w:before="200" w:after="80"/>
      <w:outlineLvl w:val="1"/>
    </w:pPr>
    <w:rPr>
      <w:rFonts w:ascii="Arial" w:cs="Arial" w:eastAsia="Arial" w:hAnsi="Arial"/>
      <w:b/>
      <w:bCs/>
      <w:sz w:val="22"/>
      <w:szCs w:val="22"/>
    </w:rPr>
  </w:style>
  <w:style w:type="paragraph" w:styleId="Heading3">
    <w:name w:val="Heading 3"/>
    <w:basedOn w:val="Normal"/>
    <w:next w:val="Normal"/>
    <w:qFormat/>
    <w:pPr>
      <w:spacing w:before="140" w:after="60"/>
      <w:outlineLvl w:val="2"/>
    </w:pPr>
    <w:rPr>
      <w:rFonts w:ascii="Arial" w:cs="Arial" w:eastAsia="Arial" w:hAnsi="Arial"/>
      <w:b/>
      <w:b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2026-03-22T17:40:25.489Z</dcterms:created>
  <dcterms:modified xsi:type="dcterms:W3CDTF">2026-03-22T17:40:25.489Z</dcterms:modified>
</cp:coreProperties>
</file>

<file path=docProps/custom.xml><?xml version="1.0" encoding="utf-8"?>
<Properties xmlns="http://schemas.openxmlformats.org/officeDocument/2006/custom-properties" xmlns:vt="http://schemas.openxmlformats.org/officeDocument/2006/docPropsVTypes"/>
</file>