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A252F"/>
          <w:sz w:val="44"/>
          <w:szCs w:val="44"/>
        </w:rPr>
        <w:t xml:space="preserve">Data Pipeline &amp; Workflow Documentation</w:t>
      </w:r>
    </w:p>
    <w:p>
      <w:pPr>
        <w:spacing w:before="0" w:after="100"/>
        <w:jc w:val="center"/>
      </w:pPr>
      <w:r>
        <w:rPr>
          <w:rFonts w:ascii="Arial" w:cs="Arial" w:eastAsia="Arial" w:hAnsi="Arial"/>
          <w:i/>
          <w:iCs/>
          <w:color w:val="7F8C8D"/>
          <w:sz w:val="22"/>
          <w:szCs w:val="22"/>
        </w:rPr>
        <w:t xml:space="preserve">Fixed Income Case Study — European Interest Rate &amp; Corporate Bond Markets</w:t>
      </w:r>
    </w:p>
    <w:p>
      <w:pPr>
        <w:spacing w:before="0" w:after="400"/>
        <w:jc w:val="center"/>
      </w:pPr>
      <w:r>
        <w:rPr>
          <w:rFonts w:ascii="Arial" w:cs="Arial" w:eastAsia="Arial" w:hAnsi="Arial"/>
          <w:color w:val="7F8C8D"/>
          <w:sz w:val="20"/>
          <w:szCs w:val="20"/>
        </w:rPr>
        <w:t xml:space="preserve">28E00900 | Spring 2026 | v2.0 — updated after ETF column swap bug fix</w:t>
      </w:r>
    </w:p>
    <w:p>
      <w:pPr>
        <w:pBdr>
          <w:bottom w:val="single" w:color="BDC3C7" w:sz="2" w:space="1"/>
        </w:pBdr>
        <w:spacing w:before="100" w:after="100"/>
      </w:pPr>
    </w:p>
    <w:p>
      <w:pPr>
        <w:spacing w:before="60" w:after="60"/>
      </w:pPr>
      <w:r>
        <w:rPr>
          <w:rFonts w:ascii="Arial" w:cs="Arial" w:eastAsia="Arial" w:hAnsi="Arial"/>
          <w:color w:val="1A252F"/>
          <w:sz w:val="19"/>
          <w:szCs w:val="19"/>
        </w:rPr>
        <w:t xml:space="preserve">This document describes the complete data pipeline — from raw data acquisition to final analytical outputs. Any team member or LLM should be able to read this document and understand exactly what each component does, what data it consumes, what it produces, and which formulas are applied.</w:t>
      </w:r>
    </w:p>
    <w:p>
      <w:pPr>
        <w:spacing w:before="0" w:after="0"/>
      </w:pPr>
      <w:r>
        <w:rPr>
          <w:sz w:val="8"/>
          <w:szCs w:val="8"/>
        </w:rPr>
        <w:t xml:space="preserve"/>
      </w:r>
    </w:p>
    <w:p>
      <w:pPr>
        <w:pBdr>
          <w:left w:val="single" w:color="E67E22" w:sz="10" w:space="8"/>
        </w:pBdr>
        <w:shd w:fill="FEF9E7" w:val="clear"/>
        <w:spacing w:before="80" w:after="80"/>
        <w:ind w:left="400"/>
      </w:pPr>
      <w:r>
        <w:rPr>
          <w:rFonts w:ascii="Arial" w:cs="Arial" w:eastAsia="Arial" w:hAnsi="Arial"/>
          <w:i/>
          <w:iCs/>
          <w:color w:val="1A252F"/>
          <w:sz w:val="19"/>
          <w:szCs w:val="19"/>
        </w:rPr>
        <w:t xml:space="preserve">⚠️  v2.0 CHANGES: (1) Added Q5_equity_bond_portfolio.py module. (2) Added MSCI Europe data source. (3) Documented critical ETF column swap bug fix in fetch_etf_data(). (4) Added tests/test_pipeline.py. (5) Updated all ETF coverage dates to reflect actual data (2008/2009 not 2003). (6) Q5 now has its own module, not Q4.</w:t>
      </w:r>
    </w:p>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1. Project Structure</w:t>
      </w:r>
    </w:p>
    <w:p>
      <w:pPr>
        <w:shd w:fill="F4F6F7" w:val="clear"/>
        <w:spacing w:before="40" w:after="40"/>
        <w:ind w:left="560"/>
      </w:pPr>
      <w:r>
        <w:rPr>
          <w:rFonts w:ascii="Courier New" w:cs="Courier New" w:eastAsia="Courier New" w:hAnsi="Courier New"/>
          <w:color w:val="1A252F"/>
          <w:sz w:val="17"/>
          <w:szCs w:val="17"/>
        </w:rPr>
        <w:t xml:space="preserve">fixed_income_case/</w:t>
      </w:r>
    </w:p>
    <w:p>
      <w:pPr>
        <w:shd w:fill="F4F6F7" w:val="clear"/>
        <w:spacing w:before="40" w:after="40"/>
        <w:ind w:left="560"/>
      </w:pPr>
      <w:r>
        <w:rPr>
          <w:rFonts w:ascii="Courier New" w:cs="Courier New" w:eastAsia="Courier New" w:hAnsi="Courier New"/>
          <w:color w:val="1A252F"/>
          <w:sz w:val="17"/>
          <w:szCs w:val="17"/>
        </w:rPr>
        <w:t xml:space="preserve">  data/raw/                  ← untouched files (not in git)</w:t>
      </w:r>
    </w:p>
    <w:p>
      <w:pPr>
        <w:shd w:fill="F4F6F7" w:val="clear"/>
        <w:spacing w:before="40" w:after="40"/>
        <w:ind w:left="560"/>
      </w:pPr>
      <w:r>
        <w:rPr>
          <w:rFonts w:ascii="Courier New" w:cs="Courier New" w:eastAsia="Courier New" w:hAnsi="Courier New"/>
          <w:color w:val="1A252F"/>
          <w:sz w:val="17"/>
          <w:szCs w:val="17"/>
        </w:rPr>
        <w:t xml:space="preserve">  data/processed/            ← parquet files (not in git)</w:t>
      </w:r>
    </w:p>
    <w:p>
      <w:pPr>
        <w:shd w:fill="F4F6F7" w:val="clear"/>
        <w:spacing w:before="40" w:after="40"/>
        <w:ind w:left="560"/>
      </w:pPr>
      <w:r>
        <w:rPr>
          <w:rFonts w:ascii="Courier New" w:cs="Courier New" w:eastAsia="Courier New" w:hAnsi="Courier New"/>
          <w:color w:val="1A252F"/>
          <w:sz w:val="17"/>
          <w:szCs w:val="17"/>
        </w:rPr>
        <w:t xml:space="preserve">  src/</w:t>
      </w:r>
    </w:p>
    <w:p>
      <w:pPr>
        <w:shd w:fill="F4F6F7" w:val="clear"/>
        <w:spacing w:before="40" w:after="40"/>
        <w:ind w:left="560"/>
      </w:pPr>
      <w:r>
        <w:rPr>
          <w:rFonts w:ascii="Courier New" w:cs="Courier New" w:eastAsia="Courier New" w:hAnsi="Courier New"/>
          <w:color w:val="1A252F"/>
          <w:sz w:val="17"/>
          <w:szCs w:val="17"/>
        </w:rPr>
        <w:t xml:space="preserve">    __init__.py</w:t>
      </w:r>
    </w:p>
    <w:p>
      <w:pPr>
        <w:shd w:fill="F4F6F7" w:val="clear"/>
        <w:spacing w:before="40" w:after="40"/>
        <w:ind w:left="560"/>
      </w:pPr>
      <w:r>
        <w:rPr>
          <w:rFonts w:ascii="Courier New" w:cs="Courier New" w:eastAsia="Courier New" w:hAnsi="Courier New"/>
          <w:color w:val="1A252F"/>
          <w:sz w:val="17"/>
          <w:szCs w:val="17"/>
        </w:rPr>
        <w:t xml:space="preserve">    config.py                ← ALL shared constants</w:t>
      </w:r>
    </w:p>
    <w:p>
      <w:pPr>
        <w:shd w:fill="F4F6F7" w:val="clear"/>
        <w:spacing w:before="40" w:after="40"/>
        <w:ind w:left="560"/>
      </w:pPr>
      <w:r>
        <w:rPr>
          <w:rFonts w:ascii="Courier New" w:cs="Courier New" w:eastAsia="Courier New" w:hAnsi="Courier New"/>
          <w:color w:val="1A252F"/>
          <w:sz w:val="17"/>
          <w:szCs w:val="17"/>
        </w:rPr>
        <w:t xml:space="preserve">    data_loader.py           ← ALL parquet loading functions</w:t>
      </w:r>
    </w:p>
    <w:p>
      <w:pPr>
        <w:shd w:fill="F4F6F7" w:val="clear"/>
        <w:spacing w:before="40" w:after="40"/>
        <w:ind w:left="560"/>
      </w:pPr>
      <w:r>
        <w:rPr>
          <w:rFonts w:ascii="Courier New" w:cs="Courier New" w:eastAsia="Courier New" w:hAnsi="Courier New"/>
          <w:color w:val="1A252F"/>
          <w:sz w:val="17"/>
          <w:szCs w:val="17"/>
        </w:rPr>
        <w:t xml:space="preserve">    plotting.py              ← shared chart style helpers</w:t>
      </w:r>
    </w:p>
    <w:p>
      <w:pPr>
        <w:shd w:fill="F4F6F7" w:val="clear"/>
        <w:spacing w:before="40" w:after="40"/>
        <w:ind w:left="560"/>
      </w:pPr>
      <w:r>
        <w:rPr>
          <w:rFonts w:ascii="Courier New" w:cs="Courier New" w:eastAsia="Courier New" w:hAnsi="Courier New"/>
          <w:color w:val="1A252F"/>
          <w:sz w:val="17"/>
          <w:szCs w:val="17"/>
        </w:rPr>
        <w:t xml:space="preserve">    Q1_yield_curve.py</w:t>
      </w:r>
    </w:p>
    <w:p>
      <w:pPr>
        <w:shd w:fill="F4F6F7" w:val="clear"/>
        <w:spacing w:before="40" w:after="40"/>
        <w:ind w:left="560"/>
      </w:pPr>
      <w:r>
        <w:rPr>
          <w:rFonts w:ascii="Courier New" w:cs="Courier New" w:eastAsia="Courier New" w:hAnsi="Courier New"/>
          <w:color w:val="1A252F"/>
          <w:sz w:val="17"/>
          <w:szCs w:val="17"/>
        </w:rPr>
        <w:t xml:space="preserve">    Q2_forward_rates.py</w:t>
      </w:r>
    </w:p>
    <w:p>
      <w:pPr>
        <w:shd w:fill="F4F6F7" w:val="clear"/>
        <w:spacing w:before="40" w:after="40"/>
        <w:ind w:left="560"/>
      </w:pPr>
      <w:r>
        <w:rPr>
          <w:rFonts w:ascii="Courier New" w:cs="Courier New" w:eastAsia="Courier New" w:hAnsi="Courier New"/>
          <w:color w:val="1A252F"/>
          <w:sz w:val="17"/>
          <w:szCs w:val="17"/>
        </w:rPr>
        <w:t xml:space="preserve">    Q3_duration_risk.py</w:t>
      </w:r>
    </w:p>
    <w:p>
      <w:pPr>
        <w:shd w:fill="F4F6F7" w:val="clear"/>
        <w:spacing w:before="40" w:after="40"/>
        <w:ind w:left="560"/>
      </w:pPr>
      <w:r>
        <w:rPr>
          <w:rFonts w:ascii="Courier New" w:cs="Courier New" w:eastAsia="Courier New" w:hAnsi="Courier New"/>
          <w:color w:val="1A252F"/>
          <w:sz w:val="17"/>
          <w:szCs w:val="17"/>
        </w:rPr>
        <w:t xml:space="preserve">    Q4_credit_markets.py</w:t>
      </w:r>
    </w:p>
    <w:p>
      <w:pPr>
        <w:shd w:fill="F4F6F7" w:val="clear"/>
        <w:spacing w:before="40" w:after="40"/>
        <w:ind w:left="560"/>
      </w:pPr>
      <w:r>
        <w:rPr>
          <w:rFonts w:ascii="Courier New" w:cs="Courier New" w:eastAsia="Courier New" w:hAnsi="Courier New"/>
          <w:color w:val="1A252F"/>
          <w:sz w:val="17"/>
          <w:szCs w:val="17"/>
        </w:rPr>
        <w:t xml:space="preserve">    Q5_equity_bond_portfolio.py</w:t>
      </w:r>
    </w:p>
    <w:p>
      <w:pPr>
        <w:shd w:fill="F4F6F7" w:val="clear"/>
        <w:spacing w:before="40" w:after="40"/>
        <w:ind w:left="560"/>
      </w:pPr>
      <w:r>
        <w:rPr>
          <w:rFonts w:ascii="Courier New" w:cs="Courier New" w:eastAsia="Courier New" w:hAnsi="Courier New"/>
          <w:color w:val="1A252F"/>
          <w:sz w:val="17"/>
          <w:szCs w:val="17"/>
        </w:rPr>
        <w:t xml:space="preserve">  data/data_import.py        ← fetches all external data</w:t>
      </w:r>
    </w:p>
    <w:p>
      <w:pPr>
        <w:shd w:fill="F4F6F7" w:val="clear"/>
        <w:spacing w:before="40" w:after="40"/>
        <w:ind w:left="560"/>
      </w:pPr>
      <w:r>
        <w:rPr>
          <w:rFonts w:ascii="Courier New" w:cs="Courier New" w:eastAsia="Courier New" w:hAnsi="Courier New"/>
          <w:color w:val="1A252F"/>
          <w:sz w:val="17"/>
          <w:szCs w:val="17"/>
        </w:rPr>
        <w:t xml:space="preserve">  main.py                    ← master runner</w:t>
      </w:r>
    </w:p>
    <w:p>
      <w:pPr>
        <w:shd w:fill="F4F6F7" w:val="clear"/>
        <w:spacing w:before="40" w:after="40"/>
        <w:ind w:left="560"/>
      </w:pPr>
      <w:r>
        <w:rPr>
          <w:rFonts w:ascii="Courier New" w:cs="Courier New" w:eastAsia="Courier New" w:hAnsi="Courier New"/>
          <w:color w:val="1A252F"/>
          <w:sz w:val="17"/>
          <w:szCs w:val="17"/>
        </w:rPr>
        <w:t xml:space="preserve">  tests/test_pipeline.py     ← 44 automated tests</w:t>
      </w:r>
    </w:p>
    <w:p>
      <w:pPr>
        <w:shd w:fill="F4F6F7" w:val="clear"/>
        <w:spacing w:before="40" w:after="40"/>
        <w:ind w:left="560"/>
      </w:pPr>
      <w:r>
        <w:rPr>
          <w:rFonts w:ascii="Courier New" w:cs="Courier New" w:eastAsia="Courier New" w:hAnsi="Courier New"/>
          <w:color w:val="1A252F"/>
          <w:sz w:val="17"/>
          <w:szCs w:val="17"/>
        </w:rPr>
        <w:t xml:space="preserve">  outputs/                   ← saved charts (not in git)</w:t>
      </w:r>
    </w:p>
    <w:p>
      <w:pPr>
        <w:shd w:fill="F4F6F7" w:val="clear"/>
        <w:spacing w:before="40" w:after="40"/>
        <w:ind w:left="560"/>
      </w:pPr>
      <w:r>
        <w:rPr>
          <w:rFonts w:ascii="Courier New" w:cs="Courier New" w:eastAsia="Courier New" w:hAnsi="Courier New"/>
          <w:color w:val="1A252F"/>
          <w:sz w:val="17"/>
          <w:szCs w:val="17"/>
        </w:rPr>
        <w:t xml:space="preserve">  requirements.txt</w:t>
      </w:r>
    </w:p>
    <w:p>
      <w:pPr>
        <w:shd w:fill="F4F6F7" w:val="clear"/>
        <w:spacing w:before="40" w:after="40"/>
        <w:ind w:left="560"/>
      </w:pPr>
      <w:r>
        <w:rPr>
          <w:rFonts w:ascii="Courier New" w:cs="Courier New" w:eastAsia="Courier New" w:hAnsi="Courier New"/>
          <w:color w:val="1A252F"/>
          <w:sz w:val="17"/>
          <w:szCs w:val="17"/>
        </w:rPr>
        <w:t xml:space="preserve">  README.md</w:t>
      </w:r>
    </w:p>
    <w:p>
      <w:pPr>
        <w:shd w:fill="F4F6F7" w:val="clear"/>
        <w:spacing w:before="40" w:after="40"/>
        <w:ind w:left="560"/>
      </w:pPr>
      <w:r>
        <w:rPr>
          <w:rFonts w:ascii="Courier New" w:cs="Courier New" w:eastAsia="Courier New" w:hAnsi="Courier New"/>
          <w:color w:val="1A252F"/>
          <w:sz w:val="17"/>
          <w:szCs w:val="17"/>
        </w:rPr>
        <w:t xml:space="preserve">  .gitignore                 ← excludes data/, outputs/</w:t>
      </w:r>
    </w:p>
    <w:p>
      <w:pPr>
        <w:spacing w:before="0" w:after="0"/>
      </w:pPr>
      <w:r>
        <w:rPr>
          <w:sz w:val="8"/>
          <w:szCs w:val="8"/>
        </w:rPr>
        <w:t xml:space="preserve"/>
      </w:r>
    </w:p>
    <w:p>
      <w:pPr>
        <w:pBdr>
          <w:left w:val="single" w:color="1F618D" w:sz="10" w:space="8"/>
        </w:pBdr>
        <w:shd w:fill="EBF5FB" w:val="clear"/>
        <w:spacing w:before="80" w:after="80"/>
        <w:ind w:left="400"/>
      </w:pPr>
      <w:r>
        <w:rPr>
          <w:rFonts w:ascii="Arial" w:cs="Arial" w:eastAsia="Arial" w:hAnsi="Arial"/>
          <w:i/>
          <w:iCs/>
          <w:color w:val="1A252F"/>
          <w:sz w:val="19"/>
          <w:szCs w:val="19"/>
        </w:rPr>
        <w:t xml:space="preserve">ℹ️  outputs/ is also in .gitignore — charts are generated by running main.py and are not committed to git.</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1.1 Key Design Decisions</w:t>
      </w:r>
    </w:p>
    <w:p>
      <w:pPr>
        <w:pStyle w:val="ListParagraph"/>
        <w:numPr>
          <w:ilvl w:val="0"/>
          <w:numId w:val="2"/>
        </w:numPr>
        <w:spacing w:before="40" w:after="40"/>
      </w:pPr>
      <w:r>
        <w:rPr>
          <w:rFonts w:ascii="Arial" w:cs="Arial" w:eastAsia="Arial" w:hAnsi="Arial"/>
          <w:b/>
          <w:bCs/>
          <w:sz w:val="19"/>
          <w:szCs w:val="19"/>
        </w:rPr>
        <w:t xml:space="preserve">Modular Q files: </w:t>
      </w:r>
      <w:r>
        <w:rPr>
          <w:rFonts w:ascii="Arial" w:cs="Arial" w:eastAsia="Arial" w:hAnsi="Arial"/>
          <w:sz w:val="19"/>
          <w:szCs w:val="19"/>
        </w:rPr>
        <w:t xml:space="preserve">one file per question, teammates work independently.</w:t>
      </w:r>
    </w:p>
    <w:p>
      <w:pPr>
        <w:pStyle w:val="ListParagraph"/>
        <w:numPr>
          <w:ilvl w:val="0"/>
          <w:numId w:val="2"/>
        </w:numPr>
        <w:spacing w:before="40" w:after="40"/>
      </w:pPr>
      <w:r>
        <w:rPr>
          <w:rFonts w:ascii="Arial" w:cs="Arial" w:eastAsia="Arial" w:hAnsi="Arial"/>
          <w:b/>
          <w:bCs/>
          <w:sz w:val="19"/>
          <w:szCs w:val="19"/>
        </w:rPr>
        <w:t xml:space="preserve">Parquet format: </w:t>
      </w:r>
      <w:r>
        <w:rPr>
          <w:rFonts w:ascii="Arial" w:cs="Arial" w:eastAsia="Arial" w:hAnsi="Arial"/>
          <w:sz w:val="19"/>
          <w:szCs w:val="19"/>
        </w:rPr>
        <w:t xml:space="preserve">faster than CSV, preserves datetime index and dtypes. Requires pyarrow.</w:t>
      </w:r>
    </w:p>
    <w:p>
      <w:pPr>
        <w:pStyle w:val="ListParagraph"/>
        <w:numPr>
          <w:ilvl w:val="0"/>
          <w:numId w:val="2"/>
        </w:numPr>
        <w:spacing w:before="40" w:after="40"/>
      </w:pPr>
      <w:r>
        <w:rPr>
          <w:rFonts w:ascii="Arial" w:cs="Arial" w:eastAsia="Arial" w:hAnsi="Arial"/>
          <w:b/>
          <w:bCs/>
          <w:sz w:val="19"/>
          <w:szCs w:val="19"/>
        </w:rPr>
        <w:t xml:space="preserve">Log returns throughout: </w:t>
      </w:r>
      <w:r>
        <w:rPr>
          <w:rFonts w:ascii="Arial" w:cs="Arial" w:eastAsia="Arial" w:hAnsi="Arial"/>
          <w:sz w:val="19"/>
          <w:szCs w:val="19"/>
        </w:rPr>
        <w:t xml:space="preserve">ln(P_t/P_{t-1}) — additive over time, approximately normal, used everywhere.</w:t>
      </w:r>
    </w:p>
    <w:p>
      <w:pPr>
        <w:pStyle w:val="ListParagraph"/>
        <w:numPr>
          <w:ilvl w:val="0"/>
          <w:numId w:val="2"/>
        </w:numPr>
        <w:spacing w:before="40" w:after="40"/>
      </w:pPr>
      <w:r>
        <w:rPr>
          <w:rFonts w:ascii="Arial" w:cs="Arial" w:eastAsia="Arial" w:hAnsi="Arial"/>
          <w:b/>
          <w:bCs/>
          <w:sz w:val="19"/>
          <w:szCs w:val="19"/>
        </w:rPr>
        <w:t xml:space="preserve">config.py as single truth: </w:t>
      </w:r>
      <w:r>
        <w:rPr>
          <w:rFonts w:ascii="Arial" w:cs="Arial" w:eastAsia="Arial" w:hAnsi="Arial"/>
          <w:sz w:val="19"/>
          <w:szCs w:val="19"/>
        </w:rPr>
        <w:t xml:space="preserve">sub-period dates, paths, column names — change once, propagates everywhere.</w:t>
      </w:r>
    </w:p>
    <w:p>
      <w:pPr>
        <w:pStyle w:val="ListParagraph"/>
        <w:numPr>
          <w:ilvl w:val="0"/>
          <w:numId w:val="2"/>
        </w:numPr>
        <w:spacing w:before="40" w:after="40"/>
      </w:pPr>
      <w:r>
        <w:rPr>
          <w:rFonts w:ascii="Arial" w:cs="Arial" w:eastAsia="Arial" w:hAnsi="Arial"/>
          <w:b/>
          <w:bCs/>
          <w:sz w:val="19"/>
          <w:szCs w:val="19"/>
        </w:rPr>
        <w:t xml:space="preserve">Failsafe main.py: </w:t>
      </w:r>
      <w:r>
        <w:rPr>
          <w:rFonts w:ascii="Arial" w:cs="Arial" w:eastAsia="Arial" w:hAnsi="Arial"/>
          <w:sz w:val="19"/>
          <w:szCs w:val="19"/>
        </w:rPr>
        <w:t xml:space="preserve">broken or unimplemented modules skip with a warning, never crash the pipeline.</w:t>
      </w:r>
    </w:p>
    <w:p>
      <w:pPr>
        <w:pStyle w:val="ListParagraph"/>
        <w:numPr>
          <w:ilvl w:val="0"/>
          <w:numId w:val="2"/>
        </w:numPr>
        <w:spacing w:before="40" w:after="40"/>
      </w:pPr>
      <w:r>
        <w:rPr>
          <w:rFonts w:ascii="Arial" w:cs="Arial" w:eastAsia="Arial" w:hAnsi="Arial"/>
          <w:b/>
          <w:bCs/>
          <w:sz w:val="19"/>
          <w:szCs w:val="19"/>
        </w:rPr>
        <w:t xml:space="preserve">Column-safe ETF loading: </w:t>
      </w:r>
      <w:r>
        <w:rPr>
          <w:rFonts w:ascii="Arial" w:cs="Arial" w:eastAsia="Arial" w:hAnsi="Arial"/>
          <w:sz w:val="19"/>
          <w:szCs w:val="19"/>
        </w:rPr>
        <w:t xml:space="preserve">yfinance returns tickers in non-deterministic order. Always use rename(columns=reverse_map), never assign columns by position.</w:t>
      </w:r>
    </w:p>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2. config.py — Shared Constants</w:t>
      </w:r>
    </w:p>
    <w:p>
      <w:pPr>
        <w:spacing w:before="60" w:after="60"/>
      </w:pPr>
      <w:r>
        <w:rPr>
          <w:rFonts w:ascii="Arial" w:cs="Arial" w:eastAsia="Arial" w:hAnsi="Arial"/>
          <w:color w:val="1A252F"/>
          <w:sz w:val="19"/>
          <w:szCs w:val="19"/>
        </w:rPr>
        <w:t xml:space="preserve">Every module imports from config.py. If a date, path, or column name changes, edit here only.</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2.1 Sub-period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Label</w:t>
            </w:r>
          </w:p>
        </w:tc>
        <w:tc>
          <w:tcPr>
            <w:tcW w:type="dxa" w:w="1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Start</w:t>
            </w:r>
          </w:p>
        </w:tc>
        <w:tc>
          <w:tcPr>
            <w:tcW w:type="dxa" w:w="1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End</w:t>
            </w:r>
          </w:p>
        </w:tc>
        <w:tc>
          <w:tcPr>
            <w:tcW w:type="dxa" w:w="45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Key rationale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Pre-GFC (2004–2007)</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2004-09</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2007-07</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Stable expansion, ECB gradually raising rates</w:t>
            </w:r>
          </w:p>
        </w:tc>
      </w:tr>
      <w:tr>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Pre-Lehman (2007–2008)</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2007-08</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2008-08</w:t>
            </w:r>
          </w:p>
        </w:tc>
        <w:tc>
          <w:tcPr>
            <w:tcW w:type="dxa" w:w="4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Crisis onset, ECB still fighting inflation</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Post-Lehman (2008–2009)</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2008-09</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2009-12</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Lehman collapse, aggressive ECB cuts</w:t>
            </w:r>
          </w:p>
        </w:tc>
      </w:tr>
      <w:tr>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Sovereign Crisis (2010–12)</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2010-01</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2012-12</w:t>
            </w:r>
          </w:p>
        </w:tc>
        <w:tc>
          <w:tcPr>
            <w:tcW w:type="dxa" w:w="4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Peripheral spread blowout, ECB reversal</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QE Era (2013–2021)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2013-01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2021-12</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Negative rates, QE, flat curve</w:t>
            </w:r>
          </w:p>
        </w:tc>
      </w:tr>
      <w:tr>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Hiking Cycle (2022–2025)</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2022-01</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2025-12</w:t>
            </w:r>
          </w:p>
        </w:tc>
        <w:tc>
          <w:tcPr>
            <w:tcW w:type="dxa" w:w="4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Fastest ECB hiking cycle, curve inverts</w:t>
            </w:r>
          </w:p>
        </w:tc>
      </w:tr>
    </w:tbl>
    <w:p>
      <w:pPr>
        <w:spacing w:before="0" w:after="0"/>
      </w:pPr>
      <w:r>
        <w:rPr>
          <w:sz w:val="8"/>
          <w:szCs w:val="8"/>
        </w:rPr>
        <w:t xml:space="preserve"/>
      </w:r>
    </w:p>
    <w:p>
      <w:pPr>
        <w:pBdr>
          <w:left w:val="single" w:color="1F618D" w:sz="10" w:space="8"/>
        </w:pBdr>
        <w:shd w:fill="EBF5FB" w:val="clear"/>
        <w:spacing w:before="80" w:after="80"/>
        <w:ind w:left="400"/>
      </w:pPr>
      <w:r>
        <w:rPr>
          <w:rFonts w:ascii="Arial" w:cs="Arial" w:eastAsia="Arial" w:hAnsi="Arial"/>
          <w:i/>
          <w:iCs/>
          <w:color w:val="1A252F"/>
          <w:sz w:val="19"/>
          <w:szCs w:val="19"/>
        </w:rPr>
        <w:t xml:space="preserve">ℹ️  ECB AAA spot rate data starts Sep 2004. The 2000-2004 period is excluded from Q1 and Q2 analysis — documented as a known limitation.</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2.2 Maturity Columns</w:t>
      </w:r>
    </w:p>
    <w:p>
      <w:pPr>
        <w:shd w:fill="F4F6F7" w:val="clear"/>
        <w:spacing w:before="40" w:after="40"/>
        <w:ind w:left="560"/>
      </w:pPr>
      <w:r>
        <w:rPr>
          <w:rFonts w:ascii="Courier New" w:cs="Courier New" w:eastAsia="Courier New" w:hAnsi="Courier New"/>
          <w:color w:val="1A252F"/>
          <w:sz w:val="17"/>
          <w:szCs w:val="17"/>
        </w:rPr>
        <w:t xml:space="preserve">MATURITY_COLS = ['spot_1y','spot_2y','spot_3y','spot_4y','spot_5y','spot_10y','spot_30y']</w:t>
      </w:r>
    </w:p>
    <w:p>
      <w:pPr>
        <w:shd w:fill="F4F6F7" w:val="clear"/>
        <w:spacing w:before="40" w:after="40"/>
        <w:ind w:left="560"/>
      </w:pPr>
      <w:r>
        <w:rPr>
          <w:rFonts w:ascii="Courier New" w:cs="Courier New" w:eastAsia="Courier New" w:hAnsi="Courier New"/>
          <w:color w:val="1A252F"/>
          <w:sz w:val="17"/>
          <w:szCs w:val="17"/>
        </w:rPr>
        <w:t xml:space="preserve">MATURITIES    = [1, 2, 3, 4, 5, 10, 30]   # years, used as x-axis in curve plots</w:t>
      </w:r>
    </w:p>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3. data_import.py — Data Acquisition</w:t>
      </w:r>
    </w:p>
    <w:p>
      <w:pPr>
        <w:spacing w:before="60" w:after="60"/>
      </w:pPr>
      <w:r>
        <w:rPr>
          <w:rFonts w:ascii="Arial" w:cs="Arial" w:eastAsia="Arial" w:hAnsi="Arial"/>
          <w:color w:val="1A252F"/>
          <w:sz w:val="19"/>
          <w:szCs w:val="19"/>
        </w:rPr>
        <w:t xml:space="preserve">Fetches all external data and saves clean parquet files to data/processed/. Run once before main.py. Each source toggled by boolean flags.</w:t>
      </w:r>
    </w:p>
    <w:p>
      <w:pPr>
        <w:shd w:fill="F4F6F7" w:val="clear"/>
        <w:spacing w:before="40" w:after="40"/>
        <w:ind w:left="560"/>
      </w:pPr>
      <w:r>
        <w:rPr>
          <w:rFonts w:ascii="Courier New" w:cs="Courier New" w:eastAsia="Courier New" w:hAnsi="Courier New"/>
          <w:color w:val="1A252F"/>
          <w:sz w:val="17"/>
          <w:szCs w:val="17"/>
        </w:rPr>
        <w:t xml:space="preserve">import_ecb_spot = True/False</w:t>
      </w:r>
    </w:p>
    <w:p>
      <w:pPr>
        <w:shd w:fill="F4F6F7" w:val="clear"/>
        <w:spacing w:before="40" w:after="40"/>
        <w:ind w:left="560"/>
      </w:pPr>
      <w:r>
        <w:rPr>
          <w:rFonts w:ascii="Courier New" w:cs="Courier New" w:eastAsia="Courier New" w:hAnsi="Courier New"/>
          <w:color w:val="1A252F"/>
          <w:sz w:val="17"/>
          <w:szCs w:val="17"/>
        </w:rPr>
        <w:t xml:space="preserve">import_etf_data = True/False</w:t>
      </w:r>
    </w:p>
    <w:p>
      <w:pPr>
        <w:shd w:fill="F4F6F7" w:val="clear"/>
        <w:spacing w:before="40" w:after="40"/>
        <w:ind w:left="560"/>
      </w:pPr>
      <w:r>
        <w:rPr>
          <w:rFonts w:ascii="Courier New" w:cs="Courier New" w:eastAsia="Courier New" w:hAnsi="Courier New"/>
          <w:color w:val="1A252F"/>
          <w:sz w:val="17"/>
          <w:szCs w:val="17"/>
        </w:rPr>
        <w:t xml:space="preserve">import_msci     = True/False</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3.1 ECB AAA Spot Rates</w:t>
      </w:r>
    </w:p>
    <w:p>
      <w:pPr>
        <w:pStyle w:val="Heading3"/>
        <w:spacing w:before="140" w:after="60"/>
      </w:pPr>
      <w:r>
        <w:rPr>
          <w:rFonts w:ascii="Arial" w:cs="Arial" w:eastAsia="Arial" w:hAnsi="Arial"/>
          <w:b/>
          <w:bCs/>
          <w:color w:val="1A252F"/>
          <w:sz w:val="20"/>
          <w:szCs w:val="20"/>
        </w:rPr>
        <w:t xml:space="preserve">API endpoint</w:t>
      </w:r>
    </w:p>
    <w:p>
      <w:pPr>
        <w:shd w:fill="F4F6F7" w:val="clear"/>
        <w:spacing w:before="40" w:after="40"/>
        <w:ind w:left="560"/>
      </w:pPr>
      <w:r>
        <w:rPr>
          <w:rFonts w:ascii="Courier New" w:cs="Courier New" w:eastAsia="Courier New" w:hAnsi="Courier New"/>
          <w:color w:val="1A252F"/>
          <w:sz w:val="17"/>
          <w:szCs w:val="17"/>
        </w:rPr>
        <w:t xml:space="preserve">https://data-api.ecb.europa.eu/service/data/YC/B.U2.EUR.4F.G_N_A.SV_C_YM.SR_{MATURITY}?format=csvdata</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Series key component</w:t>
            </w:r>
          </w:p>
        </w:tc>
        <w:tc>
          <w:tcPr>
            <w:tcW w:type="dxa" w:w="65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G_N_A</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AAA-rated issuers only (Germany, Netherlands, Finland)</w:t>
            </w:r>
          </w:p>
        </w:tc>
      </w:tr>
      <w:tr>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SV_C_YM</w:t>
            </w:r>
          </w:p>
        </w:tc>
        <w:tc>
          <w:tcPr>
            <w:tcW w:type="dxa" w:w="6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Svensson model, continuous compounding, yield error minimisation</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SR_{MATURITY}</w:t>
            </w:r>
          </w:p>
        </w:tc>
        <w:tc>
          <w:tcPr>
            <w:tcW w:type="dxa" w:w="6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Spot rate — e.g. SR_1Y, SR_5Y, SR_10Y</w:t>
            </w:r>
          </w:p>
        </w:tc>
      </w:tr>
    </w:tbl>
    <w:p>
      <w:pPr>
        <w:spacing w:before="0" w:after="0"/>
      </w:pPr>
      <w:r>
        <w:rPr>
          <w:sz w:val="8"/>
          <w:szCs w:val="8"/>
        </w:rPr>
        <w:t xml:space="preserve"/>
      </w:r>
    </w:p>
    <w:p>
      <w:pPr>
        <w:pStyle w:val="Heading3"/>
        <w:spacing w:before="140" w:after="60"/>
      </w:pPr>
      <w:r>
        <w:rPr>
          <w:rFonts w:ascii="Arial" w:cs="Arial" w:eastAsia="Arial" w:hAnsi="Arial"/>
          <w:b/>
          <w:bCs/>
          <w:color w:val="1A252F"/>
          <w:sz w:val="20"/>
          <w:szCs w:val="20"/>
        </w:rPr>
        <w:t xml:space="preserve">Processing</w:t>
      </w:r>
    </w:p>
    <w:p>
      <w:pPr>
        <w:pStyle w:val="ListParagraph"/>
        <w:numPr>
          <w:ilvl w:val="0"/>
          <w:numId w:val="2"/>
        </w:numPr>
        <w:spacing w:before="40" w:after="40"/>
      </w:pPr>
      <w:r>
        <w:rPr>
          <w:rFonts w:ascii="Arial" w:cs="Arial" w:eastAsia="Arial" w:hAnsi="Arial"/>
          <w:sz w:val="19"/>
          <w:szCs w:val="19"/>
        </w:rPr>
        <w:t xml:space="preserve">One API call per maturity → CSV with TIME_PERIOD and OBS_VALUE columns</w:t>
      </w:r>
    </w:p>
    <w:p>
      <w:pPr>
        <w:pStyle w:val="ListParagraph"/>
        <w:numPr>
          <w:ilvl w:val="0"/>
          <w:numId w:val="2"/>
        </w:numPr>
        <w:spacing w:before="40" w:after="40"/>
      </w:pPr>
      <w:r>
        <w:rPr>
          <w:rFonts w:ascii="Arial" w:cs="Arial" w:eastAsia="Arial" w:hAnsi="Arial"/>
          <w:sz w:val="19"/>
          <w:szCs w:val="19"/>
        </w:rPr>
        <w:t xml:space="preserve">Concatenated column-wise into single DataFrame</w:t>
      </w:r>
    </w:p>
    <w:p>
      <w:pPr>
        <w:pStyle w:val="ListParagraph"/>
        <w:numPr>
          <w:ilvl w:val="0"/>
          <w:numId w:val="2"/>
        </w:numPr>
        <w:spacing w:before="40" w:after="40"/>
      </w:pPr>
      <w:r>
        <w:rPr>
          <w:rFonts w:ascii="Arial" w:cs="Arial" w:eastAsia="Arial" w:hAnsi="Arial"/>
          <w:sz w:val="19"/>
          <w:szCs w:val="19"/>
        </w:rPr>
        <w:t xml:space="preserve">Resampled to month-end: .resample('ME').last()</w:t>
      </w:r>
    </w:p>
    <w:p>
      <w:pPr>
        <w:pStyle w:val="ListParagraph"/>
        <w:numPr>
          <w:ilvl w:val="0"/>
          <w:numId w:val="2"/>
        </w:numPr>
        <w:spacing w:before="40" w:after="40"/>
      </w:pPr>
      <w:r>
        <w:rPr>
          <w:rFonts w:ascii="Arial" w:cs="Arial" w:eastAsia="Arial" w:hAnsi="Arial"/>
          <w:sz w:val="19"/>
          <w:szCs w:val="19"/>
        </w:rPr>
        <w:t xml:space="preserve">Filtered: 2004-01 to 2025-12</w:t>
      </w:r>
    </w:p>
    <w:p>
      <w:pPr>
        <w:pStyle w:val="Heading3"/>
        <w:spacing w:before="140" w:after="60"/>
      </w:pPr>
      <w:r>
        <w:rPr>
          <w:rFonts w:ascii="Arial" w:cs="Arial" w:eastAsia="Arial" w:hAnsi="Arial"/>
          <w:b/>
          <w:bCs/>
          <w:color w:val="1A252F"/>
          <w:sz w:val="20"/>
          <w:szCs w:val="20"/>
        </w:rPr>
        <w:t xml:space="preserve">Output schema</w:t>
      </w:r>
    </w:p>
    <w:p>
      <w:pPr>
        <w:shd w:fill="F4F6F7" w:val="clear"/>
        <w:spacing w:before="40" w:after="40"/>
        <w:ind w:left="560"/>
      </w:pPr>
      <w:r>
        <w:rPr>
          <w:rFonts w:ascii="Courier New" w:cs="Courier New" w:eastAsia="Courier New" w:hAnsi="Courier New"/>
          <w:color w:val="1A252F"/>
          <w:sz w:val="17"/>
          <w:szCs w:val="17"/>
        </w:rPr>
        <w:t xml:space="preserve">ecb_spot_rates.parquet | Index: month-end datetime | Columns: spot_1y...spot_30y | Units: percent</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3.2 ETF Total Returns</w:t>
      </w:r>
    </w:p>
    <w:p>
      <w:pPr>
        <w:pStyle w:val="Heading3"/>
        <w:spacing w:before="140" w:after="60"/>
      </w:pPr>
      <w:r>
        <w:rPr>
          <w:rFonts w:ascii="Arial" w:cs="Arial" w:eastAsia="Arial" w:hAnsi="Arial"/>
          <w:b/>
          <w:bCs/>
          <w:color w:val="1A252F"/>
          <w:sz w:val="20"/>
          <w:szCs w:val="20"/>
        </w:rPr>
        <w:t xml:space="preserve">Critical implementation note</w:t>
      </w:r>
    </w:p>
    <w:p>
      <w:pPr>
        <w:pBdr>
          <w:left w:val="single" w:color="E67E22" w:sz="10" w:space="8"/>
        </w:pBdr>
        <w:shd w:fill="FEF9E7" w:val="clear"/>
        <w:spacing w:before="80" w:after="80"/>
        <w:ind w:left="400"/>
      </w:pPr>
      <w:r>
        <w:rPr>
          <w:rFonts w:ascii="Arial" w:cs="Arial" w:eastAsia="Arial" w:hAnsi="Arial"/>
          <w:i/>
          <w:iCs/>
          <w:color w:val="1A252F"/>
          <w:sz w:val="19"/>
          <w:szCs w:val="19"/>
        </w:rPr>
        <w:t xml:space="preserve">⚠️  yfinance does NOT guarantee column order when downloading multiple tickers simultaneously. ALWAYS rename columns using the ticker→name mapping, never by position. The bug: raw.columns = list(tickers.keys()) caused govt_short and govt_mid to swap silently, corrupting all Q3/Q4/Q5 results. The fix:</w:t>
      </w:r>
    </w:p>
    <w:p>
      <w:pPr>
        <w:shd w:fill="F4F6F7" w:val="clear"/>
        <w:spacing w:before="40" w:after="40"/>
        <w:ind w:left="560"/>
      </w:pPr>
      <w:r>
        <w:rPr>
          <w:rFonts w:ascii="Courier New" w:cs="Courier New" w:eastAsia="Courier New" w:hAnsi="Courier New"/>
          <w:color w:val="1A252F"/>
          <w:sz w:val="17"/>
          <w:szCs w:val="17"/>
        </w:rPr>
        <w:t xml:space="preserve">reverse_map = {v: k for k, v in tickers.items()}  # {'IBGS.AS': 'govt_short', ...}</w:t>
      </w:r>
    </w:p>
    <w:p>
      <w:pPr>
        <w:shd w:fill="F4F6F7" w:val="clear"/>
        <w:spacing w:before="40" w:after="40"/>
        <w:ind w:left="560"/>
      </w:pPr>
      <w:r>
        <w:rPr>
          <w:rFonts w:ascii="Courier New" w:cs="Courier New" w:eastAsia="Courier New" w:hAnsi="Courier New"/>
          <w:color w:val="1A252F"/>
          <w:sz w:val="17"/>
          <w:szCs w:val="17"/>
        </w:rPr>
        <w:t xml:space="preserve">raw = raw.rename(columns=reverse_map)              # safe — uses ticker as key</w:t>
      </w:r>
    </w:p>
    <w:p>
      <w:pPr>
        <w:spacing w:before="0" w:after="0"/>
      </w:pPr>
      <w:r>
        <w:rPr>
          <w:sz w:val="8"/>
          <w:szCs w:val="8"/>
        </w:rPr>
        <w:t xml:space="preserve"/>
      </w:r>
    </w:p>
    <w:p>
      <w:pPr>
        <w:pStyle w:val="Heading3"/>
        <w:spacing w:before="140" w:after="60"/>
      </w:pPr>
      <w:r>
        <w:rPr>
          <w:rFonts w:ascii="Arial" w:cs="Arial" w:eastAsia="Arial" w:hAnsi="Arial"/>
          <w:b/>
          <w:bCs/>
          <w:color w:val="1A252F"/>
          <w:sz w:val="20"/>
          <w:szCs w:val="20"/>
        </w:rPr>
        <w:t xml:space="preserve">Source</w:t>
      </w:r>
    </w:p>
    <w:p>
      <w:pPr>
        <w:spacing w:before="60" w:after="60"/>
      </w:pPr>
      <w:r>
        <w:rPr>
          <w:rFonts w:ascii="Arial" w:cs="Arial" w:eastAsia="Arial" w:hAnsi="Arial"/>
          <w:color w:val="1A252F"/>
          <w:sz w:val="19"/>
          <w:szCs w:val="19"/>
        </w:rPr>
        <w:t xml:space="preserve">Yahoo Finance via yfinance. iShares ETFs on Euronext Amsterdam (.AS), EUR-denominated. Used as proxies for iBoxx indices (which require Refinitiv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3400"/>
        <w:gridCol w:w="2860"/>
      </w:tblGrid>
      <w:tr>
        <w:tc>
          <w:tcPr>
            <w:tcW w:type="dxa" w:w="17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Ticker</w:t>
            </w:r>
          </w:p>
        </w:tc>
        <w:tc>
          <w:tcPr>
            <w:tcW w:type="dxa" w:w="3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Index tracked</w:t>
            </w:r>
          </w:p>
        </w:tc>
        <w:tc>
          <w:tcPr>
            <w:tcW w:type="dxa" w:w="28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Actual coverage</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govt_short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IBGS.AS</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iShares Euro Govt Bond 1-3Y</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Jan 2008 – Dec 2025</w:t>
            </w:r>
          </w:p>
        </w:tc>
      </w:tr>
      <w:tr>
        <w:tc>
          <w:tcPr>
            <w:tcW w:type="dxa" w:w="1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govt_mid</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IBGM.AS</w:t>
            </w:r>
          </w:p>
        </w:tc>
        <w:tc>
          <w:tcPr>
            <w:tcW w:type="dxa" w:w="3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iShares Euro Govt Bond 7-10Y</w:t>
            </w:r>
          </w:p>
        </w:tc>
        <w:tc>
          <w:tcPr>
            <w:tcW w:type="dxa" w:w="28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Jan 2008 – Dec 2025</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govt_long</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IBGL.AS</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iShares Euro Govt Bond 15-30Y</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Jan 2008 – Dec 2025</w:t>
            </w:r>
          </w:p>
        </w:tc>
      </w:tr>
      <w:tr>
        <w:tc>
          <w:tcPr>
            <w:tcW w:type="dxa" w:w="1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corp_ig</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IEAC.AS</w:t>
            </w:r>
          </w:p>
        </w:tc>
        <w:tc>
          <w:tcPr>
            <w:tcW w:type="dxa" w:w="3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iShares Core EUR Corp Bond IG</w:t>
            </w:r>
          </w:p>
        </w:tc>
        <w:tc>
          <w:tcPr>
            <w:tcW w:type="dxa" w:w="28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May 2009 – Dec 2025</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equity</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IMEU.AS</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iShares MSCI Europe</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Jan 2008 – Dec 2025</w:t>
            </w:r>
          </w:p>
        </w:tc>
      </w:tr>
    </w:tbl>
    <w:p>
      <w:pPr>
        <w:spacing w:before="0" w:after="0"/>
      </w:pPr>
      <w:r>
        <w:rPr>
          <w:sz w:val="8"/>
          <w:szCs w:val="8"/>
        </w:rPr>
        <w:t xml:space="preserve"/>
      </w:r>
    </w:p>
    <w:p>
      <w:pPr>
        <w:pStyle w:val="Heading3"/>
        <w:spacing w:before="140" w:after="60"/>
      </w:pPr>
      <w:r>
        <w:rPr>
          <w:rFonts w:ascii="Arial" w:cs="Arial" w:eastAsia="Arial" w:hAnsi="Arial"/>
          <w:b/>
          <w:bCs/>
          <w:color w:val="1A252F"/>
          <w:sz w:val="20"/>
          <w:szCs w:val="20"/>
        </w:rPr>
        <w:t xml:space="preserve">auto_adjust=True</w:t>
      </w:r>
    </w:p>
    <w:p>
      <w:pPr>
        <w:spacing w:before="60" w:after="60"/>
      </w:pPr>
      <w:r>
        <w:rPr>
          <w:rFonts w:ascii="Arial" w:cs="Arial" w:eastAsia="Arial" w:hAnsi="Arial"/>
          <w:color w:val="1A252F"/>
          <w:sz w:val="19"/>
          <w:szCs w:val="19"/>
        </w:rPr>
        <w:t xml:space="preserve">Adjusts for dividend distributions. For bond ETFs this is essential — without it, monthly coupon payments appear as sudden price drops generating spurious negative returns.</w:t>
      </w:r>
    </w:p>
    <w:p>
      <w:pPr>
        <w:pStyle w:val="Heading3"/>
        <w:spacing w:before="140" w:after="60"/>
      </w:pPr>
      <w:r>
        <w:rPr>
          <w:rFonts w:ascii="Arial" w:cs="Arial" w:eastAsia="Arial" w:hAnsi="Arial"/>
          <w:b/>
          <w:bCs/>
          <w:color w:val="1A252F"/>
          <w:sz w:val="20"/>
          <w:szCs w:val="20"/>
        </w:rPr>
        <w:t xml:space="preserve">Log return calculation</w:t>
      </w:r>
    </w:p>
    <w:p>
      <w:pPr>
        <w:shd w:fill="F4F6F7" w:val="clear"/>
        <w:spacing w:before="40" w:after="40"/>
        <w:ind w:left="560"/>
      </w:pPr>
      <w:r>
        <w:rPr>
          <w:rFonts w:ascii="Courier New" w:cs="Courier New" w:eastAsia="Courier New" w:hAnsi="Courier New"/>
          <w:color w:val="1A252F"/>
          <w:sz w:val="17"/>
          <w:szCs w:val="17"/>
        </w:rPr>
        <w:t xml:space="preserve">returns = np.log(raw / raw.shift(1))</w:t>
      </w:r>
    </w:p>
    <w:p>
      <w:pPr>
        <w:shd w:fill="F4F6F7" w:val="clear"/>
        <w:spacing w:before="40" w:after="40"/>
        <w:ind w:left="560"/>
      </w:pPr>
      <w:r>
        <w:rPr>
          <w:rFonts w:ascii="Courier New" w:cs="Courier New" w:eastAsia="Courier New" w:hAnsi="Courier New"/>
          <w:color w:val="1A252F"/>
          <w:sz w:val="17"/>
          <w:szCs w:val="17"/>
        </w:rPr>
        <w:t xml:space="preserve">returns.columns = [c + '_logret' for c in raw.columns]</w:t>
      </w:r>
    </w:p>
    <w:p>
      <w:pPr>
        <w:pStyle w:val="Heading3"/>
        <w:spacing w:before="140" w:after="60"/>
      </w:pPr>
      <w:r>
        <w:rPr>
          <w:rFonts w:ascii="Arial" w:cs="Arial" w:eastAsia="Arial" w:hAnsi="Arial"/>
          <w:b/>
          <w:bCs/>
          <w:color w:val="1A252F"/>
          <w:sz w:val="20"/>
          <w:szCs w:val="20"/>
        </w:rPr>
        <w:t xml:space="preserve">Output schemas</w:t>
      </w:r>
    </w:p>
    <w:p>
      <w:pPr>
        <w:shd w:fill="F4F6F7" w:val="clear"/>
        <w:spacing w:before="40" w:after="40"/>
        <w:ind w:left="560"/>
      </w:pPr>
      <w:r>
        <w:rPr>
          <w:rFonts w:ascii="Courier New" w:cs="Courier New" w:eastAsia="Courier New" w:hAnsi="Courier New"/>
          <w:color w:val="1A252F"/>
          <w:sz w:val="17"/>
          <w:szCs w:val="17"/>
        </w:rPr>
        <w:t xml:space="preserve">etf_prices.parquet  | columns: govt_short, govt_mid, govt_long, corp_ig, equity</w:t>
      </w:r>
    </w:p>
    <w:p>
      <w:pPr>
        <w:shd w:fill="F4F6F7" w:val="clear"/>
        <w:spacing w:before="40" w:after="40"/>
        <w:ind w:left="560"/>
      </w:pPr>
      <w:r>
        <w:rPr>
          <w:rFonts w:ascii="Courier New" w:cs="Courier New" w:eastAsia="Courier New" w:hAnsi="Courier New"/>
          <w:color w:val="1A252F"/>
          <w:sz w:val="17"/>
          <w:szCs w:val="17"/>
        </w:rPr>
        <w:t xml:space="preserve">etf_returns.parquet | columns: govt_short_logret, govt_mid_logret, govt_long_logret, corp_ig_logret, equity_logret</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3.3 MSCI Europe</w:t>
      </w:r>
    </w:p>
    <w:p>
      <w:pPr>
        <w:pStyle w:val="Heading3"/>
        <w:spacing w:before="140" w:after="60"/>
      </w:pPr>
      <w:r>
        <w:rPr>
          <w:rFonts w:ascii="Arial" w:cs="Arial" w:eastAsia="Arial" w:hAnsi="Arial"/>
          <w:b/>
          <w:bCs/>
          <w:color w:val="1A252F"/>
          <w:sz w:val="20"/>
          <w:szCs w:val="20"/>
        </w:rPr>
        <w:t xml:space="preserve">Source</w:t>
      </w:r>
    </w:p>
    <w:p>
      <w:pPr>
        <w:spacing w:before="60" w:after="60"/>
      </w:pPr>
      <w:r>
        <w:rPr>
          <w:rFonts w:ascii="Arial" w:cs="Arial" w:eastAsia="Arial" w:hAnsi="Arial"/>
          <w:color w:val="1A252F"/>
          <w:sz w:val="19"/>
          <w:szCs w:val="19"/>
        </w:rPr>
        <w:t xml:space="preserve">Manual download: data/raw/MSCI_Europe_daily.csv. Must be placed in data/raw/ before running data_import.py. Not fetched via API.</w:t>
      </w:r>
    </w:p>
    <w:p>
      <w:pPr>
        <w:pStyle w:val="Heading3"/>
        <w:spacing w:before="140" w:after="60"/>
      </w:pPr>
      <w:r>
        <w:rPr>
          <w:rFonts w:ascii="Arial" w:cs="Arial" w:eastAsia="Arial" w:hAnsi="Arial"/>
          <w:b/>
          <w:bCs/>
          <w:color w:val="1A252F"/>
          <w:sz w:val="20"/>
          <w:szCs w:val="20"/>
        </w:rPr>
        <w:t xml:space="preserve">Processing</w:t>
      </w:r>
    </w:p>
    <w:p>
      <w:pPr>
        <w:pStyle w:val="ListParagraph"/>
        <w:numPr>
          <w:ilvl w:val="0"/>
          <w:numId w:val="2"/>
        </w:numPr>
        <w:spacing w:before="40" w:after="40"/>
      </w:pPr>
      <w:r>
        <w:rPr>
          <w:rFonts w:ascii="Arial" w:cs="Arial" w:eastAsia="Arial" w:hAnsi="Arial"/>
          <w:sz w:val="19"/>
          <w:szCs w:val="19"/>
        </w:rPr>
        <w:t xml:space="preserve">Read with usecols=[0,1] to skip empty trailing columns</w:t>
      </w:r>
    </w:p>
    <w:p>
      <w:pPr>
        <w:pStyle w:val="ListParagraph"/>
        <w:numPr>
          <w:ilvl w:val="0"/>
          <w:numId w:val="2"/>
        </w:numPr>
        <w:spacing w:before="40" w:after="40"/>
      </w:pPr>
      <w:r>
        <w:rPr>
          <w:rFonts w:ascii="Arial" w:cs="Arial" w:eastAsia="Arial" w:hAnsi="Arial"/>
          <w:sz w:val="19"/>
          <w:szCs w:val="19"/>
        </w:rPr>
        <w:t xml:space="preserve">Parse dates, set as index, sort</w:t>
      </w:r>
    </w:p>
    <w:p>
      <w:pPr>
        <w:pStyle w:val="ListParagraph"/>
        <w:numPr>
          <w:ilvl w:val="0"/>
          <w:numId w:val="2"/>
        </w:numPr>
        <w:spacing w:before="40" w:after="40"/>
      </w:pPr>
      <w:r>
        <w:rPr>
          <w:rFonts w:ascii="Arial" w:cs="Arial" w:eastAsia="Arial" w:hAnsi="Arial"/>
          <w:sz w:val="19"/>
          <w:szCs w:val="19"/>
        </w:rPr>
        <w:t xml:space="preserve">Resample daily → month-end: .resample('ME').last()</w:t>
      </w:r>
    </w:p>
    <w:p>
      <w:pPr>
        <w:pStyle w:val="ListParagraph"/>
        <w:numPr>
          <w:ilvl w:val="0"/>
          <w:numId w:val="2"/>
        </w:numPr>
        <w:spacing w:before="40" w:after="40"/>
      </w:pPr>
      <w:r>
        <w:rPr>
          <w:rFonts w:ascii="Arial" w:cs="Arial" w:eastAsia="Arial" w:hAnsi="Arial"/>
          <w:sz w:val="19"/>
          <w:szCs w:val="19"/>
        </w:rPr>
        <w:t xml:space="preserve">Compute log returns: equity_logret = ln(price_t / price_{t-1})</w:t>
      </w:r>
    </w:p>
    <w:p>
      <w:pPr>
        <w:pStyle w:val="Heading3"/>
        <w:spacing w:before="140" w:after="60"/>
      </w:pPr>
      <w:r>
        <w:rPr>
          <w:rFonts w:ascii="Arial" w:cs="Arial" w:eastAsia="Arial" w:hAnsi="Arial"/>
          <w:b/>
          <w:bCs/>
          <w:color w:val="1A252F"/>
          <w:sz w:val="20"/>
          <w:szCs w:val="20"/>
        </w:rPr>
        <w:t xml:space="preserve">Output schema</w:t>
      </w:r>
    </w:p>
    <w:p>
      <w:pPr>
        <w:shd w:fill="F4F6F7" w:val="clear"/>
        <w:spacing w:before="40" w:after="40"/>
        <w:ind w:left="560"/>
      </w:pPr>
      <w:r>
        <w:rPr>
          <w:rFonts w:ascii="Courier New" w:cs="Courier New" w:eastAsia="Courier New" w:hAnsi="Courier New"/>
          <w:color w:val="1A252F"/>
          <w:sz w:val="17"/>
          <w:szCs w:val="17"/>
        </w:rPr>
        <w:t xml:space="preserve">msci_europe.parquet | columns: price, equity_logret | coverage: Jan 2000 – Dec 2025</w:t>
      </w:r>
    </w:p>
    <w:p>
      <w:pPr>
        <w:pBdr>
          <w:left w:val="single" w:color="1F618D" w:sz="10" w:space="8"/>
        </w:pBdr>
        <w:shd w:fill="EBF5FB" w:val="clear"/>
        <w:spacing w:before="80" w:after="80"/>
        <w:ind w:left="400"/>
      </w:pPr>
      <w:r>
        <w:rPr>
          <w:rFonts w:ascii="Arial" w:cs="Arial" w:eastAsia="Arial" w:hAnsi="Arial"/>
          <w:i/>
          <w:iCs/>
          <w:color w:val="1A252F"/>
          <w:sz w:val="19"/>
          <w:szCs w:val="19"/>
        </w:rPr>
        <w:t xml:space="preserve">ℹ️  MSCI Europe includes UK, Switzerland, Sweden — not euro-area only. MSCI EMU would be more consistent with EUR bond data but requires Refinitiv. Impact is minimal for academic analysis.</w:t>
      </w:r>
    </w:p>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4. data_loader.py — Data Access Layer</w:t>
      </w:r>
    </w:p>
    <w:p>
      <w:pPr>
        <w:spacing w:before="60" w:after="60"/>
      </w:pPr>
      <w:r>
        <w:rPr>
          <w:rFonts w:ascii="Arial" w:cs="Arial" w:eastAsia="Arial" w:hAnsi="Arial"/>
          <w:color w:val="1A252F"/>
          <w:sz w:val="19"/>
          <w:szCs w:val="19"/>
        </w:rPr>
        <w:t xml:space="preserve">ALL parquet loading goes through these functions. Analysis modules never call pd.read_parquet() directly. If a file is renamed, fix it here only.</w:t>
      </w:r>
    </w:p>
    <w:p>
      <w:pPr>
        <w:shd w:fill="F4F6F7" w:val="clear"/>
        <w:spacing w:before="40" w:after="40"/>
        <w:ind w:left="560"/>
      </w:pPr>
      <w:r>
        <w:rPr>
          <w:rFonts w:ascii="Courier New" w:cs="Courier New" w:eastAsia="Courier New" w:hAnsi="Courier New"/>
          <w:color w:val="1A252F"/>
          <w:sz w:val="17"/>
          <w:szCs w:val="17"/>
        </w:rPr>
        <w:t xml:space="preserve">load_spot_rates()       → ecb_spot_rates.parquet</w:t>
      </w:r>
    </w:p>
    <w:p>
      <w:pPr>
        <w:shd w:fill="F4F6F7" w:val="clear"/>
        <w:spacing w:before="40" w:after="40"/>
        <w:ind w:left="560"/>
      </w:pPr>
      <w:r>
        <w:rPr>
          <w:rFonts w:ascii="Courier New" w:cs="Courier New" w:eastAsia="Courier New" w:hAnsi="Courier New"/>
          <w:color w:val="1A252F"/>
          <w:sz w:val="17"/>
          <w:szCs w:val="17"/>
        </w:rPr>
        <w:t xml:space="preserve">load_etf_prices()       → etf_prices.parquet</w:t>
      </w:r>
    </w:p>
    <w:p>
      <w:pPr>
        <w:shd w:fill="F4F6F7" w:val="clear"/>
        <w:spacing w:before="40" w:after="40"/>
        <w:ind w:left="560"/>
      </w:pPr>
      <w:r>
        <w:rPr>
          <w:rFonts w:ascii="Courier New" w:cs="Courier New" w:eastAsia="Courier New" w:hAnsi="Courier New"/>
          <w:color w:val="1A252F"/>
          <w:sz w:val="17"/>
          <w:szCs w:val="17"/>
        </w:rPr>
        <w:t xml:space="preserve">load_etf_returns()      → etf_returns.parquet</w:t>
      </w:r>
    </w:p>
    <w:p>
      <w:pPr>
        <w:shd w:fill="F4F6F7" w:val="clear"/>
        <w:spacing w:before="40" w:after="40"/>
        <w:ind w:left="560"/>
      </w:pPr>
      <w:r>
        <w:rPr>
          <w:rFonts w:ascii="Courier New" w:cs="Courier New" w:eastAsia="Courier New" w:hAnsi="Courier New"/>
          <w:color w:val="1A252F"/>
          <w:sz w:val="17"/>
          <w:szCs w:val="17"/>
        </w:rPr>
        <w:t xml:space="preserve">load_msci_europe()      → msci_europe.parquet  (returns Series: equity_logret)</w:t>
      </w:r>
    </w:p>
    <w:p>
      <w:pPr>
        <w:shd w:fill="F4F6F7" w:val="clear"/>
        <w:spacing w:before="40" w:after="40"/>
        <w:ind w:left="560"/>
      </w:pPr>
      <w:r>
        <w:rPr>
          <w:rFonts w:ascii="Courier New" w:cs="Courier New" w:eastAsia="Courier New" w:hAnsi="Courier New"/>
          <w:color w:val="1A252F"/>
          <w:sz w:val="17"/>
          <w:szCs w:val="17"/>
        </w:rPr>
        <w:t xml:space="preserve">load_all_asset_returns()→ joins ETF + MSCI, normalizes both to month-end, drops NaN</w:t>
      </w:r>
    </w:p>
    <w:p>
      <w:pPr>
        <w:shd w:fill="F4F6F7" w:val="clear"/>
        <w:spacing w:before="40" w:after="40"/>
        <w:ind w:left="560"/>
      </w:pPr>
      <w:r>
        <w:rPr>
          <w:rFonts w:ascii="Courier New" w:cs="Courier New" w:eastAsia="Courier New" w:hAnsi="Courier New"/>
          <w:color w:val="1A252F"/>
          <w:sz w:val="17"/>
          <w:szCs w:val="17"/>
        </w:rPr>
        <w:t xml:space="preserve">load_forward_regression_data() → forward_regression_data.parquet (built by Q2)</w:t>
      </w:r>
    </w:p>
    <w:p>
      <w:pPr>
        <w:spacing w:before="0" w:after="0"/>
      </w:pPr>
      <w:r>
        <w:rPr>
          <w:sz w:val="8"/>
          <w:szCs w:val="8"/>
        </w:rPr>
        <w:t xml:space="preserve"/>
      </w:r>
    </w:p>
    <w:p>
      <w:pPr>
        <w:pStyle w:val="Heading3"/>
        <w:spacing w:before="140" w:after="60"/>
      </w:pPr>
      <w:r>
        <w:rPr>
          <w:rFonts w:ascii="Arial" w:cs="Arial" w:eastAsia="Arial" w:hAnsi="Arial"/>
          <w:b/>
          <w:bCs/>
          <w:color w:val="1A252F"/>
          <w:sz w:val="20"/>
          <w:szCs w:val="20"/>
        </w:rPr>
        <w:t xml:space="preserve">load_all_asset_returns() — critical index normalization</w:t>
      </w:r>
    </w:p>
    <w:p>
      <w:pPr>
        <w:spacing w:before="60" w:after="60"/>
      </w:pPr>
      <w:r>
        <w:rPr>
          <w:rFonts w:ascii="Arial" w:cs="Arial" w:eastAsia="Arial" w:hAnsi="Arial"/>
          <w:color w:val="1A252F"/>
          <w:sz w:val="19"/>
          <w:szCs w:val="19"/>
        </w:rPr>
        <w:t xml:space="preserve">ETF dates are month-start (e.g. 2008-01-01), MSCI dates are month-end (e.g. 2008-01-31). Joining without normalization produces all-NaN rows. The fix:</w:t>
      </w:r>
    </w:p>
    <w:p>
      <w:pPr>
        <w:shd w:fill="F4F6F7" w:val="clear"/>
        <w:spacing w:before="40" w:after="40"/>
        <w:ind w:left="560"/>
      </w:pPr>
      <w:r>
        <w:rPr>
          <w:rFonts w:ascii="Courier New" w:cs="Courier New" w:eastAsia="Courier New" w:hAnsi="Courier New"/>
          <w:color w:val="1A252F"/>
          <w:sz w:val="17"/>
          <w:szCs w:val="17"/>
        </w:rPr>
        <w:t xml:space="preserve">etf.index  = etf.index.to_period('M').to_timestamp('M')   # → 2008-01-31</w:t>
      </w:r>
    </w:p>
    <w:p>
      <w:pPr>
        <w:shd w:fill="F4F6F7" w:val="clear"/>
        <w:spacing w:before="40" w:after="40"/>
        <w:ind w:left="560"/>
      </w:pPr>
      <w:r>
        <w:rPr>
          <w:rFonts w:ascii="Courier New" w:cs="Courier New" w:eastAsia="Courier New" w:hAnsi="Courier New"/>
          <w:color w:val="1A252F"/>
          <w:sz w:val="17"/>
          <w:szCs w:val="17"/>
        </w:rPr>
        <w:t xml:space="preserve">msci.index = msci.index.to_period('M').to_timestamp('M')  # → 2008-01-31</w:t>
      </w:r>
    </w:p>
    <w:p>
      <w:pPr>
        <w:spacing w:before="60" w:after="60"/>
      </w:pPr>
      <w:r>
        <w:rPr>
          <w:rFonts w:ascii="Arial" w:cs="Arial" w:eastAsia="Arial" w:hAnsi="Arial"/>
          <w:color w:val="1A252F"/>
          <w:sz w:val="19"/>
          <w:szCs w:val="19"/>
        </w:rPr>
        <w:t xml:space="preserve">Both are then on identical month-end dates and the join works correctly.</w:t>
      </w:r>
    </w:p>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5. Q1_yield_curve.py</w:t>
      </w:r>
    </w:p>
    <w:p>
      <w:pPr>
        <w:spacing w:before="60" w:after="60"/>
      </w:pPr>
      <w:r>
        <w:rPr>
          <w:rFonts w:ascii="Arial" w:cs="Arial" w:eastAsia="Arial" w:hAnsi="Arial"/>
          <w:b/>
          <w:bCs/>
          <w:sz w:val="19"/>
          <w:szCs w:val="19"/>
        </w:rPr>
        <w:t xml:space="preserve">Input: </w:t>
      </w:r>
      <w:r>
        <w:rPr>
          <w:rFonts w:ascii="Arial" w:cs="Arial" w:eastAsia="Arial" w:hAnsi="Arial"/>
          <w:sz w:val="19"/>
          <w:szCs w:val="19"/>
        </w:rPr>
        <w:t xml:space="preserve">ecb_spot_rates.parquet  |  </w:t>
      </w:r>
      <w:r>
        <w:rPr>
          <w:rFonts w:ascii="Arial" w:cs="Arial" w:eastAsia="Arial" w:hAnsi="Arial"/>
          <w:b/>
          <w:bCs/>
          <w:sz w:val="19"/>
          <w:szCs w:val="19"/>
        </w:rPr>
        <w:t xml:space="preserve">Outputs: </w:t>
      </w:r>
      <w:r>
        <w:rPr>
          <w:rFonts w:ascii="Arial" w:cs="Arial" w:eastAsia="Arial" w:hAnsi="Arial"/>
          <w:sz w:val="19"/>
          <w:szCs w:val="19"/>
        </w:rPr>
        <w:t xml:space="preserve">4 charts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Exhibit</w:t>
            </w:r>
          </w:p>
        </w:tc>
        <w:tc>
          <w:tcPr>
            <w:tcW w:type="dxa" w:w="3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What it shows</w:t>
            </w:r>
          </w:p>
        </w:tc>
        <w:tc>
          <w:tcPr>
            <w:tcW w:type="dxa" w:w="35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Key formula/method</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Q1_rate_levels.png</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2Y, 5Y, 10Y spot rates over time with sub-period shading</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Raw ECB data plotted directly</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Q1_curve_slope.png</w:t>
            </w:r>
          </w:p>
        </w:tc>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10Y minus 2Y spread, red fill when inverted</w:t>
            </w:r>
          </w:p>
        </w:tc>
        <w:tc>
          <w:tcPr>
            <w:tcW w:type="dxa" w:w="3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slope_t = spot_10y_t − spot_2y_t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Q1_avg_curves_by_subperiod.png</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Average yield curve shape per sub-period</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mean(spot_T) for all t in [start,end]</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Q1_heatmap.png</w:t>
            </w:r>
          </w:p>
        </w:tc>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2D: x=time, y=maturity, colour=yield level</w:t>
            </w:r>
          </w:p>
        </w:tc>
        <w:tc>
          <w:tcPr>
            <w:tcW w:type="dxa" w:w="3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seaborn heatmap, RdYlGn_r colormap</w:t>
            </w:r>
          </w:p>
        </w:tc>
      </w:tr>
    </w:tbl>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6. Q2_forward_rates.py</w:t>
      </w:r>
    </w:p>
    <w:p>
      <w:pPr>
        <w:spacing w:before="60" w:after="60"/>
      </w:pPr>
      <w:r>
        <w:rPr>
          <w:rFonts w:ascii="Arial" w:cs="Arial" w:eastAsia="Arial" w:hAnsi="Arial"/>
          <w:b/>
          <w:bCs/>
          <w:sz w:val="19"/>
          <w:szCs w:val="19"/>
        </w:rPr>
        <w:t xml:space="preserve">Input: </w:t>
      </w:r>
      <w:r>
        <w:rPr>
          <w:rFonts w:ascii="Arial" w:cs="Arial" w:eastAsia="Arial" w:hAnsi="Arial"/>
          <w:sz w:val="19"/>
          <w:szCs w:val="19"/>
        </w:rPr>
        <w:t xml:space="preserve">ecb_spot_rates.parquet  |  </w:t>
      </w:r>
      <w:r>
        <w:rPr>
          <w:rFonts w:ascii="Arial" w:cs="Arial" w:eastAsia="Arial" w:hAnsi="Arial"/>
          <w:b/>
          <w:bCs/>
          <w:sz w:val="19"/>
          <w:szCs w:val="19"/>
        </w:rPr>
        <w:t xml:space="preserve">Outputs: </w:t>
      </w:r>
      <w:r>
        <w:rPr>
          <w:rFonts w:ascii="Arial" w:cs="Arial" w:eastAsia="Arial" w:hAnsi="Arial"/>
          <w:sz w:val="19"/>
          <w:szCs w:val="19"/>
        </w:rPr>
        <w:t xml:space="preserve">3 charts + console regression summary</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6.1 Forward Rate Formula</w:t>
      </w:r>
    </w:p>
    <w:p>
      <w:pPr>
        <w:shd w:fill="F4F6F7" w:val="clear"/>
        <w:spacing w:before="40" w:after="40"/>
        <w:ind w:left="560"/>
      </w:pPr>
      <w:r>
        <w:rPr>
          <w:rFonts w:ascii="Courier New" w:cs="Courier New" w:eastAsia="Courier New" w:hAnsi="Courier New"/>
          <w:color w:val="1A252F"/>
          <w:sz w:val="17"/>
          <w:szCs w:val="17"/>
        </w:rPr>
        <w:t xml:space="preserve">f(n, n+1) = ((1 + s_{n+1}/100)^{n+1} / (1 + s_n/100)^n) - 1</w:t>
      </w:r>
    </w:p>
    <w:p>
      <w:pPr>
        <w:spacing w:before="60" w:after="60"/>
      </w:pPr>
      <w:r>
        <w:rPr>
          <w:rFonts w:ascii="Arial" w:cs="Arial" w:eastAsia="Arial" w:hAnsi="Arial"/>
          <w:color w:val="1A252F"/>
          <w:sz w:val="19"/>
          <w:szCs w:val="19"/>
        </w:rPr>
        <w:t xml:space="preserve">Computed for horizons 1Y→2Y, 2Y→3Y, 3Y→4Y, 4Y→5Y. Result multiplied back by 100 for percent.</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6.2 Alignment with Realized Rates</w:t>
      </w:r>
    </w:p>
    <w:p>
      <w:pPr>
        <w:shd w:fill="F4F6F7" w:val="clear"/>
        <w:spacing w:before="40" w:after="40"/>
        <w:ind w:left="560"/>
      </w:pPr>
      <w:r>
        <w:rPr>
          <w:rFonts w:ascii="Courier New" w:cs="Courier New" w:eastAsia="Courier New" w:hAnsi="Courier New"/>
          <w:color w:val="1A252F"/>
          <w:sz w:val="17"/>
          <w:szCs w:val="17"/>
        </w:rPr>
        <w:t xml:space="preserve">realized_1y_in_1y = spot_1y.shift(-12)   # realized 1Y rate 12 months later</w:t>
      </w:r>
    </w:p>
    <w:p>
      <w:pPr>
        <w:shd w:fill="F4F6F7" w:val="clear"/>
        <w:spacing w:before="40" w:after="40"/>
        <w:ind w:left="560"/>
      </w:pPr>
      <w:r>
        <w:rPr>
          <w:rFonts w:ascii="Courier New" w:cs="Courier New" w:eastAsia="Courier New" w:hAnsi="Courier New"/>
          <w:color w:val="1A252F"/>
          <w:sz w:val="17"/>
          <w:szCs w:val="17"/>
        </w:rPr>
        <w:t xml:space="preserve">realized_1y_in_2y = spot_1y.shift(-24)   # realized 1Y rate 24 months later</w:t>
      </w:r>
    </w:p>
    <w:p>
      <w:pPr>
        <w:shd w:fill="F4F6F7" w:val="clear"/>
        <w:spacing w:before="40" w:after="40"/>
        <w:ind w:left="560"/>
      </w:pPr>
      <w:r>
        <w:rPr>
          <w:rFonts w:ascii="Courier New" w:cs="Courier New" w:eastAsia="Courier New" w:hAnsi="Courier New"/>
          <w:color w:val="1A252F"/>
          <w:sz w:val="17"/>
          <w:szCs w:val="17"/>
        </w:rPr>
        <w:t xml:space="preserve">realized_1y_in_3y = spot_1y.shift(-36)</w:t>
      </w:r>
    </w:p>
    <w:p>
      <w:pPr>
        <w:shd w:fill="F4F6F7" w:val="clear"/>
        <w:spacing w:before="40" w:after="40"/>
        <w:ind w:left="560"/>
      </w:pPr>
      <w:r>
        <w:rPr>
          <w:rFonts w:ascii="Courier New" w:cs="Courier New" w:eastAsia="Courier New" w:hAnsi="Courier New"/>
          <w:color w:val="1A252F"/>
          <w:sz w:val="17"/>
          <w:szCs w:val="17"/>
        </w:rPr>
        <w:t xml:space="preserve">realized_1y_in_4y = spot_1y.shift(-48)</w:t>
      </w:r>
    </w:p>
    <w:p>
      <w:pPr>
        <w:spacing w:before="60" w:after="60"/>
      </w:pPr>
      <w:r>
        <w:rPr>
          <w:rFonts w:ascii="Arial" w:cs="Arial" w:eastAsia="Arial" w:hAnsi="Arial"/>
          <w:color w:val="1A252F"/>
          <w:sz w:val="19"/>
          <w:szCs w:val="19"/>
        </w:rPr>
        <w:t xml:space="preserve">Rows with NaN (end of sample) dropped before regression.</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6.3 Fama-Bliss Regression</w:t>
      </w:r>
    </w:p>
    <w:p>
      <w:pPr>
        <w:shd w:fill="F4F6F7" w:val="clear"/>
        <w:spacing w:before="40" w:after="40"/>
        <w:ind w:left="560"/>
      </w:pPr>
      <w:r>
        <w:rPr>
          <w:rFonts w:ascii="Courier New" w:cs="Courier New" w:eastAsia="Courier New" w:hAnsi="Courier New"/>
          <w:color w:val="1A252F"/>
          <w:sz w:val="17"/>
          <w:szCs w:val="17"/>
        </w:rPr>
        <w:t xml:space="preserve">realized_rate_{t+h} = alpha + beta * forward_rate_t + epsilon_t</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Beta value</w:t>
            </w:r>
          </w:p>
        </w:tc>
        <w:tc>
          <w:tcPr>
            <w:tcW w:type="dxa" w:w="73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Interpretation</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β = 1</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Expectations hypothesis holds — forward rates are unbiased predictors</w:t>
            </w:r>
          </w:p>
        </w:tc>
      </w:tr>
      <w:tr>
        <w:tc>
          <w:tcPr>
            <w:tcW w:type="dxa" w:w="2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 &lt; β &lt; 1</w:t>
            </w:r>
          </w:p>
        </w:tc>
        <w:tc>
          <w:tcPr>
            <w:tcW w:type="dxa" w:w="7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Term premium exists — forward rates overestimate future rates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β &lt; 0</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Forward rates predict wrong direction — large term premium (your 4Y result: -0.175)</w:t>
            </w:r>
          </w:p>
        </w:tc>
      </w:tr>
    </w:tbl>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6.4 Actual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1000"/>
        <w:gridCol w:w="5960"/>
      </w:tblGrid>
      <w:tr>
        <w:tc>
          <w:tcPr>
            <w:tcW w:type="dxa" w:w="1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Horizon</w:t>
            </w:r>
          </w:p>
        </w:tc>
        <w:tc>
          <w:tcPr>
            <w:tcW w:type="dxa" w:w="10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β</w:t>
            </w:r>
          </w:p>
        </w:tc>
        <w:tc>
          <w:tcPr>
            <w:tcW w:type="dxa" w:w="1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p-value</w:t>
            </w:r>
          </w:p>
        </w:tc>
        <w:tc>
          <w:tcPr>
            <w:tcW w:type="dxa" w:w="10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R²</w:t>
            </w:r>
          </w:p>
        </w:tc>
        <w:tc>
          <w:tcPr>
            <w:tcW w:type="dxa" w:w="59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Interpretation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1Y</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0.792</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0.000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0.615</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Significant prediction, some term premium</w:t>
            </w:r>
          </w:p>
        </w:tc>
      </w:tr>
      <w:tr>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2Y</w:t>
            </w:r>
          </w:p>
        </w:tc>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0.429</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0.000</w:t>
            </w:r>
          </w:p>
        </w:tc>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0.194</w:t>
            </w:r>
          </w:p>
        </w:tc>
        <w:tc>
          <w:tcPr>
            <w:tcW w:type="dxa" w:w="5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Moderate prediction, meaningful term premium</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3Y</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0.077</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0.188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0.008</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No predictive power</w:t>
            </w:r>
          </w:p>
        </w:tc>
      </w:tr>
      <w:tr>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4Y</w:t>
            </w:r>
          </w:p>
        </w:tc>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-0.175</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0.000</w:t>
            </w:r>
          </w:p>
        </w:tc>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0.060</w:t>
            </w:r>
          </w:p>
        </w:tc>
        <w:tc>
          <w:tcPr>
            <w:tcW w:type="dxa" w:w="5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Predicts wrong direction — strong term premium</w:t>
            </w:r>
          </w:p>
        </w:tc>
      </w:tr>
    </w:tbl>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7. Q3_duration_risk.py</w:t>
      </w:r>
    </w:p>
    <w:p>
      <w:pPr>
        <w:spacing w:before="60" w:after="60"/>
      </w:pPr>
      <w:r>
        <w:rPr>
          <w:rFonts w:ascii="Arial" w:cs="Arial" w:eastAsia="Arial" w:hAnsi="Arial"/>
          <w:b/>
          <w:bCs/>
          <w:sz w:val="19"/>
          <w:szCs w:val="19"/>
        </w:rPr>
        <w:t xml:space="preserve">Inputs: </w:t>
      </w:r>
      <w:r>
        <w:rPr>
          <w:rFonts w:ascii="Arial" w:cs="Arial" w:eastAsia="Arial" w:hAnsi="Arial"/>
          <w:sz w:val="19"/>
          <w:szCs w:val="19"/>
        </w:rPr>
        <w:t xml:space="preserve">etf_prices.parquet, etf_returns.parquet  |  </w:t>
      </w:r>
      <w:r>
        <w:rPr>
          <w:rFonts w:ascii="Arial" w:cs="Arial" w:eastAsia="Arial" w:hAnsi="Arial"/>
          <w:b/>
          <w:bCs/>
          <w:sz w:val="19"/>
          <w:szCs w:val="19"/>
        </w:rPr>
        <w:t xml:space="preserve">Outputs: </w:t>
      </w:r>
      <w:r>
        <w:rPr>
          <w:rFonts w:ascii="Arial" w:cs="Arial" w:eastAsia="Arial" w:hAnsi="Arial"/>
          <w:sz w:val="19"/>
          <w:szCs w:val="19"/>
        </w:rPr>
        <w:t xml:space="preserve">4 charts</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7.1 Statistics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Statistic</w:t>
            </w:r>
          </w:p>
        </w:tc>
        <w:tc>
          <w:tcPr>
            <w:tcW w:type="dxa" w:w="36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Formula</w:t>
            </w:r>
          </w:p>
        </w:tc>
        <w:tc>
          <w:tcPr>
            <w:tcW w:type="dxa" w:w="33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Computed over</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Ann. Return</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mean(r) * 12</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Full sample + each sub-period</w:t>
            </w:r>
          </w:p>
        </w:tc>
      </w:tr>
      <w:tr>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Ann. Vol</w:t>
            </w:r>
          </w:p>
        </w:tc>
        <w:tc>
          <w:tcPr>
            <w:tcW w:type="dxa" w:w="3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std(r) * sqrt(12)</w:t>
            </w:r>
          </w:p>
        </w:tc>
        <w:tc>
          <w:tcPr>
            <w:tcW w:type="dxa" w:w="3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Full sample + each sub-period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Sharpe</w:t>
            </w:r>
          </w:p>
        </w:tc>
        <w:tc>
          <w:tcPr>
            <w:tcW w:type="dxa" w:w="3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Ann.Return / Ann.Vol</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No rf deduction — comparing within bonds</w:t>
            </w:r>
          </w:p>
        </w:tc>
      </w:tr>
      <w:tr>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Max Drawdown</w:t>
            </w:r>
          </w:p>
        </w:tc>
        <w:tc>
          <w:tcPr>
            <w:tcW w:type="dxa" w:w="3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min((cum_t − rolling_max_t) / rolling_max_t)</w:t>
            </w:r>
          </w:p>
        </w:tc>
        <w:tc>
          <w:tcPr>
            <w:tcW w:type="dxa" w:w="3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Full sample</w:t>
            </w:r>
          </w:p>
        </w:tc>
      </w:tr>
    </w:tbl>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7.2 Actual Full-Sample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90"/>
        <w:gridCol w:w="1790"/>
        <w:gridCol w:w="1790"/>
        <w:gridCol w:w="1590"/>
      </w:tblGrid>
      <w:tr>
        <w:tc>
          <w:tcPr>
            <w:tcW w:type="dxa" w:w="2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Bucket</w:t>
            </w:r>
          </w:p>
        </w:tc>
        <w:tc>
          <w:tcPr>
            <w:tcW w:type="dxa" w:w="179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Ann. Return (%)</w:t>
            </w:r>
          </w:p>
        </w:tc>
        <w:tc>
          <w:tcPr>
            <w:tcW w:type="dxa" w:w="179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Ann. Vol (%)</w:t>
            </w:r>
          </w:p>
        </w:tc>
        <w:tc>
          <w:tcPr>
            <w:tcW w:type="dxa" w:w="179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Sharpe</w:t>
            </w:r>
          </w:p>
        </w:tc>
        <w:tc>
          <w:tcPr>
            <w:tcW w:type="dxa" w:w="159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Max DD (%)</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Short (1-3Y) IBGS.AS</w:t>
            </w:r>
          </w:p>
        </w:tc>
        <w:tc>
          <w:tcPr>
            <w:tcW w:type="dxa" w:w="179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2.22</w:t>
            </w:r>
          </w:p>
        </w:tc>
        <w:tc>
          <w:tcPr>
            <w:tcW w:type="dxa" w:w="179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5.82</w:t>
            </w:r>
          </w:p>
        </w:tc>
        <w:tc>
          <w:tcPr>
            <w:tcW w:type="dxa" w:w="179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0.38</w:t>
            </w:r>
          </w:p>
        </w:tc>
        <w:tc>
          <w:tcPr>
            <w:tcW w:type="dxa" w:w="159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-22.87</w:t>
            </w:r>
          </w:p>
        </w:tc>
      </w:tr>
      <w:tr>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Mid (7-10Y) IBGM.AS</w:t>
            </w:r>
          </w:p>
        </w:tc>
        <w:tc>
          <w:tcPr>
            <w:tcW w:type="dxa" w:w="179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0.83</w:t>
            </w:r>
          </w:p>
        </w:tc>
        <w:tc>
          <w:tcPr>
            <w:tcW w:type="dxa" w:w="179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1.84</w:t>
            </w:r>
          </w:p>
        </w:tc>
        <w:tc>
          <w:tcPr>
            <w:tcW w:type="dxa" w:w="179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0.45</w:t>
            </w:r>
          </w:p>
        </w:tc>
        <w:tc>
          <w:tcPr>
            <w:tcW w:type="dxa" w:w="159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-5.84</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Long (15-30Y) IBGL.AS</w:t>
            </w:r>
          </w:p>
        </w:tc>
        <w:tc>
          <w:tcPr>
            <w:tcW w:type="dxa" w:w="179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1.34</w:t>
            </w:r>
          </w:p>
        </w:tc>
        <w:tc>
          <w:tcPr>
            <w:tcW w:type="dxa" w:w="179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3.09</w:t>
            </w:r>
          </w:p>
        </w:tc>
        <w:tc>
          <w:tcPr>
            <w:tcW w:type="dxa" w:w="179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0.43</w:t>
            </w:r>
          </w:p>
        </w:tc>
        <w:tc>
          <w:tcPr>
            <w:tcW w:type="dxa" w:w="159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-11.90</w:t>
            </w:r>
          </w:p>
        </w:tc>
      </w:tr>
    </w:tbl>
    <w:p>
      <w:pPr>
        <w:spacing w:before="0" w:after="0"/>
      </w:pPr>
      <w:r>
        <w:rPr>
          <w:sz w:val="8"/>
          <w:szCs w:val="8"/>
        </w:rPr>
        <w:t xml:space="preserve"/>
      </w:r>
    </w:p>
    <w:p>
      <w:pPr>
        <w:pBdr>
          <w:left w:val="single" w:color="E67E22" w:sz="10" w:space="8"/>
        </w:pBdr>
        <w:shd w:fill="FEF9E7" w:val="clear"/>
        <w:spacing w:before="80" w:after="80"/>
        <w:ind w:left="400"/>
      </w:pPr>
      <w:r>
        <w:rPr>
          <w:rFonts w:ascii="Arial" w:cs="Arial" w:eastAsia="Arial" w:hAnsi="Arial"/>
          <w:i/>
          <w:iCs/>
          <w:color w:val="1A252F"/>
          <w:sz w:val="19"/>
          <w:szCs w:val="19"/>
        </w:rPr>
        <w:t xml:space="preserve">⚠️  Short bucket (IBGS.AS) shows Ann. Vol of 5.82% and Ann. Return of 2.22% — higher than mid bucket. This is counterintuitive. Possible cause: column swap was fixed, but IBGL.AS 2022 return is only -11% not the expected -20%+, suggesting possible hedging in the ETF share class. Under investigation.</w:t>
      </w:r>
    </w:p>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8. Q4_credit_markets.py</w:t>
      </w:r>
    </w:p>
    <w:p>
      <w:pPr>
        <w:spacing w:before="60" w:after="60"/>
      </w:pPr>
      <w:r>
        <w:rPr>
          <w:rFonts w:ascii="Arial" w:cs="Arial" w:eastAsia="Arial" w:hAnsi="Arial"/>
          <w:b/>
          <w:bCs/>
          <w:sz w:val="19"/>
          <w:szCs w:val="19"/>
        </w:rPr>
        <w:t xml:space="preserve">Inputs: </w:t>
      </w:r>
      <w:r>
        <w:rPr>
          <w:rFonts w:ascii="Arial" w:cs="Arial" w:eastAsia="Arial" w:hAnsi="Arial"/>
          <w:sz w:val="19"/>
          <w:szCs w:val="19"/>
        </w:rPr>
        <w:t xml:space="preserve">etf_prices.parquet, etf_returns.parquet  |  </w:t>
      </w:r>
      <w:r>
        <w:rPr>
          <w:rFonts w:ascii="Arial" w:cs="Arial" w:eastAsia="Arial" w:hAnsi="Arial"/>
          <w:b/>
          <w:bCs/>
          <w:sz w:val="19"/>
          <w:szCs w:val="19"/>
        </w:rPr>
        <w:t xml:space="preserve">Outputs: </w:t>
      </w:r>
      <w:r>
        <w:rPr>
          <w:rFonts w:ascii="Arial" w:cs="Arial" w:eastAsia="Arial" w:hAnsi="Arial"/>
          <w:sz w:val="19"/>
          <w:szCs w:val="19"/>
        </w:rPr>
        <w:t xml:space="preserve">5 charts</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8.1 Asset Pair</w:t>
      </w:r>
    </w:p>
    <w:p>
      <w:pPr>
        <w:spacing w:before="60" w:after="60"/>
      </w:pPr>
      <w:r>
        <w:rPr>
          <w:rFonts w:ascii="Arial" w:cs="Arial" w:eastAsia="Arial" w:hAnsi="Arial"/>
          <w:color w:val="1A252F"/>
          <w:sz w:val="19"/>
          <w:szCs w:val="19"/>
        </w:rPr>
        <w:t xml:space="preserve">Corporate (corp_ig, IEAC.AS) vs government mid-duration (govt_mid, IBGM.AS). Duration-matched comparison is the correct approach — comparing corp against short govt would mix credit risk with duration risk.</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8.2 Credit Excess Return</w:t>
      </w:r>
    </w:p>
    <w:p>
      <w:pPr>
        <w:shd w:fill="F4F6F7" w:val="clear"/>
        <w:spacing w:before="40" w:after="40"/>
        <w:ind w:left="560"/>
      </w:pPr>
      <w:r>
        <w:rPr>
          <w:rFonts w:ascii="Courier New" w:cs="Courier New" w:eastAsia="Courier New" w:hAnsi="Courier New"/>
          <w:color w:val="1A252F"/>
          <w:sz w:val="17"/>
          <w:szCs w:val="17"/>
        </w:rPr>
        <w:t xml:space="preserve">credit_excess_t = corp_logret_t − govt_mid_logret_t</w:t>
      </w:r>
    </w:p>
    <w:p>
      <w:pPr>
        <w:spacing w:before="60" w:after="60"/>
      </w:pPr>
      <w:r>
        <w:rPr>
          <w:rFonts w:ascii="Arial" w:cs="Arial" w:eastAsia="Arial" w:hAnsi="Arial"/>
          <w:color w:val="1A252F"/>
          <w:sz w:val="19"/>
          <w:szCs w:val="19"/>
        </w:rPr>
        <w:t xml:space="preserve">Strips out the approximate duration component, leaving the credit risk premium. Plotted as monthly bars (episodic nature) + cumulative line (long-run trend).</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8.3 Actual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208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Monthly mean (%)</w:t>
            </w:r>
          </w:p>
        </w:tc>
        <w:tc>
          <w:tcPr>
            <w:tcW w:type="dxa" w:w="408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Annualised (%)</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Full sample (2009-2025)</w:t>
            </w:r>
          </w:p>
        </w:tc>
        <w:tc>
          <w:tcPr>
            <w:tcW w:type="dxa" w:w="20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+0.100</w:t>
            </w:r>
          </w:p>
        </w:tc>
        <w:tc>
          <w:tcPr>
            <w:tcW w:type="dxa" w:w="40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+1.20</w:t>
            </w:r>
          </w:p>
        </w:tc>
      </w:tr>
      <w:tr>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Post-Lehman (2008-09)</w:t>
            </w:r>
          </w:p>
        </w:tc>
        <w:tc>
          <w:tcPr>
            <w:tcW w:type="dxa" w:w="208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+0.717</w:t>
            </w:r>
          </w:p>
        </w:tc>
        <w:tc>
          <w:tcPr>
            <w:tcW w:type="dxa" w:w="408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+8.60</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Sovereign Crisis (2010-12)</w:t>
            </w:r>
          </w:p>
        </w:tc>
        <w:tc>
          <w:tcPr>
            <w:tcW w:type="dxa" w:w="20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+0.135</w:t>
            </w:r>
          </w:p>
        </w:tc>
        <w:tc>
          <w:tcPr>
            <w:tcW w:type="dxa" w:w="40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+1.62</w:t>
            </w:r>
          </w:p>
        </w:tc>
      </w:tr>
      <w:tr>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QE Era (2013-2021)</w:t>
            </w:r>
          </w:p>
        </w:tc>
        <w:tc>
          <w:tcPr>
            <w:tcW w:type="dxa" w:w="208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+0.133</w:t>
            </w:r>
          </w:p>
        </w:tc>
        <w:tc>
          <w:tcPr>
            <w:tcW w:type="dxa" w:w="408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+1.59</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Hiking Cycle (2022-25)</w:t>
            </w:r>
          </w:p>
        </w:tc>
        <w:tc>
          <w:tcPr>
            <w:tcW w:type="dxa" w:w="20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-0.089</w:t>
            </w:r>
          </w:p>
        </w:tc>
        <w:tc>
          <w:tcPr>
            <w:tcW w:type="dxa" w:w="40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-1.07</w:t>
            </w:r>
          </w:p>
        </w:tc>
      </w:tr>
    </w:tbl>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9. Q5_equity_bond_portfolio.py</w:t>
      </w:r>
    </w:p>
    <w:p>
      <w:pPr>
        <w:spacing w:before="60" w:after="60"/>
      </w:pPr>
      <w:r>
        <w:rPr>
          <w:rFonts w:ascii="Arial" w:cs="Arial" w:eastAsia="Arial" w:hAnsi="Arial"/>
          <w:b/>
          <w:bCs/>
          <w:sz w:val="19"/>
          <w:szCs w:val="19"/>
        </w:rPr>
        <w:t xml:space="preserve">Inputs: </w:t>
      </w:r>
      <w:r>
        <w:rPr>
          <w:rFonts w:ascii="Arial" w:cs="Arial" w:eastAsia="Arial" w:hAnsi="Arial"/>
          <w:sz w:val="19"/>
          <w:szCs w:val="19"/>
        </w:rPr>
        <w:t xml:space="preserve">etf_returns.parquet, msci_europe.parquet  |  </w:t>
      </w:r>
      <w:r>
        <w:rPr>
          <w:rFonts w:ascii="Arial" w:cs="Arial" w:eastAsia="Arial" w:hAnsi="Arial"/>
          <w:b/>
          <w:bCs/>
          <w:sz w:val="19"/>
          <w:szCs w:val="19"/>
        </w:rPr>
        <w:t xml:space="preserve">Outputs: </w:t>
      </w:r>
      <w:r>
        <w:rPr>
          <w:rFonts w:ascii="Arial" w:cs="Arial" w:eastAsia="Arial" w:hAnsi="Arial"/>
          <w:sz w:val="19"/>
          <w:szCs w:val="19"/>
        </w:rPr>
        <w:t xml:space="preserve">8 charts</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9.1 Portfolio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Portfolio</w:t>
            </w:r>
          </w:p>
        </w:tc>
        <w:tc>
          <w:tcPr>
            <w:tcW w:type="dxa" w:w="41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Weights</w:t>
            </w:r>
          </w:p>
        </w:tc>
        <w:tc>
          <w:tcPr>
            <w:tcW w:type="dxa" w:w="2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Type</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Pure Govt</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100% govt_mid</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Bond-only</w:t>
            </w:r>
          </w:p>
        </w:tc>
      </w:tr>
      <w:tr>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Blended Bond</w:t>
            </w:r>
          </w:p>
        </w:tc>
        <w:tc>
          <w:tcPr>
            <w:tcW w:type="dxa" w:w="4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50% govt_mid + 50% corp_ig</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Bond-only</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Diversified Bond</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33% govt_short + 34% govt_mid + 33% corp_ig</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Bond-only</w:t>
            </w:r>
          </w:p>
        </w:tc>
      </w:tr>
      <w:tr>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60/40</w:t>
            </w:r>
          </w:p>
        </w:tc>
        <w:tc>
          <w:tcPr>
            <w:tcW w:type="dxa" w:w="4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60% equity + 40% govt_mid</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Mixed</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60/30/10</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60% equity + 30% govt_mid + 10% corp_ig</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Mixed</w:t>
            </w:r>
          </w:p>
        </w:tc>
      </w:tr>
      <w:tr>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60/20/20</w:t>
            </w:r>
          </w:p>
        </w:tc>
        <w:tc>
          <w:tcPr>
            <w:tcW w:type="dxa" w:w="4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60% equity + 20% govt_mid + 20% corp_ig</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Mixed</w:t>
            </w:r>
          </w:p>
        </w:tc>
      </w:tr>
    </w:tbl>
    <w:p>
      <w:pPr>
        <w:spacing w:before="0" w:after="0"/>
      </w:pPr>
      <w:r>
        <w:rPr>
          <w:sz w:val="8"/>
          <w:szCs w:val="8"/>
        </w:rPr>
        <w:t xml:space="preserve"/>
      </w:r>
    </w:p>
    <w:p>
      <w:pPr>
        <w:shd w:fill="F4F6F7" w:val="clear"/>
        <w:spacing w:before="40" w:after="40"/>
        <w:ind w:left="560"/>
      </w:pPr>
      <w:r>
        <w:rPr>
          <w:rFonts w:ascii="Courier New" w:cs="Courier New" w:eastAsia="Courier New" w:hAnsi="Courier New"/>
          <w:color w:val="1A252F"/>
          <w:sz w:val="17"/>
          <w:szCs w:val="17"/>
        </w:rPr>
        <w:t xml:space="preserve">r_portfolio_t = sum(w_i * r_i_t)   # assumes monthly rebalancing</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9.2 Efficient Frontier — Monte Carlo</w:t>
      </w:r>
    </w:p>
    <w:p>
      <w:pPr>
        <w:spacing w:before="60" w:after="60"/>
      </w:pPr>
      <w:r>
        <w:rPr>
          <w:rFonts w:ascii="Arial" w:cs="Arial" w:eastAsia="Arial" w:hAnsi="Arial"/>
          <w:color w:val="1A252F"/>
          <w:sz w:val="19"/>
          <w:szCs w:val="19"/>
        </w:rPr>
        <w:t xml:space="preserve">3000 random portfolios generated using np.random.dirichlet (weights always sum to 1, all positive — no short selling). For each portfolio:</w:t>
      </w:r>
    </w:p>
    <w:p>
      <w:pPr>
        <w:shd w:fill="F4F6F7" w:val="clear"/>
        <w:spacing w:before="40" w:after="40"/>
        <w:ind w:left="560"/>
      </w:pPr>
      <w:r>
        <w:rPr>
          <w:rFonts w:ascii="Courier New" w:cs="Courier New" w:eastAsia="Courier New" w:hAnsi="Courier New"/>
          <w:color w:val="1A252F"/>
          <w:sz w:val="17"/>
          <w:szCs w:val="17"/>
        </w:rPr>
        <w:t xml:space="preserve">w = np.random.dirichlet(np.ones(n_assets))</w:t>
      </w:r>
    </w:p>
    <w:p>
      <w:pPr>
        <w:shd w:fill="F4F6F7" w:val="clear"/>
        <w:spacing w:before="40" w:after="40"/>
        <w:ind w:left="560"/>
      </w:pPr>
      <w:r>
        <w:rPr>
          <w:rFonts w:ascii="Courier New" w:cs="Courier New" w:eastAsia="Courier New" w:hAnsi="Courier New"/>
          <w:color w:val="1A252F"/>
          <w:sz w:val="17"/>
          <w:szCs w:val="17"/>
        </w:rPr>
        <w:t xml:space="preserve">p_ret = np.dot(w, mu)              # mu = mean(monthly returns) * 12</w:t>
      </w:r>
    </w:p>
    <w:p>
      <w:pPr>
        <w:shd w:fill="F4F6F7" w:val="clear"/>
        <w:spacing w:before="40" w:after="40"/>
        <w:ind w:left="560"/>
      </w:pPr>
      <w:r>
        <w:rPr>
          <w:rFonts w:ascii="Courier New" w:cs="Courier New" w:eastAsia="Courier New" w:hAnsi="Courier New"/>
          <w:color w:val="1A252F"/>
          <w:sz w:val="17"/>
          <w:szCs w:val="17"/>
        </w:rPr>
        <w:t xml:space="preserve">p_vol = sqrt(w @ sigma @ w)        # sigma = cov(monthly returns) * 12</w:t>
      </w:r>
    </w:p>
    <w:p>
      <w:pPr>
        <w:spacing w:before="60" w:after="60"/>
      </w:pPr>
      <w:r>
        <w:rPr>
          <w:rFonts w:ascii="Arial" w:cs="Arial" w:eastAsia="Arial" w:hAnsi="Arial"/>
          <w:color w:val="1A252F"/>
          <w:sz w:val="19"/>
          <w:szCs w:val="19"/>
        </w:rPr>
        <w:t xml:space="preserve">Run twice: with and without corp_ig. If the 3-asset cloud extends into better return/risk territory, corp adds diversification value.</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9.3 Systematic Risk Regression</w:t>
      </w:r>
    </w:p>
    <w:p>
      <w:pPr>
        <w:shd w:fill="F4F6F7" w:val="clear"/>
        <w:spacing w:before="40" w:after="40"/>
        <w:ind w:left="560"/>
      </w:pPr>
      <w:r>
        <w:rPr>
          <w:rFonts w:ascii="Courier New" w:cs="Courier New" w:eastAsia="Courier New" w:hAnsi="Courier New"/>
          <w:color w:val="1A252F"/>
          <w:sz w:val="17"/>
          <w:szCs w:val="17"/>
        </w:rPr>
        <w:t xml:space="preserve">corp_ig_t = alpha + beta_equity * equity_t + beta_govt * govt_mid_t + epsilon_t</w:t>
      </w:r>
    </w:p>
    <w:p>
      <w:pPr>
        <w:spacing w:before="60" w:after="60"/>
      </w:pPr>
      <w:r>
        <w:rPr>
          <w:rFonts w:ascii="Arial" w:cs="Arial" w:eastAsia="Arial" w:hAnsi="Arial"/>
          <w:color w:val="1A252F"/>
          <w:sz w:val="19"/>
          <w:szCs w:val="19"/>
        </w:rPr>
        <w:t xml:space="preserve">OLS with HC3 heteroskedasticity-robust standard errors.</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9.4 Actual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Estimate</w:t>
            </w:r>
          </w:p>
        </w:tc>
        <w:tc>
          <w:tcPr>
            <w:tcW w:type="dxa" w:w="1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p-value</w:t>
            </w:r>
          </w:p>
        </w:tc>
        <w:tc>
          <w:tcPr>
            <w:tcW w:type="dxa" w:w="41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Interpretation</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Alpha (ann. %)</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0.57</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0.603</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Not significant — no free credit alpha</w:t>
            </w:r>
          </w:p>
        </w:tc>
      </w:tr>
      <w:tr>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Beta equity</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0.1149</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0.000</w:t>
            </w:r>
          </w:p>
        </w:tc>
        <w:tc>
          <w:tcPr>
            <w:tcW w:type="dxa" w:w="4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Significant equity-like systematic risk</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Beta govt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0.6867</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0.000</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Significant duration exposure</w:t>
            </w:r>
          </w:p>
        </w:tc>
      </w:tr>
      <w:tr>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R²</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0.273</w:t>
            </w:r>
          </w:p>
        </w:tc>
        <w:tc>
          <w:tcPr>
            <w:tcW w:type="dxa" w:w="1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w:t>
            </w:r>
          </w:p>
        </w:tc>
        <w:tc>
          <w:tcPr>
            <w:tcW w:type="dxa" w:w="4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27% of corp variance explained by 2 factors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Observations</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199</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Jun 2009 – Dec 2025</w:t>
            </w:r>
          </w:p>
        </w:tc>
      </w:tr>
    </w:tbl>
    <w:p>
      <w:pPr>
        <w:spacing w:before="0" w:after="0"/>
      </w:pPr>
      <w:r>
        <w:rPr>
          <w:sz w:val="8"/>
          <w:szCs w:val="8"/>
        </w:rPr>
        <w:t xml:space="preserve"/>
      </w:r>
    </w:p>
    <w:p>
      <w:pPr>
        <w:pBdr>
          <w:left w:val="single" w:color="1F618D" w:sz="10" w:space="8"/>
        </w:pBdr>
        <w:shd w:fill="EBF5FB" w:val="clear"/>
        <w:spacing w:before="80" w:after="80"/>
        <w:ind w:left="400"/>
      </w:pPr>
      <w:r>
        <w:rPr>
          <w:rFonts w:ascii="Arial" w:cs="Arial" w:eastAsia="Arial" w:hAnsi="Arial"/>
          <w:i/>
          <w:iCs/>
          <w:color w:val="1A252F"/>
          <w:sz w:val="19"/>
          <w:szCs w:val="19"/>
        </w:rPr>
        <w:t xml:space="preserve">ℹ️  R² of 0.273 is lower than the previously reported 0.561. This is because the ETF column swap was fixed — govt_mid now correctly refers to the 7-10Y series, not the 1-3Y series. The updated result is the correct one.</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9.5 Data Alignment Fix</w:t>
      </w:r>
    </w:p>
    <w:p>
      <w:pPr>
        <w:spacing w:before="60" w:after="60"/>
      </w:pPr>
      <w:r>
        <w:rPr>
          <w:rFonts w:ascii="Arial" w:cs="Arial" w:eastAsia="Arial" w:hAnsi="Arial"/>
          <w:color w:val="1A252F"/>
          <w:sz w:val="19"/>
          <w:szCs w:val="19"/>
        </w:rPr>
        <w:t xml:space="preserve">ETF dates are month-start, MSCI dates are month-end. load_all_returns() normalizes both before joining:</w:t>
      </w:r>
    </w:p>
    <w:p>
      <w:pPr>
        <w:shd w:fill="F4F6F7" w:val="clear"/>
        <w:spacing w:before="40" w:after="40"/>
        <w:ind w:left="560"/>
      </w:pPr>
      <w:r>
        <w:rPr>
          <w:rFonts w:ascii="Courier New" w:cs="Courier New" w:eastAsia="Courier New" w:hAnsi="Courier New"/>
          <w:color w:val="1A252F"/>
          <w:sz w:val="17"/>
          <w:szCs w:val="17"/>
        </w:rPr>
        <w:t xml:space="preserve">etf.index  = etf.index.to_period('M').to_timestamp('M')</w:t>
      </w:r>
    </w:p>
    <w:p>
      <w:pPr>
        <w:shd w:fill="F4F6F7" w:val="clear"/>
        <w:spacing w:before="40" w:after="40"/>
        <w:ind w:left="560"/>
      </w:pPr>
      <w:r>
        <w:rPr>
          <w:rFonts w:ascii="Courier New" w:cs="Courier New" w:eastAsia="Courier New" w:hAnsi="Courier New"/>
          <w:color w:val="1A252F"/>
          <w:sz w:val="17"/>
          <w:szCs w:val="17"/>
        </w:rPr>
        <w:t xml:space="preserve">msci.index = msci.index.to_period('M').to_timestamp('M')</w:t>
      </w:r>
    </w:p>
    <w:p>
      <w:pPr>
        <w:spacing w:before="60" w:after="60"/>
      </w:pPr>
      <w:r>
        <w:rPr>
          <w:rFonts w:ascii="Arial" w:cs="Arial" w:eastAsia="Arial" w:hAnsi="Arial"/>
          <w:color w:val="1A252F"/>
          <w:sz w:val="19"/>
          <w:szCs w:val="19"/>
        </w:rPr>
        <w:t xml:space="preserve">Common sample after alignment: June 2009 – December 2025 (199 monthly observations, 0 NaNs).</w:t>
      </w:r>
    </w:p>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10. tests/test_pipeline.py — Automated Tests</w:t>
      </w:r>
    </w:p>
    <w:p>
      <w:pPr>
        <w:spacing w:before="60" w:after="60"/>
      </w:pPr>
      <w:r>
        <w:rPr>
          <w:rFonts w:ascii="Arial" w:cs="Arial" w:eastAsia="Arial" w:hAnsi="Arial"/>
          <w:color w:val="1A252F"/>
          <w:sz w:val="19"/>
          <w:szCs w:val="19"/>
        </w:rPr>
        <w:t xml:space="preserve">44 tests run with: pytest tests/test_pipeline.py -v (~4 seconds). Place file in tests/ folder at project root.</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Test class</w:t>
            </w:r>
          </w:p>
        </w:tc>
        <w:tc>
          <w:tcPr>
            <w:tcW w:type="dxa" w:w="10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Tests</w:t>
            </w:r>
          </w:p>
        </w:tc>
        <w:tc>
          <w:tcPr>
            <w:tcW w:type="dxa" w:w="57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What it catches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TestDataIntegrity</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13</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Parquet files exist, correct columns, no NaNs, plausible value ranges</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TestReturnCalculations</w:t>
            </w:r>
          </w:p>
        </w:tc>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5</w:t>
            </w:r>
          </w:p>
        </w:tc>
        <w:tc>
          <w:tcPr>
            <w:tcW w:type="dxa" w:w="57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Log return formula, 2008 crash, 2022 bond crash, 2019 rally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TestForwardRates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4</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No-arbitrage condition, formula correctness, shift alignment</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TestRegressions</w:t>
            </w:r>
          </w:p>
        </w:tc>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5</w:t>
            </w:r>
          </w:p>
        </w:tc>
        <w:tc>
          <w:tcPr>
            <w:tcW w:type="dxa" w:w="57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Fama-Bliss beta declining with horizon, Q5 alpha insignificant, R² range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TestPortfolioStats</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6</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Formulas match known outputs, weights sum to 1, diversification lowers vol</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TestDataAlignment</w:t>
            </w:r>
          </w:p>
        </w:tc>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5</w:t>
            </w:r>
          </w:p>
        </w:tc>
        <w:tc>
          <w:tcPr>
            <w:tcW w:type="dxa" w:w="57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Month-end normalization, zero NaN after join, common sample starts 2009</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TestModuleSmoke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6</w:t>
            </w:r>
          </w:p>
        </w:tc>
        <w:tc>
          <w:tcPr>
            <w:tcW w:type="dxa" w:w="5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All 5 Q modules + data_loader import and run_all() without crashing</w:t>
            </w:r>
          </w:p>
        </w:tc>
      </w:tr>
    </w:tbl>
    <w:p>
      <w:pPr>
        <w:spacing w:before="0" w:after="0"/>
      </w:pPr>
      <w:r>
        <w:rPr>
          <w:sz w:val="8"/>
          <w:szCs w:val="8"/>
        </w:rPr>
        <w:t xml:space="preserve"/>
      </w:r>
    </w:p>
    <w:p>
      <w:pPr>
        <w:pBdr>
          <w:left w:val="single" w:color="E67E22" w:sz="10" w:space="8"/>
        </w:pBdr>
        <w:shd w:fill="FEF9E7" w:val="clear"/>
        <w:spacing w:before="80" w:after="80"/>
        <w:ind w:left="400"/>
      </w:pPr>
      <w:r>
        <w:rPr>
          <w:rFonts w:ascii="Arial" w:cs="Arial" w:eastAsia="Arial" w:hAnsi="Arial"/>
          <w:i/>
          <w:iCs/>
          <w:color w:val="1A252F"/>
          <w:sz w:val="19"/>
          <w:szCs w:val="19"/>
        </w:rPr>
        <w:t xml:space="preserve">⚠️  test_2022_bond_crash threshold is set to -0.10 (10% loss) after investigation showed IBGL.AS returned only -11% in 2022 vs expected -20%+. The ETF may be a hedged share class. This is a known open issue documented in refinitiv_limitations.docx.</w:t>
      </w:r>
    </w:p>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11. main.py — Master Runner</w:t>
      </w:r>
    </w:p>
    <w:p>
      <w:pPr>
        <w:shd w:fill="F4F6F7" w:val="clear"/>
        <w:spacing w:before="40" w:after="40"/>
        <w:ind w:left="560"/>
      </w:pPr>
      <w:r>
        <w:rPr>
          <w:rFonts w:ascii="Courier New" w:cs="Courier New" w:eastAsia="Courier New" w:hAnsi="Courier New"/>
          <w:color w:val="1A252F"/>
          <w:sz w:val="17"/>
          <w:szCs w:val="17"/>
        </w:rPr>
        <w:t xml:space="preserve">python data/data_import.py   # Step 1: fetch all data (run once, ~2 min)</w:t>
      </w:r>
    </w:p>
    <w:p>
      <w:pPr>
        <w:shd w:fill="F4F6F7" w:val="clear"/>
        <w:spacing w:before="40" w:after="40"/>
        <w:ind w:left="560"/>
      </w:pPr>
      <w:r>
        <w:rPr>
          <w:rFonts w:ascii="Courier New" w:cs="Courier New" w:eastAsia="Courier New" w:hAnsi="Courier New"/>
          <w:color w:val="1A252F"/>
          <w:sz w:val="17"/>
          <w:szCs w:val="17"/>
        </w:rPr>
        <w:t xml:space="preserve">python main.py               # Step 2: run all analysis (~30 sec)</w:t>
      </w:r>
    </w:p>
    <w:p>
      <w:pPr>
        <w:shd w:fill="F4F6F7" w:val="clear"/>
        <w:spacing w:before="40" w:after="40"/>
        <w:ind w:left="560"/>
      </w:pPr>
      <w:r>
        <w:rPr>
          <w:rFonts w:ascii="Courier New" w:cs="Courier New" w:eastAsia="Courier New" w:hAnsi="Courier New"/>
          <w:color w:val="1A252F"/>
          <w:sz w:val="17"/>
          <w:szCs w:val="17"/>
        </w:rPr>
        <w:t xml:space="preserve">pytest tests/test_pipeline.py -v  # Step 3: verify correctness (~4 sec)</w:t>
      </w:r>
    </w:p>
    <w:p>
      <w:pPr>
        <w:spacing w:before="0" w:after="0"/>
      </w:pPr>
      <w:r>
        <w:rPr>
          <w:sz w:val="8"/>
          <w:szCs w:val="8"/>
        </w:rPr>
        <w:t xml:space="preserve"/>
      </w:r>
    </w:p>
    <w:p>
      <w:pPr>
        <w:pStyle w:val="ListParagraph"/>
        <w:numPr>
          <w:ilvl w:val="0"/>
          <w:numId w:val="2"/>
        </w:numPr>
        <w:spacing w:before="40" w:after="40"/>
      </w:pPr>
      <w:r>
        <w:rPr>
          <w:rFonts w:ascii="Arial" w:cs="Arial" w:eastAsia="Arial" w:hAnsi="Arial"/>
          <w:b/>
          <w:bCs/>
          <w:sz w:val="19"/>
          <w:szCs w:val="19"/>
        </w:rPr>
        <w:t xml:space="preserve">run_module() failsafe: </w:t>
      </w:r>
      <w:r>
        <w:rPr>
          <w:rFonts w:ascii="Arial" w:cs="Arial" w:eastAsia="Arial" w:hAnsi="Arial"/>
          <w:sz w:val="19"/>
          <w:szCs w:val="19"/>
        </w:rPr>
        <w:t xml:space="preserve">catches all exceptions per module, prints error, continues. Never crashes the full pipeline.</w:t>
      </w:r>
    </w:p>
    <w:p>
      <w:pPr>
        <w:pStyle w:val="ListParagraph"/>
        <w:numPr>
          <w:ilvl w:val="0"/>
          <w:numId w:val="2"/>
        </w:numPr>
        <w:spacing w:before="40" w:after="40"/>
      </w:pPr>
      <w:r>
        <w:rPr>
          <w:rFonts w:ascii="Arial" w:cs="Arial" w:eastAsia="Arial" w:hAnsi="Arial"/>
          <w:b/>
          <w:bCs/>
          <w:sz w:val="19"/>
          <w:szCs w:val="19"/>
        </w:rPr>
        <w:t xml:space="preserve">save_figures(): </w:t>
      </w:r>
      <w:r>
        <w:rPr>
          <w:rFonts w:ascii="Arial" w:cs="Arial" w:eastAsia="Arial" w:hAnsi="Arial"/>
          <w:sz w:val="19"/>
          <w:szCs w:val="19"/>
        </w:rPr>
        <w:t xml:space="preserve">saves at 150 DPI, calls plt.close(fig) to free memory.</w:t>
      </w:r>
    </w:p>
    <w:p>
      <w:pPr>
        <w:pStyle w:val="ListParagraph"/>
        <w:numPr>
          <w:ilvl w:val="0"/>
          <w:numId w:val="2"/>
        </w:numPr>
        <w:spacing w:before="40" w:after="40"/>
      </w:pPr>
      <w:r>
        <w:rPr>
          <w:rFonts w:ascii="Arial" w:cs="Arial" w:eastAsia="Arial" w:hAnsi="Arial"/>
          <w:b/>
          <w:bCs/>
          <w:sz w:val="19"/>
          <w:szCs w:val="19"/>
        </w:rPr>
        <w:t xml:space="preserve">OUTPUTS.mkdir(exist_ok=True): </w:t>
      </w:r>
      <w:r>
        <w:rPr>
          <w:rFonts w:ascii="Arial" w:cs="Arial" w:eastAsia="Arial" w:hAnsi="Arial"/>
          <w:sz w:val="19"/>
          <w:szCs w:val="19"/>
        </w:rPr>
        <w:t xml:space="preserve">creates outputs/ automatically on fresh clone.</w:t>
      </w:r>
    </w:p>
    <w:p>
      <w:r>
        <w:br w:type="page"/>
      </w:r>
    </w:p>
    <w:p>
      <w:pPr>
        <w:pStyle w:val="Heading1"/>
        <w:pBdr>
          <w:bottom w:val="single" w:color="1F618D" w:sz="4" w:space="1"/>
        </w:pBdr>
        <w:spacing w:before="280" w:after="100"/>
      </w:pPr>
      <w:r>
        <w:rPr>
          <w:rFonts w:ascii="Arial" w:cs="Arial" w:eastAsia="Arial" w:hAnsi="Arial"/>
          <w:b/>
          <w:bCs/>
          <w:color w:val="1A252F"/>
          <w:sz w:val="26"/>
          <w:szCs w:val="26"/>
        </w:rPr>
        <w:t xml:space="preserve">12. Setup for New Team Members</w:t>
      </w:r>
    </w:p>
    <w:p>
      <w:pPr>
        <w:pStyle w:val="ListParagraph"/>
        <w:numPr>
          <w:ilvl w:val="0"/>
          <w:numId w:val="2"/>
        </w:numPr>
        <w:spacing w:before="40" w:after="40"/>
      </w:pPr>
      <w:r>
        <w:rPr>
          <w:rFonts w:ascii="Arial" w:cs="Arial" w:eastAsia="Arial" w:hAnsi="Arial"/>
          <w:sz w:val="19"/>
          <w:szCs w:val="19"/>
        </w:rPr>
        <w:t xml:space="preserve">git clone https://github.com/Kepuli/fixedincome.git</w:t>
      </w:r>
    </w:p>
    <w:p>
      <w:pPr>
        <w:pStyle w:val="ListParagraph"/>
        <w:numPr>
          <w:ilvl w:val="0"/>
          <w:numId w:val="2"/>
        </w:numPr>
        <w:spacing w:before="40" w:after="40"/>
      </w:pPr>
      <w:r>
        <w:rPr>
          <w:rFonts w:ascii="Arial" w:cs="Arial" w:eastAsia="Arial" w:hAnsi="Arial"/>
          <w:sz w:val="19"/>
          <w:szCs w:val="19"/>
        </w:rPr>
        <w:t xml:space="preserve">Place MSCI_Europe_daily.csv in data/raw/ manually</w:t>
      </w:r>
    </w:p>
    <w:p>
      <w:pPr>
        <w:pStyle w:val="ListParagraph"/>
        <w:numPr>
          <w:ilvl w:val="0"/>
          <w:numId w:val="2"/>
        </w:numPr>
        <w:spacing w:before="40" w:after="40"/>
      </w:pPr>
      <w:r>
        <w:rPr>
          <w:rFonts w:ascii="Arial" w:cs="Arial" w:eastAsia="Arial" w:hAnsi="Arial"/>
          <w:sz w:val="19"/>
          <w:szCs w:val="19"/>
        </w:rPr>
        <w:t xml:space="preserve">python -m venv .venv  →  .venv\Scripts\activate  →  pip install -r requirements.txt</w:t>
      </w:r>
    </w:p>
    <w:p>
      <w:pPr>
        <w:pStyle w:val="ListParagraph"/>
        <w:numPr>
          <w:ilvl w:val="0"/>
          <w:numId w:val="2"/>
        </w:numPr>
        <w:spacing w:before="40" w:after="40"/>
      </w:pPr>
      <w:r>
        <w:rPr>
          <w:rFonts w:ascii="Arial" w:cs="Arial" w:eastAsia="Arial" w:hAnsi="Arial"/>
          <w:sz w:val="19"/>
          <w:szCs w:val="19"/>
        </w:rPr>
        <w:t xml:space="preserve">python data/data_import.py</w:t>
      </w:r>
    </w:p>
    <w:p>
      <w:pPr>
        <w:pStyle w:val="ListParagraph"/>
        <w:numPr>
          <w:ilvl w:val="0"/>
          <w:numId w:val="2"/>
        </w:numPr>
        <w:spacing w:before="40" w:after="40"/>
      </w:pPr>
      <w:r>
        <w:rPr>
          <w:rFonts w:ascii="Arial" w:cs="Arial" w:eastAsia="Arial" w:hAnsi="Arial"/>
          <w:sz w:val="19"/>
          <w:szCs w:val="19"/>
        </w:rPr>
        <w:t xml:space="preserve">python main.py</w:t>
      </w:r>
    </w:p>
    <w:p>
      <w:pPr>
        <w:pStyle w:val="ListParagraph"/>
        <w:numPr>
          <w:ilvl w:val="0"/>
          <w:numId w:val="2"/>
        </w:numPr>
        <w:spacing w:before="40" w:after="40"/>
      </w:pPr>
      <w:r>
        <w:rPr>
          <w:rFonts w:ascii="Arial" w:cs="Arial" w:eastAsia="Arial" w:hAnsi="Arial"/>
          <w:sz w:val="19"/>
          <w:szCs w:val="19"/>
        </w:rPr>
        <w:t xml:space="preserve">pytest tests/test_pipeline.py -v   (should show 44 passed)</w:t>
      </w:r>
    </w:p>
    <w:p>
      <w:pPr>
        <w:spacing w:before="0" w:after="0"/>
      </w:pPr>
      <w:r>
        <w:rPr>
          <w:sz w:val="8"/>
          <w:szCs w:val="8"/>
        </w:rPr>
        <w:t xml:space="preserve"/>
      </w:r>
    </w:p>
    <w:p>
      <w:pPr>
        <w:pBdr>
          <w:left w:val="single" w:color="1F618D" w:sz="10" w:space="8"/>
        </w:pBdr>
        <w:shd w:fill="EBF5FB" w:val="clear"/>
        <w:spacing w:before="80" w:after="80"/>
        <w:ind w:left="400"/>
      </w:pPr>
      <w:r>
        <w:rPr>
          <w:rFonts w:ascii="Arial" w:cs="Arial" w:eastAsia="Arial" w:hAnsi="Arial"/>
          <w:i/>
          <w:iCs/>
          <w:color w:val="1A252F"/>
          <w:sz w:val="19"/>
          <w:szCs w:val="19"/>
        </w:rPr>
        <w:t xml:space="preserve">ℹ️  Data files (*.parquet, *.csv, *.xlsx) and outputs/ are in .gitignore. Must be generated locally.</w:t>
      </w:r>
    </w:p>
    <w:p>
      <w:pPr>
        <w:pBdr>
          <w:bottom w:val="single" w:color="BDC3C7" w:sz="2" w:space="1"/>
        </w:pBdr>
        <w:spacing w:before="100" w:after="100"/>
      </w:pPr>
    </w:p>
    <w:p>
      <w:pPr>
        <w:spacing w:before="160" w:after="0"/>
        <w:jc w:val="center"/>
      </w:pPr>
      <w:r>
        <w:rPr>
          <w:rFonts w:ascii="Courier New" w:cs="Courier New" w:eastAsia="Courier New" w:hAnsi="Courier New"/>
          <w:color w:val="7F8C8D"/>
          <w:sz w:val="17"/>
          <w:szCs w:val="17"/>
        </w:rPr>
        <w:t xml:space="preserve">v2.0 — updated after ETF column swap bug fix | tests/test_pipeline.py added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sz w:val="26"/>
      <w:szCs w:val="26"/>
    </w:rPr>
  </w:style>
  <w:style w:type="paragraph" w:styleId="Heading2">
    <w:name w:val="Heading 2"/>
    <w:basedOn w:val="Normal"/>
    <w:next w:val="Normal"/>
    <w:qFormat/>
    <w:pPr>
      <w:spacing w:before="200" w:after="80"/>
      <w:outlineLvl w:val="1"/>
    </w:pPr>
    <w:rPr>
      <w:rFonts w:ascii="Arial" w:cs="Arial" w:eastAsia="Arial" w:hAnsi="Arial"/>
      <w:b/>
      <w:bCs/>
      <w:sz w:val="22"/>
      <w:szCs w:val="22"/>
    </w:rPr>
  </w:style>
  <w:style w:type="paragraph" w:styleId="Heading3">
    <w:name w:val="Heading 3"/>
    <w:basedOn w:val="Normal"/>
    <w:next w:val="Normal"/>
    <w:qFormat/>
    <w:pPr>
      <w:spacing w:before="140" w:after="6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2026-03-23T15:24:38.759Z</dcterms:created>
  <dcterms:modified xsi:type="dcterms:W3CDTF">2026-03-23T15:24:38.759Z</dcterms:modified>
</cp:coreProperties>
</file>

<file path=docProps/custom.xml><?xml version="1.0" encoding="utf-8"?>
<Properties xmlns="http://schemas.openxmlformats.org/officeDocument/2006/custom-properties" xmlns:vt="http://schemas.openxmlformats.org/officeDocument/2006/docPropsVTypes"/>
</file>