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Data Limitations: No Refinitiv Access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Fixed Income Case Study 28E00900 | Spring 2026</w:t>
      </w:r>
    </w:p>
    <w:p>
      <w:pPr>
        <w:spacing w:before="0" w:after="200"/>
      </w:pPr>
      <w:r>
        <w:rPr>
          <w:rFonts w:ascii="Arial" w:cs="Arial" w:eastAsia="Arial" w:hAnsi="Arial"/>
          <w:color w:val="1A252F"/>
          <w:sz w:val="19"/>
          <w:szCs w:val="19"/>
        </w:rPr>
        <w:t xml:space="preserve">This document describes what data was unavailable due to lack of Refinitiv/LSEG access, what proxy was used instead, and what the analytical impact is.</w:t>
      </w:r>
    </w:p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1. What Refinitiv Would Have Provided</w:t>
      </w:r>
    </w:p>
    <w:p>
      <w:pPr>
        <w:spacing w:before="60" w:after="60"/>
      </w:pPr>
      <w:r>
        <w:rPr>
          <w:rFonts w:ascii="Arial" w:cs="Arial" w:eastAsia="Arial" w:hAnsi="Arial"/>
          <w:color w:val="1A252F"/>
          <w:sz w:val="19"/>
          <w:szCs w:val="19"/>
        </w:rPr>
        <w:t xml:space="preserve">The course assignment states: 'The LSEG database contains the necessary data to complete this case study.' The following professional datasets were inaccessible and required free alternatives.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1.1 iBoxx EUR Sovereigns Total Return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Professional government bond total return index by maturity bucket (1-3Y, 3-5Y, 5-7Y, 7-10Y, 10Y+)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 duration risk analysis — theoretically clean total return series going back to 2000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Coverage if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Jan 2000 – Dec 2025 (full assignment window)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Proxy used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iShares ETFs: IBGS.AS (1-3Y), IBGM.AS (7-10Y), IBGL.AS (15-30Y) via Yahoo Finance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Proxy coverage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Jan 2008 – Dec 2025 (8-year gap at start)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Analytical impact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Missing 2000-2007 pre-GFC period in Q3. No 3-5Y or 5-7Y maturity bucket available.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Acceptability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High — ETF tracking error typically &lt;10bps annually for large iShares funds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1.2 iBoxx EUR Corporates Total Return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Professional IG corporate bond total return index, full history to 2000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Q4 credit market analysis — return history and sub-period decomposition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Coverage if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Jan 2000 – Dec 2025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Proxy used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iShares IEAC.AS (iShares Core EUR Corp Bond IG) via Yahoo Finance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Proxy coverage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May 2009 – Dec 2025 (9-year gap — misses GFC credit blowout entirely)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Analytical impact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Cannot observe the worst credit event (Oct-Nov 2008 spread blowout) in return data. Q4 credit premium calculated from 2009 onward only.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Acceptability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Moderate — the most analytically important stress event is missing from the sample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1.3 Corporate Bond OAS Spread Time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Option-adjusted spread of EUR IG corporate bonds over government, daily/monthly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Q4 — shows market pricing of credit risk over time (spread levels, not just returns)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Coverage if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2000 – 2025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Proxy used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None — not available from free sources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Analytical impact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Cannot show spread level charts (e.g. 'spreads hit 600bps in Oct 2008'). Credit premium measured via return differences only, which is less direct.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Acceptability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Low for this specific exhibit — credit_excess_t return series partially compensates but does not show spread levels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1.4 MSCI EMU vs MSCI Europe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MSCI EMU = euro area only equity index (more consistent with EUR bond universe)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Q5 portfolio analysis — ideally equity and bond universe should match geographically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Coverage if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2000 – 2025 via Refinitiv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Proxy used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MSCI Europe (includes UK, Switzerland, Sweden — non-euro countries)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MSCI website free download (MSCI_Europe_daily.csv)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Analytical impact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Slight universe mismatch. MSCI Europe beta to EUR corporate bonds may be marginally lower than MSCI EMU beta. Immaterial for academic analysis.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Acceptability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High — standard proxy, widely used in academic literature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1.5 Maturity-Matched Government Bond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iBoxx EUR Sovereigns sub-indices: 3-5Y, 5-7Y buckets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 — cleaner duration ladder without gaps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Proxy used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IBGS (1-3Y) and IBGM (7-10Y) — skips the 3-7Y middle range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Analytical impact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Duration ladder has a gap: goes 1-3Y → 7-10Y. Cannot show smooth duration-return relationship across all buckets.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Acceptability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Moderate — covers the key short/mid/long comparison but misses granularity</w:t>
            </w:r>
          </w:p>
        </w:tc>
      </w:tr>
    </w:tbl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2. What Was NOT Affected by Lack of Refinitiv</w:t>
      </w:r>
    </w:p>
    <w:p>
      <w:pPr>
        <w:pBdr>
          <w:left w:val="single" w:color="1E8449" w:sz="10" w:space="8"/>
        </w:pBdr>
        <w:shd w:fill="EAFAF1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1A252F"/>
          <w:sz w:val="19"/>
          <w:szCs w:val="19"/>
        </w:rPr>
        <w:t xml:space="preserve">✓  ECB AAA spot rates — fetched directly from ECB Data Portal API. Refinitiv carries the same ECB-sourced data. No difference.</w:t>
      </w:r>
    </w:p>
    <w:p>
      <w:pPr>
        <w:pBdr>
          <w:left w:val="single" w:color="1E8449" w:sz="10" w:space="8"/>
        </w:pBdr>
        <w:shd w:fill="EAFAF1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1A252F"/>
          <w:sz w:val="19"/>
          <w:szCs w:val="19"/>
        </w:rPr>
        <w:t xml:space="preserve">✓  ECB policy rate and EURIBOR — ECB SDW is the primary source. Refinitiv would give identical data.</w:t>
      </w:r>
    </w:p>
    <w:p>
      <w:pPr>
        <w:pBdr>
          <w:left w:val="single" w:color="1E8449" w:sz="10" w:space="8"/>
        </w:pBdr>
        <w:shd w:fill="EAFAF1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1A252F"/>
          <w:sz w:val="19"/>
          <w:szCs w:val="19"/>
        </w:rPr>
        <w:t xml:space="preserve">✓  Q1 yield curve analysis — entirely based on ECB data, unaffected.</w:t>
      </w:r>
    </w:p>
    <w:p>
      <w:pPr>
        <w:pBdr>
          <w:left w:val="single" w:color="1E8449" w:sz="10" w:space="8"/>
        </w:pBdr>
        <w:shd w:fill="EAFAF1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1A252F"/>
          <w:sz w:val="19"/>
          <w:szCs w:val="19"/>
        </w:rPr>
        <w:t xml:space="preserve">✓  Q2 forward rate regressions — entirely based on ECB data, unaffected.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3. Impact Summary by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of no Refinitiv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Q1 — Yield curve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None — ECB data sufficient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Q2 — Forward rates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None — ECB data sufficient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 — Duration risk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Missing 2000-2007, no 3-5Y/5-7Y buckets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Q4 — Credit markets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Missing 2000-2009 incl. GFC blowout, no OAS spreads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Q5 — Portfolio/systematic risk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Sample starts 2009, MSCI Europe not EMU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Low-moderate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4. If Refinitiv Access Becomes Available</w:t>
      </w:r>
    </w:p>
    <w:p>
      <w:pPr>
        <w:spacing w:before="60" w:after="60"/>
      </w:pPr>
      <w:r>
        <w:rPr>
          <w:rFonts w:ascii="Arial" w:cs="Arial" w:eastAsia="Arial" w:hAnsi="Arial"/>
          <w:color w:val="1A252F"/>
          <w:sz w:val="19"/>
          <w:szCs w:val="19"/>
        </w:rPr>
        <w:t xml:space="preserve">The pipeline is designed to accommodate Refinitiv data with minimal code changes. Add these functions to data_import.py: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fetch_iboxx_govt() </w:t>
      </w:r>
      <w:r>
        <w:rPr>
          <w:rFonts w:ascii="Arial" w:cs="Arial" w:eastAsia="Arial" w:hAnsi="Arial"/>
          <w:sz w:val="19"/>
          <w:szCs w:val="19"/>
        </w:rPr>
        <w:t xml:space="preserve">— iBoxx EUR Sovereigns TRI by bucket → data/raw/iboxx_govt_tri.csv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fetch_iboxx_corp() </w:t>
      </w:r>
      <w:r>
        <w:rPr>
          <w:rFonts w:ascii="Arial" w:cs="Arial" w:eastAsia="Arial" w:hAnsi="Arial"/>
          <w:sz w:val="19"/>
          <w:szCs w:val="19"/>
        </w:rPr>
        <w:t xml:space="preserve">— iBoxx EUR Corporates TRI → data/raw/iboxx_corp_tri.csv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fetch_corp_oas() </w:t>
      </w:r>
      <w:r>
        <w:rPr>
          <w:rFonts w:ascii="Arial" w:cs="Arial" w:eastAsia="Arial" w:hAnsi="Arial"/>
          <w:sz w:val="19"/>
          <w:szCs w:val="19"/>
        </w:rPr>
        <w:t xml:space="preserve">— iBoxx EUR Corporates OAS → data/raw/iboxx_corp_oas.csv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fetch_msci_emu() </w:t>
      </w:r>
      <w:r>
        <w:rPr>
          <w:rFonts w:ascii="Arial" w:cs="Arial" w:eastAsia="Arial" w:hAnsi="Arial"/>
          <w:sz w:val="19"/>
          <w:szCs w:val="19"/>
        </w:rPr>
        <w:t xml:space="preserve">— MSCI EMU total return → data/raw/msci_emu.csv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52F"/>
          <w:sz w:val="19"/>
          <w:szCs w:val="19"/>
        </w:rPr>
        <w:t xml:space="preserve">Then update data_loader.py to point Q3/Q4/Q5 at the new parquets. Q1 and Q2 require no changes.</w:t>
      </w:r>
    </w:p>
    <w:p>
      <w:pPr>
        <w:pBdr>
          <w:left w:val="single" w:color="1F618D" w:sz="10" w:space="8"/>
        </w:pBdr>
        <w:shd w:fill="EBF5FB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1A252F"/>
          <w:sz w:val="19"/>
          <w:szCs w:val="19"/>
        </w:rPr>
        <w:t xml:space="preserve">ℹ️  The modular architecture means updating one data source only affects the Q modules that use it. Q1 and Q2 are completely isolated from this.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2026-03-23T15:24:38.712Z</dcterms:created>
  <dcterms:modified xsi:type="dcterms:W3CDTF">2026-03-23T15:24:38.712Z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