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C3E50"/>
          <w:sz w:val="48"/>
          <w:szCs w:val="48"/>
        </w:rPr>
        <w:t xml:space="preserve">Data Pipeline &amp; Workflow Documentation</w:t>
      </w:r>
    </w:p>
    <w:p>
      <w:pPr>
        <w:spacing w:before="100" w:after="100"/>
        <w:jc w:val="center"/>
      </w:pPr>
      <w:r>
        <w:rPr>
          <w:rFonts w:ascii="Arial" w:cs="Arial" w:eastAsia="Arial" w:hAnsi="Arial"/>
          <w:i/>
          <w:iCs/>
          <w:color w:val="7F8C8D"/>
          <w:sz w:val="26"/>
          <w:szCs w:val="26"/>
        </w:rPr>
        <w:t xml:space="preserve">Fixed Income Case Study — European Interest Rate &amp; Corporate Bond Markets</w:t>
      </w:r>
    </w:p>
    <w:p>
      <w:pPr>
        <w:spacing w:before="100" w:after="600"/>
        <w:jc w:val="center"/>
      </w:pPr>
      <w:r>
        <w:rPr>
          <w:rFonts w:ascii="Arial" w:cs="Arial" w:eastAsia="Arial" w:hAnsi="Arial"/>
          <w:color w:val="7F8C8D"/>
          <w:sz w:val="22"/>
          <w:szCs w:val="22"/>
        </w:rPr>
        <w:t xml:space="preserve">28E00900 | Spring 2026 | Technical Reference Document</w:t>
      </w:r>
    </w:p>
    <w:p>
      <w:pPr>
        <w:pBdr>
          <w:bottom w:val="single" w:color="BDC3C7" w:sz="2" w:space="1"/>
        </w:pBdr>
        <w:spacing w:before="200" w:after="200"/>
      </w:pPr>
    </w:p>
    <w:p>
      <w:pPr>
        <w:spacing w:before="300" w:after="100"/>
      </w:pPr>
      <w:r>
        <w:rPr>
          <w:rFonts w:ascii="Arial" w:cs="Arial" w:eastAsia="Arial" w:hAnsi="Arial"/>
          <w:b/>
          <w:bCs/>
          <w:color w:val="2C3E50"/>
          <w:sz w:val="24"/>
          <w:szCs w:val="24"/>
        </w:rPr>
        <w:t xml:space="preserve">Purpose of this document</w:t>
      </w:r>
    </w:p>
    <w:p>
      <w:pPr>
        <w:spacing w:before="80" w:after="80"/>
      </w:pPr>
      <w:r>
        <w:rPr>
          <w:rFonts w:ascii="Arial" w:cs="Arial" w:eastAsia="Arial" w:hAnsi="Arial"/>
          <w:sz w:val="22"/>
          <w:szCs w:val="22"/>
        </w:rPr>
        <w:t xml:space="preserve">This document describes the complete data pipeline used in this case study — from raw data acquisition to the final analytical outputs. It is written so that any team member can understand exactly what each component does, what data it consumes, what it produces, and which formulas or transformations are applied. The goal is that anyone can pick up any part of the codebase and work on it independently without needing to ask the original author.</w:t>
      </w:r>
    </w:p>
    <w:p>
      <w:pPr>
        <w:spacing w:before="80" w:after="80"/>
      </w:pPr>
      <w:r>
        <w:rPr>
          <w:rFonts w:ascii="Arial" w:cs="Arial" w:eastAsia="Arial" w:hAnsi="Arial"/>
          <w:sz w:val="22"/>
          <w:szCs w:val="22"/>
        </w:rPr>
        <w:t xml:space="preserve">The pipeline is structured in Python using a modular architecture where each research question has its own source file. All shared configuration (sub-period definitions, file paths, column names) lives in a single config file so that changes propagate automatically across all modules.</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1. Project Structure</w:t>
      </w:r>
    </w:p>
    <w:p>
      <w:pPr>
        <w:spacing w:before="80" w:after="80"/>
      </w:pPr>
      <w:r>
        <w:rPr>
          <w:rFonts w:ascii="Arial" w:cs="Arial" w:eastAsia="Arial" w:hAnsi="Arial"/>
          <w:sz w:val="22"/>
          <w:szCs w:val="22"/>
        </w:rPr>
        <w:t xml:space="preserve">The project is organized as follows:</w:t>
      </w:r>
    </w:p>
    <w:p>
      <w:pPr>
        <w:shd w:fill="F4F6F7" w:val="clear"/>
        <w:spacing w:before="60" w:after="60"/>
        <w:ind w:left="720"/>
      </w:pPr>
      <w:r>
        <w:rPr>
          <w:rFonts w:ascii="Courier New" w:cs="Courier New" w:eastAsia="Courier New" w:hAnsi="Courier New"/>
          <w:color w:val="1A252F"/>
          <w:sz w:val="18"/>
          <w:szCs w:val="18"/>
        </w:rPr>
        <w:t xml:space="preserve">fixed_income_case/</w:t>
      </w:r>
    </w:p>
    <w:p>
      <w:pPr>
        <w:shd w:fill="F4F6F7" w:val="clear"/>
        <w:spacing w:before="60" w:after="60"/>
        <w:ind w:left="720"/>
      </w:pPr>
      <w:r>
        <w:rPr>
          <w:rFonts w:ascii="Courier New" w:cs="Courier New" w:eastAsia="Courier New" w:hAnsi="Courier New"/>
          <w:color w:val="1A252F"/>
          <w:sz w:val="18"/>
          <w:szCs w:val="18"/>
        </w:rPr>
        <w:t xml:space="preserve">  data/</w:t>
      </w:r>
    </w:p>
    <w:p>
      <w:pPr>
        <w:shd w:fill="F4F6F7" w:val="clear"/>
        <w:spacing w:before="60" w:after="60"/>
        <w:ind w:left="720"/>
      </w:pPr>
      <w:r>
        <w:rPr>
          <w:rFonts w:ascii="Courier New" w:cs="Courier New" w:eastAsia="Courier New" w:hAnsi="Courier New"/>
          <w:color w:val="1A252F"/>
          <w:sz w:val="18"/>
          <w:szCs w:val="18"/>
        </w:rPr>
        <w:t xml:space="preserve">    raw/              ← untouched downloaded files (not in git)</w:t>
      </w:r>
    </w:p>
    <w:p>
      <w:pPr>
        <w:shd w:fill="F4F6F7" w:val="clear"/>
        <w:spacing w:before="60" w:after="60"/>
        <w:ind w:left="720"/>
      </w:pPr>
      <w:r>
        <w:rPr>
          <w:rFonts w:ascii="Courier New" w:cs="Courier New" w:eastAsia="Courier New" w:hAnsi="Courier New"/>
          <w:color w:val="1A252F"/>
          <w:sz w:val="18"/>
          <w:szCs w:val="18"/>
        </w:rPr>
        <w:t xml:space="preserve">    processed/        ← cleaned .parquet files (not in git)</w:t>
      </w:r>
    </w:p>
    <w:p>
      <w:pPr>
        <w:shd w:fill="F4F6F7" w:val="clear"/>
        <w:spacing w:before="60" w:after="60"/>
        <w:ind w:left="720"/>
      </w:pPr>
      <w:r>
        <w:rPr>
          <w:rFonts w:ascii="Courier New" w:cs="Courier New" w:eastAsia="Courier New" w:hAnsi="Courier New"/>
          <w:color w:val="1A252F"/>
          <w:sz w:val="18"/>
          <w:szCs w:val="18"/>
        </w:rPr>
        <w:t xml:space="preserve">  src/               ← importable Python modules</w:t>
      </w:r>
    </w:p>
    <w:p>
      <w:pPr>
        <w:shd w:fill="F4F6F7" w:val="clear"/>
        <w:spacing w:before="60" w:after="60"/>
        <w:ind w:left="720"/>
      </w:pPr>
      <w:r>
        <w:rPr>
          <w:rFonts w:ascii="Courier New" w:cs="Courier New" w:eastAsia="Courier New" w:hAnsi="Courier New"/>
          <w:color w:val="1A252F"/>
          <w:sz w:val="18"/>
          <w:szCs w:val="18"/>
        </w:rPr>
        <w:t xml:space="preserve">    __init__.py      ← makes src/ a Python package</w:t>
      </w:r>
    </w:p>
    <w:p>
      <w:pPr>
        <w:shd w:fill="F4F6F7" w:val="clear"/>
        <w:spacing w:before="60" w:after="60"/>
        <w:ind w:left="720"/>
      </w:pPr>
      <w:r>
        <w:rPr>
          <w:rFonts w:ascii="Courier New" w:cs="Courier New" w:eastAsia="Courier New" w:hAnsi="Courier New"/>
          <w:color w:val="1A252F"/>
          <w:sz w:val="18"/>
          <w:szCs w:val="18"/>
        </w:rPr>
        <w:t xml:space="preserve">    config.py        ← shared constants (sub-periods, paths, columns)</w:t>
      </w:r>
    </w:p>
    <w:p>
      <w:pPr>
        <w:shd w:fill="F4F6F7" w:val="clear"/>
        <w:spacing w:before="60" w:after="60"/>
        <w:ind w:left="720"/>
      </w:pPr>
      <w:r>
        <w:rPr>
          <w:rFonts w:ascii="Courier New" w:cs="Courier New" w:eastAsia="Courier New" w:hAnsi="Courier New"/>
          <w:color w:val="1A252F"/>
          <w:sz w:val="18"/>
          <w:szCs w:val="18"/>
        </w:rPr>
        <w:t xml:space="preserve">    data_loader.py   ← functions to load parquet files</w:t>
      </w:r>
    </w:p>
    <w:p>
      <w:pPr>
        <w:shd w:fill="F4F6F7" w:val="clear"/>
        <w:spacing w:before="60" w:after="60"/>
        <w:ind w:left="720"/>
      </w:pPr>
      <w:r>
        <w:rPr>
          <w:rFonts w:ascii="Courier New" w:cs="Courier New" w:eastAsia="Courier New" w:hAnsi="Courier New"/>
          <w:color w:val="1A252F"/>
          <w:sz w:val="18"/>
          <w:szCs w:val="18"/>
        </w:rPr>
        <w:t xml:space="preserve">    plotting.py      ← shared chart styling helpers</w:t>
      </w:r>
    </w:p>
    <w:p>
      <w:pPr>
        <w:shd w:fill="F4F6F7" w:val="clear"/>
        <w:spacing w:before="60" w:after="60"/>
        <w:ind w:left="720"/>
      </w:pPr>
      <w:r>
        <w:rPr>
          <w:rFonts w:ascii="Courier New" w:cs="Courier New" w:eastAsia="Courier New" w:hAnsi="Courier New"/>
          <w:color w:val="1A252F"/>
          <w:sz w:val="18"/>
          <w:szCs w:val="18"/>
        </w:rPr>
        <w:t xml:space="preserve">    Q1_yield_curve.py</w:t>
      </w:r>
    </w:p>
    <w:p>
      <w:pPr>
        <w:shd w:fill="F4F6F7" w:val="clear"/>
        <w:spacing w:before="60" w:after="60"/>
        <w:ind w:left="720"/>
      </w:pPr>
      <w:r>
        <w:rPr>
          <w:rFonts w:ascii="Courier New" w:cs="Courier New" w:eastAsia="Courier New" w:hAnsi="Courier New"/>
          <w:color w:val="1A252F"/>
          <w:sz w:val="18"/>
          <w:szCs w:val="18"/>
        </w:rPr>
        <w:t xml:space="preserve">    Q2_forward_rates.py</w:t>
      </w:r>
    </w:p>
    <w:p>
      <w:pPr>
        <w:shd w:fill="F4F6F7" w:val="clear"/>
        <w:spacing w:before="60" w:after="60"/>
        <w:ind w:left="720"/>
      </w:pPr>
      <w:r>
        <w:rPr>
          <w:rFonts w:ascii="Courier New" w:cs="Courier New" w:eastAsia="Courier New" w:hAnsi="Courier New"/>
          <w:color w:val="1A252F"/>
          <w:sz w:val="18"/>
          <w:szCs w:val="18"/>
        </w:rPr>
        <w:t xml:space="preserve">    Q3_duration_risk.py</w:t>
      </w:r>
    </w:p>
    <w:p>
      <w:pPr>
        <w:shd w:fill="F4F6F7" w:val="clear"/>
        <w:spacing w:before="60" w:after="60"/>
        <w:ind w:left="720"/>
      </w:pPr>
      <w:r>
        <w:rPr>
          <w:rFonts w:ascii="Courier New" w:cs="Courier New" w:eastAsia="Courier New" w:hAnsi="Courier New"/>
          <w:color w:val="1A252F"/>
          <w:sz w:val="18"/>
          <w:szCs w:val="18"/>
        </w:rPr>
        <w:t xml:space="preserve">    Q4_credit_markets.py</w:t>
      </w:r>
    </w:p>
    <w:p>
      <w:pPr>
        <w:shd w:fill="F4F6F7" w:val="clear"/>
        <w:spacing w:before="60" w:after="60"/>
        <w:ind w:left="720"/>
      </w:pPr>
      <w:r>
        <w:rPr>
          <w:rFonts w:ascii="Courier New" w:cs="Courier New" w:eastAsia="Courier New" w:hAnsi="Courier New"/>
          <w:color w:val="1A252F"/>
          <w:sz w:val="18"/>
          <w:szCs w:val="18"/>
        </w:rPr>
        <w:t xml:space="preserve">  data/data_import.py ← fetches all raw data and saves to processed/</w:t>
      </w:r>
    </w:p>
    <w:p>
      <w:pPr>
        <w:shd w:fill="F4F6F7" w:val="clear"/>
        <w:spacing w:before="60" w:after="60"/>
        <w:ind w:left="720"/>
      </w:pPr>
      <w:r>
        <w:rPr>
          <w:rFonts w:ascii="Courier New" w:cs="Courier New" w:eastAsia="Courier New" w:hAnsi="Courier New"/>
          <w:color w:val="1A252F"/>
          <w:sz w:val="18"/>
          <w:szCs w:val="18"/>
        </w:rPr>
        <w:t xml:space="preserve">  main.py            ← runs all Q modules and saves outputs</w:t>
      </w:r>
    </w:p>
    <w:p>
      <w:pPr>
        <w:shd w:fill="F4F6F7" w:val="clear"/>
        <w:spacing w:before="60" w:after="60"/>
        <w:ind w:left="720"/>
      </w:pPr>
      <w:r>
        <w:rPr>
          <w:rFonts w:ascii="Courier New" w:cs="Courier New" w:eastAsia="Courier New" w:hAnsi="Courier New"/>
          <w:color w:val="1A252F"/>
          <w:sz w:val="18"/>
          <w:szCs w:val="18"/>
        </w:rPr>
        <w:t xml:space="preserve">  outputs/           ← saved charts (.png)</w:t>
      </w:r>
    </w:p>
    <w:p>
      <w:pPr>
        <w:shd w:fill="F4F6F7" w:val="clear"/>
        <w:spacing w:before="60" w:after="60"/>
        <w:ind w:left="720"/>
      </w:pPr>
      <w:r>
        <w:rPr>
          <w:rFonts w:ascii="Courier New" w:cs="Courier New" w:eastAsia="Courier New" w:hAnsi="Courier New"/>
          <w:color w:val="1A252F"/>
          <w:sz w:val="18"/>
          <w:szCs w:val="18"/>
        </w:rPr>
        <w:t xml:space="preserve">  requirements.txt</w:t>
      </w:r>
    </w:p>
    <w:p>
      <w:pPr>
        <w:shd w:fill="F4F6F7" w:val="clear"/>
        <w:spacing w:before="60" w:after="60"/>
        <w:ind w:left="720"/>
      </w:pPr>
      <w:r>
        <w:rPr>
          <w:rFonts w:ascii="Courier New" w:cs="Courier New" w:eastAsia="Courier New" w:hAnsi="Courier New"/>
          <w:color w:val="1A252F"/>
          <w:sz w:val="18"/>
          <w:szCs w:val="18"/>
        </w:rPr>
        <w:t xml:space="preserve">  README.md</w:t>
      </w:r>
    </w:p>
    <w:p>
      <w:pPr>
        <w:shd w:fill="F4F6F7" w:val="clear"/>
        <w:spacing w:before="60" w:after="60"/>
        <w:ind w:left="720"/>
      </w:pPr>
      <w:r>
        <w:rPr>
          <w:rFonts w:ascii="Courier New" w:cs="Courier New" w:eastAsia="Courier New" w:hAnsi="Courier New"/>
          <w:color w:val="1A252F"/>
          <w:sz w:val="18"/>
          <w:szCs w:val="18"/>
        </w:rPr>
        <w:t xml:space="preserve">  .gitignore</w:t>
      </w:r>
    </w:p>
    <w:p>
      <w:pPr>
        <w:spacing w:before="80" w:after="80"/>
      </w:pPr>
      <w:r>
        <w:rPr>
          <w:rFonts w:ascii="Arial" w:cs="Arial" w:eastAsia="Arial" w:hAnsi="Arial"/>
          <w:sz w:val="22"/>
          <w:szCs w:val="22"/>
        </w:rPr>
        <w:t xml:space="preserve"/>
      </w:r>
    </w:p>
    <w:p>
      <w:pPr>
        <w:pBdr>
          <w:left w:val="single" w:color="2980B9" w:sz="12" w:space="10"/>
        </w:pBdr>
        <w:shd w:fill="EBF5FB" w:val="clear"/>
        <w:spacing w:before="100" w:after="100"/>
        <w:ind w:left="400"/>
      </w:pPr>
      <w:r>
        <w:rPr>
          <w:rFonts w:ascii="Arial" w:cs="Arial" w:eastAsia="Arial" w:hAnsi="Arial"/>
          <w:i/>
          <w:iCs/>
          <w:color w:val="1A5276"/>
          <w:sz w:val="20"/>
          <w:szCs w:val="20"/>
        </w:rPr>
        <w:t xml:space="preserve">ℹ️  Data files are intentionally excluded from git (.gitignore). All data is fetched programmatically by running data_import.py. This keeps the repository small and ensures reproducibility from source.</w:t>
      </w:r>
    </w:p>
    <w:p>
      <w:pPr>
        <w:pStyle w:val="Heading2"/>
        <w:spacing w:before="300" w:after="150"/>
      </w:pPr>
      <w:r>
        <w:rPr>
          <w:rFonts w:ascii="Arial" w:cs="Arial" w:eastAsia="Arial" w:hAnsi="Arial"/>
          <w:b/>
          <w:bCs/>
          <w:color w:val="2980B9"/>
          <w:sz w:val="26"/>
          <w:szCs w:val="26"/>
        </w:rPr>
        <w:t xml:space="preserve">1.1 Key Design Decisions</w:t>
      </w:r>
    </w:p>
    <w:p>
      <w:pPr>
        <w:pStyle w:val="ListParagraph"/>
        <w:numPr>
          <w:ilvl w:val="0"/>
          <w:numId w:val="2"/>
        </w:numPr>
        <w:spacing w:before="60" w:after="60"/>
      </w:pPr>
      <w:r>
        <w:rPr>
          <w:rFonts w:ascii="Arial" w:cs="Arial" w:eastAsia="Arial" w:hAnsi="Arial"/>
          <w:b/>
          <w:bCs/>
          <w:sz w:val="22"/>
          <w:szCs w:val="22"/>
        </w:rPr>
        <w:t xml:space="preserve">Modular files per question: </w:t>
      </w:r>
      <w:r>
        <w:rPr>
          <w:rFonts w:ascii="Arial" w:cs="Arial" w:eastAsia="Arial" w:hAnsi="Arial"/>
          <w:sz w:val="22"/>
          <w:szCs w:val="22"/>
        </w:rPr>
        <w:t xml:space="preserve">Each team member can work on their own Q file without touching others.</w:t>
      </w:r>
    </w:p>
    <w:p>
      <w:pPr>
        <w:pStyle w:val="ListParagraph"/>
        <w:numPr>
          <w:ilvl w:val="0"/>
          <w:numId w:val="2"/>
        </w:numPr>
        <w:spacing w:before="60" w:after="60"/>
      </w:pPr>
      <w:r>
        <w:rPr>
          <w:rFonts w:ascii="Arial" w:cs="Arial" w:eastAsia="Arial" w:hAnsi="Arial"/>
          <w:b/>
          <w:bCs/>
          <w:sz w:val="22"/>
          <w:szCs w:val="22"/>
        </w:rPr>
        <w:t xml:space="preserve">Parquet format: </w:t>
      </w:r>
      <w:r>
        <w:rPr>
          <w:rFonts w:ascii="Arial" w:cs="Arial" w:eastAsia="Arial" w:hAnsi="Arial"/>
          <w:sz w:val="22"/>
          <w:szCs w:val="22"/>
        </w:rPr>
        <w:t xml:space="preserve">Faster than CSV, preserves datetime index and data types. Requires pyarrow.</w:t>
      </w:r>
    </w:p>
    <w:p>
      <w:pPr>
        <w:pStyle w:val="ListParagraph"/>
        <w:numPr>
          <w:ilvl w:val="0"/>
          <w:numId w:val="2"/>
        </w:numPr>
        <w:spacing w:before="60" w:after="60"/>
      </w:pPr>
      <w:r>
        <w:rPr>
          <w:rFonts w:ascii="Arial" w:cs="Arial" w:eastAsia="Arial" w:hAnsi="Arial"/>
          <w:b/>
          <w:bCs/>
          <w:sz w:val="22"/>
          <w:szCs w:val="22"/>
        </w:rPr>
        <w:t xml:space="preserve">Log returns: </w:t>
      </w:r>
      <w:r>
        <w:rPr>
          <w:rFonts w:ascii="Arial" w:cs="Arial" w:eastAsia="Arial" w:hAnsi="Arial"/>
          <w:sz w:val="22"/>
          <w:szCs w:val="22"/>
        </w:rPr>
        <w:t xml:space="preserve">All return calculations use log returns (ln(P_t / P_{t-1})) which are additive over time and symmetric.</w:t>
      </w:r>
    </w:p>
    <w:p>
      <w:pPr>
        <w:pStyle w:val="ListParagraph"/>
        <w:numPr>
          <w:ilvl w:val="0"/>
          <w:numId w:val="2"/>
        </w:numPr>
        <w:spacing w:before="60" w:after="60"/>
      </w:pPr>
      <w:r>
        <w:rPr>
          <w:rFonts w:ascii="Arial" w:cs="Arial" w:eastAsia="Arial" w:hAnsi="Arial"/>
          <w:b/>
          <w:bCs/>
          <w:sz w:val="22"/>
          <w:szCs w:val="22"/>
        </w:rPr>
        <w:t xml:space="preserve">config.py as single source of truth: </w:t>
      </w:r>
      <w:r>
        <w:rPr>
          <w:rFonts w:ascii="Arial" w:cs="Arial" w:eastAsia="Arial" w:hAnsi="Arial"/>
          <w:sz w:val="22"/>
          <w:szCs w:val="22"/>
        </w:rPr>
        <w:t xml:space="preserve">Sub-period dates, column names, and paths are defined once and imported everywhere.</w:t>
      </w:r>
    </w:p>
    <w:p>
      <w:pPr>
        <w:pStyle w:val="ListParagraph"/>
        <w:numPr>
          <w:ilvl w:val="0"/>
          <w:numId w:val="2"/>
        </w:numPr>
        <w:spacing w:before="60" w:after="60"/>
      </w:pPr>
      <w:r>
        <w:rPr>
          <w:rFonts w:ascii="Arial" w:cs="Arial" w:eastAsia="Arial" w:hAnsi="Arial"/>
          <w:b/>
          <w:bCs/>
          <w:sz w:val="22"/>
          <w:szCs w:val="22"/>
        </w:rPr>
        <w:t xml:space="preserve">Failsafe main.py: </w:t>
      </w:r>
      <w:r>
        <w:rPr>
          <w:rFonts w:ascii="Arial" w:cs="Arial" w:eastAsia="Arial" w:hAnsi="Arial"/>
          <w:sz w:val="22"/>
          <w:szCs w:val="22"/>
        </w:rPr>
        <w:t xml:space="preserve">If a Q module is not yet implemented, main.py skips it gracefully without crashing.</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2. config.py — Shared Constants</w:t>
      </w:r>
    </w:p>
    <w:p>
      <w:pPr>
        <w:spacing w:before="80" w:after="80"/>
      </w:pPr>
      <w:r>
        <w:rPr>
          <w:rFonts w:ascii="Arial" w:cs="Arial" w:eastAsia="Arial" w:hAnsi="Arial"/>
          <w:sz w:val="22"/>
          <w:szCs w:val="22"/>
        </w:rPr>
        <w:t xml:space="preserve">Every module imports from config.py. This file defines all constants that are shared across the project. If a sub-period date needs to change, it is changed here and the fix propagates automatically to all Q files.</w:t>
      </w:r>
    </w:p>
    <w:p>
      <w:pPr>
        <w:pStyle w:val="Heading2"/>
        <w:spacing w:before="300" w:after="150"/>
      </w:pPr>
      <w:r>
        <w:rPr>
          <w:rFonts w:ascii="Arial" w:cs="Arial" w:eastAsia="Arial" w:hAnsi="Arial"/>
          <w:b/>
          <w:bCs/>
          <w:color w:val="2980B9"/>
          <w:sz w:val="26"/>
          <w:szCs w:val="26"/>
        </w:rPr>
        <w:t xml:space="preserve">2.1 Sub-period Definitions</w:t>
      </w:r>
    </w:p>
    <w:p>
      <w:pPr>
        <w:spacing w:before="80" w:after="80"/>
      </w:pPr>
      <w:r>
        <w:rPr>
          <w:rFonts w:ascii="Arial" w:cs="Arial" w:eastAsia="Arial" w:hAnsi="Arial"/>
          <w:sz w:val="22"/>
          <w:szCs w:val="22"/>
        </w:rPr>
        <w:t xml:space="preserve">The full 2004-2025 sample is divided into five economically meaningful sub-periods: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Sub-period label</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 range — Key rationale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Pre-GFC (2004–2007)</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2004-09 → 2007-07 — Stable expansion, ECB gradually raising rates, upward-sloping curve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Pre-Lehman (2007–2008)</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2007-08 → 2008-08 — Crisis beginning but ECB still fighting inflation, rates near peak</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Post-Lehman (2008–2009)</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2008-09 → 2009-12 — Lehman collapse Sep 2008, ECB aggressive cuts, curve steepens sharply</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Sovereign Crisis (2010–12)</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2010-01 → 2012-12 — Peripheral sovereign spreads blow out, ECB rate hike mistake then reversal</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QE Era (2013–2021)</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2013-01 → 2021-12 — Negative rates, QE programmes, historically flat/inverted short end</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Hiking Cycle (2022–2025)</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2022-01 → 2025-12 — Fastest ECB hiking cycle in history, curve inverts 2022-2023</w:t>
            </w:r>
          </w:p>
        </w:tc>
      </w:tr>
    </w:tbl>
    <w:p>
      <w:pPr>
        <w:spacing w:before="80" w:after="80"/>
      </w:pPr>
      <w:r>
        <w:rPr>
          <w:rFonts w:ascii="Arial" w:cs="Arial" w:eastAsia="Arial" w:hAnsi="Arial"/>
          <w:sz w:val="22"/>
          <w:szCs w:val="22"/>
        </w:rPr>
        <w:t xml:space="preserve"/>
      </w:r>
    </w:p>
    <w:p>
      <w:pPr>
        <w:pBdr>
          <w:left w:val="single" w:color="2980B9" w:sz="12" w:space="10"/>
        </w:pBdr>
        <w:shd w:fill="EBF5FB" w:val="clear"/>
        <w:spacing w:before="100" w:after="100"/>
        <w:ind w:left="400"/>
      </w:pPr>
      <w:r>
        <w:rPr>
          <w:rFonts w:ascii="Arial" w:cs="Arial" w:eastAsia="Arial" w:hAnsi="Arial"/>
          <w:i/>
          <w:iCs/>
          <w:color w:val="1A5276"/>
          <w:sz w:val="20"/>
          <w:szCs w:val="20"/>
        </w:rPr>
        <w:t xml:space="preserve">ℹ️  ECB AAA spot rate data is only available from September 2004 onwards. This is a known ECB database limitation. The 2000-2004 period is therefore excluded from yield curve analysis and noted as a limitation in the report.</w:t>
      </w:r>
    </w:p>
    <w:p>
      <w:pPr>
        <w:pStyle w:val="Heading2"/>
        <w:spacing w:before="300" w:after="150"/>
      </w:pPr>
      <w:r>
        <w:rPr>
          <w:rFonts w:ascii="Arial" w:cs="Arial" w:eastAsia="Arial" w:hAnsi="Arial"/>
          <w:b/>
          <w:bCs/>
          <w:color w:val="2980B9"/>
          <w:sz w:val="26"/>
          <w:szCs w:val="26"/>
        </w:rPr>
        <w:t xml:space="preserve">2.2 Maturity Columns</w:t>
      </w:r>
    </w:p>
    <w:p>
      <w:pPr>
        <w:spacing w:before="80" w:after="80"/>
      </w:pPr>
      <w:r>
        <w:rPr>
          <w:rFonts w:ascii="Arial" w:cs="Arial" w:eastAsia="Arial" w:hAnsi="Arial"/>
          <w:sz w:val="22"/>
          <w:szCs w:val="22"/>
        </w:rPr>
        <w:t xml:space="preserve">Spot rate columns are named consistently throughout the pipeline:</w:t>
      </w:r>
    </w:p>
    <w:p>
      <w:pPr>
        <w:shd w:fill="F4F6F7" w:val="clear"/>
        <w:spacing w:before="60" w:after="60"/>
        <w:ind w:left="720"/>
      </w:pPr>
      <w:r>
        <w:rPr>
          <w:rFonts w:ascii="Courier New" w:cs="Courier New" w:eastAsia="Courier New" w:hAnsi="Courier New"/>
          <w:color w:val="1A252F"/>
          <w:sz w:val="18"/>
          <w:szCs w:val="18"/>
        </w:rPr>
        <w:t xml:space="preserve">MATURITY_COLS = ['spot_1y', 'spot_2y', 'spot_3y', 'spot_4y', 'spot_5y', 'spot_10y', 'spot_30y']</w:t>
      </w:r>
    </w:p>
    <w:p>
      <w:pPr>
        <w:shd w:fill="F4F6F7" w:val="clear"/>
        <w:spacing w:before="60" w:after="60"/>
        <w:ind w:left="720"/>
      </w:pPr>
      <w:r>
        <w:rPr>
          <w:rFonts w:ascii="Courier New" w:cs="Courier New" w:eastAsia="Courier New" w:hAnsi="Courier New"/>
          <w:color w:val="1A252F"/>
          <w:sz w:val="18"/>
          <w:szCs w:val="18"/>
        </w:rPr>
        <w:t xml:space="preserve">MATURITIES    = [1, 2, 3, 4, 5, 10, 30]   # corresponding years, used for x-axis in curve plots</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3. data_import.py — Data Acquisition</w:t>
      </w:r>
    </w:p>
    <w:p>
      <w:pPr>
        <w:spacing w:before="80" w:after="80"/>
      </w:pPr>
      <w:r>
        <w:rPr>
          <w:rFonts w:ascii="Arial" w:cs="Arial" w:eastAsia="Arial" w:hAnsi="Arial"/>
          <w:sz w:val="22"/>
          <w:szCs w:val="22"/>
        </w:rPr>
        <w:t xml:space="preserve">This script fetches all raw data from external sources and saves clean, analysis-ready parquet files to data/processed/. It should be run once before running main.py. Each import can be toggled on/off at the top of the file using boolean flags.</w:t>
      </w:r>
    </w:p>
    <w:p>
      <w:pPr>
        <w:shd w:fill="F4F6F7" w:val="clear"/>
        <w:spacing w:before="60" w:after="60"/>
        <w:ind w:left="720"/>
      </w:pPr>
      <w:r>
        <w:rPr>
          <w:rFonts w:ascii="Courier New" w:cs="Courier New" w:eastAsia="Courier New" w:hAnsi="Courier New"/>
          <w:color w:val="1A252F"/>
          <w:sz w:val="18"/>
          <w:szCs w:val="18"/>
        </w:rPr>
        <w:t xml:space="preserve">### SELECT WHAT TO IMPORT</w:t>
      </w:r>
    </w:p>
    <w:p>
      <w:pPr>
        <w:shd w:fill="F4F6F7" w:val="clear"/>
        <w:spacing w:before="60" w:after="60"/>
        <w:ind w:left="720"/>
      </w:pPr>
      <w:r>
        <w:rPr>
          <w:rFonts w:ascii="Courier New" w:cs="Courier New" w:eastAsia="Courier New" w:hAnsi="Courier New"/>
          <w:color w:val="1A252F"/>
          <w:sz w:val="18"/>
          <w:szCs w:val="18"/>
        </w:rPr>
        <w:t xml:space="preserve">import_ecb_spot = True   # Set False to skip if already downloaded</w:t>
      </w:r>
    </w:p>
    <w:p>
      <w:pPr>
        <w:shd w:fill="F4F6F7" w:val="clear"/>
        <w:spacing w:before="60" w:after="60"/>
        <w:ind w:left="720"/>
      </w:pPr>
      <w:r>
        <w:rPr>
          <w:rFonts w:ascii="Courier New" w:cs="Courier New" w:eastAsia="Courier New" w:hAnsi="Courier New"/>
          <w:color w:val="1A252F"/>
          <w:sz w:val="18"/>
          <w:szCs w:val="18"/>
        </w:rPr>
        <w:t xml:space="preserve">import_etf_data = True   # Set False to skip if already downloaded</w:t>
      </w:r>
    </w:p>
    <w:p>
      <w:pPr>
        <w:pStyle w:val="Heading2"/>
        <w:spacing w:before="300" w:after="150"/>
      </w:pPr>
      <w:r>
        <w:rPr>
          <w:rFonts w:ascii="Arial" w:cs="Arial" w:eastAsia="Arial" w:hAnsi="Arial"/>
          <w:b/>
          <w:bCs/>
          <w:color w:val="2980B9"/>
          <w:sz w:val="26"/>
          <w:szCs w:val="26"/>
        </w:rPr>
        <w:t xml:space="preserve">3.1 ECB AAA Spot Rates</w:t>
      </w:r>
    </w:p>
    <w:p>
      <w:pPr>
        <w:pStyle w:val="Heading3"/>
        <w:spacing w:before="200" w:after="100"/>
      </w:pPr>
      <w:r>
        <w:rPr>
          <w:rFonts w:ascii="Arial" w:cs="Arial" w:eastAsia="Arial" w:hAnsi="Arial"/>
          <w:b/>
          <w:bCs/>
          <w:color w:val="2C3E50"/>
          <w:sz w:val="22"/>
          <w:szCs w:val="22"/>
        </w:rPr>
        <w:t xml:space="preserve">Source</w:t>
      </w:r>
    </w:p>
    <w:p>
      <w:pPr>
        <w:spacing w:before="80" w:after="80"/>
      </w:pPr>
      <w:r>
        <w:rPr>
          <w:rFonts w:ascii="Arial" w:cs="Arial" w:eastAsia="Arial" w:hAnsi="Arial"/>
          <w:sz w:val="22"/>
          <w:szCs w:val="22"/>
        </w:rPr>
        <w:t xml:space="preserve">European Central Bank Data Portal API — new endpoint (migrated from sdw-wsrest):</w:t>
      </w:r>
    </w:p>
    <w:p>
      <w:pPr>
        <w:shd w:fill="F4F6F7" w:val="clear"/>
        <w:spacing w:before="60" w:after="60"/>
        <w:ind w:left="720"/>
      </w:pPr>
      <w:r>
        <w:rPr>
          <w:rFonts w:ascii="Courier New" w:cs="Courier New" w:eastAsia="Courier New" w:hAnsi="Courier New"/>
          <w:color w:val="1A252F"/>
          <w:sz w:val="18"/>
          <w:szCs w:val="18"/>
        </w:rPr>
        <w:t xml:space="preserve">https://data-api.ecb.europa.eu/service/data/</w:t>
      </w:r>
    </w:p>
    <w:p>
      <w:pPr>
        <w:pStyle w:val="Heading3"/>
        <w:spacing w:before="200" w:after="100"/>
      </w:pPr>
      <w:r>
        <w:rPr>
          <w:rFonts w:ascii="Arial" w:cs="Arial" w:eastAsia="Arial" w:hAnsi="Arial"/>
          <w:b/>
          <w:bCs/>
          <w:color w:val="2C3E50"/>
          <w:sz w:val="22"/>
          <w:szCs w:val="22"/>
        </w:rPr>
        <w:t xml:space="preserve">Series key structure</w:t>
      </w:r>
    </w:p>
    <w:p>
      <w:pPr>
        <w:spacing w:before="80" w:after="80"/>
      </w:pPr>
      <w:r>
        <w:rPr>
          <w:rFonts w:ascii="Arial" w:cs="Arial" w:eastAsia="Arial" w:hAnsi="Arial"/>
          <w:sz w:val="22"/>
          <w:szCs w:val="22"/>
        </w:rPr>
        <w:t xml:space="preserve">Each maturity is a separate API call. The series key encodes the data parameters:</w:t>
      </w:r>
    </w:p>
    <w:p>
      <w:pPr>
        <w:shd w:fill="F4F6F7" w:val="clear"/>
        <w:spacing w:before="60" w:after="60"/>
        <w:ind w:left="720"/>
      </w:pPr>
      <w:r>
        <w:rPr>
          <w:rFonts w:ascii="Courier New" w:cs="Courier New" w:eastAsia="Courier New" w:hAnsi="Courier New"/>
          <w:color w:val="1A252F"/>
          <w:sz w:val="18"/>
          <w:szCs w:val="18"/>
        </w:rPr>
        <w:t xml:space="preserve">YC / B.U2.EUR.4F.G_N_A.SV_C_YM.SR_{MATURITY}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component</w:t>
            </w:r>
          </w:p>
        </w:tc>
        <w:tc>
          <w:tcPr>
            <w:tcW w:type="dxa" w:w="65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YC</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Yield Curves dataset</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BIS reporting frequency</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U2</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Euro area</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EUR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Currency: Euro</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4F</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Bond type: government bonds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G_N_A</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AAA-rated issuers only (A = AAA; C = all ratings)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SV_C_YM</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Svensson model, continuous compounding, yield error minimisation</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SR_{MATURITY}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Spot rate at maturity e.g. SR_1Y, SR_5Y, SR_10Y</w:t>
            </w:r>
          </w:p>
        </w:tc>
      </w:tr>
    </w:tbl>
    <w:p>
      <w:pPr>
        <w:pStyle w:val="Heading3"/>
        <w:spacing w:before="200" w:after="100"/>
      </w:pPr>
      <w:r>
        <w:rPr>
          <w:rFonts w:ascii="Arial" w:cs="Arial" w:eastAsia="Arial" w:hAnsi="Arial"/>
          <w:b/>
          <w:bCs/>
          <w:color w:val="2C3E50"/>
          <w:sz w:val="22"/>
          <w:szCs w:val="22"/>
        </w:rPr>
        <w:t xml:space="preserve">Why AAA and not all ratings?</w:t>
      </w:r>
    </w:p>
    <w:p>
      <w:pPr>
        <w:spacing w:before="80" w:after="80"/>
      </w:pPr>
      <w:r>
        <w:rPr>
          <w:rFonts w:ascii="Arial" w:cs="Arial" w:eastAsia="Arial" w:hAnsi="Arial"/>
          <w:sz w:val="22"/>
          <w:szCs w:val="22"/>
        </w:rPr>
        <w:t xml:space="preserve">The AAA series includes only Germany, Netherlands, and Finland — the highest-rated euro area sovereigns. This gives a clean risk-free rate benchmark without sovereign credit risk contamination. The all-ratings series includes Italy and Spain, whose yields during the 2010-2012 sovereign crisis reflected country-specific default fears rather than interest rate dynamics. Since Q1 and Q2 analyse pure interest rate behaviour, AAA is the correct choice.</w:t>
      </w:r>
    </w:p>
    <w:p>
      <w:pPr>
        <w:pStyle w:val="Heading3"/>
        <w:spacing w:before="200" w:after="100"/>
      </w:pPr>
      <w:r>
        <w:rPr>
          <w:rFonts w:ascii="Arial" w:cs="Arial" w:eastAsia="Arial" w:hAnsi="Arial"/>
          <w:b/>
          <w:bCs/>
          <w:color w:val="2C3E50"/>
          <w:sz w:val="22"/>
          <w:szCs w:val="22"/>
        </w:rPr>
        <w:t xml:space="preserve">Maturities fetched</w:t>
      </w:r>
    </w:p>
    <w:p>
      <w:pPr>
        <w:shd w:fill="F4F6F7" w:val="clear"/>
        <w:spacing w:before="60" w:after="60"/>
        <w:ind w:left="720"/>
      </w:pPr>
      <w:r>
        <w:rPr>
          <w:rFonts w:ascii="Courier New" w:cs="Courier New" w:eastAsia="Courier New" w:hAnsi="Courier New"/>
          <w:color w:val="1A252F"/>
          <w:sz w:val="18"/>
          <w:szCs w:val="18"/>
        </w:rPr>
        <w:t xml:space="preserve">maturities = ['1Y', '2Y', '3Y', '4Y', '5Y', '10Y', '30Y']</w:t>
      </w:r>
    </w:p>
    <w:p>
      <w:pPr>
        <w:spacing w:before="80" w:after="80"/>
      </w:pPr>
      <w:r>
        <w:rPr>
          <w:rFonts w:ascii="Arial" w:cs="Arial" w:eastAsia="Arial" w:hAnsi="Arial"/>
          <w:sz w:val="22"/>
          <w:szCs w:val="22"/>
        </w:rPr>
        <w:t xml:space="preserve">Note: 4Y is not directly available in the ECB AAA series. If missing, it should be linearly interpolated between 3Y and 5Y. This is documented in the code.</w:t>
      </w:r>
    </w:p>
    <w:p>
      <w:pPr>
        <w:pStyle w:val="Heading3"/>
        <w:spacing w:before="200" w:after="100"/>
      </w:pPr>
      <w:r>
        <w:rPr>
          <w:rFonts w:ascii="Arial" w:cs="Arial" w:eastAsia="Arial" w:hAnsi="Arial"/>
          <w:b/>
          <w:bCs/>
          <w:color w:val="2C3E50"/>
          <w:sz w:val="22"/>
          <w:szCs w:val="22"/>
        </w:rPr>
        <w:t xml:space="preserve">Processing steps</w:t>
      </w:r>
    </w:p>
    <w:p>
      <w:pPr>
        <w:pStyle w:val="ListParagraph"/>
        <w:numPr>
          <w:ilvl w:val="0"/>
          <w:numId w:val="2"/>
        </w:numPr>
        <w:spacing w:before="60" w:after="60"/>
      </w:pPr>
      <w:r>
        <w:rPr>
          <w:rFonts w:ascii="Arial" w:cs="Arial" w:eastAsia="Arial" w:hAnsi="Arial"/>
          <w:sz w:val="22"/>
          <w:szCs w:val="22"/>
        </w:rPr>
        <w:t xml:space="preserve">Each maturity fetched as a separate API call returning a CSV with TIME_PERIOD and OBS_VALUE columns</w:t>
      </w:r>
    </w:p>
    <w:p>
      <w:pPr>
        <w:pStyle w:val="ListParagraph"/>
        <w:numPr>
          <w:ilvl w:val="0"/>
          <w:numId w:val="2"/>
        </w:numPr>
        <w:spacing w:before="60" w:after="60"/>
      </w:pPr>
      <w:r>
        <w:rPr>
          <w:rFonts w:ascii="Arial" w:cs="Arial" w:eastAsia="Arial" w:hAnsi="Arial"/>
          <w:sz w:val="22"/>
          <w:szCs w:val="22"/>
        </w:rPr>
        <w:t xml:space="preserve">All maturities concatenated column-wise into a single DataFrame</w:t>
      </w:r>
    </w:p>
    <w:p>
      <w:pPr>
        <w:pStyle w:val="ListParagraph"/>
        <w:numPr>
          <w:ilvl w:val="0"/>
          <w:numId w:val="2"/>
        </w:numPr>
        <w:spacing w:before="60" w:after="60"/>
      </w:pPr>
      <w:r>
        <w:rPr>
          <w:rFonts w:ascii="Arial" w:cs="Arial" w:eastAsia="Arial" w:hAnsi="Arial"/>
          <w:sz w:val="22"/>
          <w:szCs w:val="22"/>
        </w:rPr>
        <w:t xml:space="preserve">Resampled to month-end frequency using .resample('ME').last() — takes the last available observation in each month</w:t>
      </w:r>
    </w:p>
    <w:p>
      <w:pPr>
        <w:pStyle w:val="ListParagraph"/>
        <w:numPr>
          <w:ilvl w:val="0"/>
          <w:numId w:val="2"/>
        </w:numPr>
        <w:spacing w:before="60" w:after="60"/>
      </w:pPr>
      <w:r>
        <w:rPr>
          <w:rFonts w:ascii="Arial" w:cs="Arial" w:eastAsia="Arial" w:hAnsi="Arial"/>
          <w:sz w:val="22"/>
          <w:szCs w:val="22"/>
        </w:rPr>
        <w:t xml:space="preserve">Filtered to 2004-01 to 2025-12 (data starts Sep 2004)</w:t>
      </w:r>
    </w:p>
    <w:p>
      <w:pPr>
        <w:pStyle w:val="ListParagraph"/>
        <w:numPr>
          <w:ilvl w:val="0"/>
          <w:numId w:val="2"/>
        </w:numPr>
        <w:spacing w:before="60" w:after="60"/>
      </w:pPr>
      <w:r>
        <w:rPr>
          <w:rFonts w:ascii="Arial" w:cs="Arial" w:eastAsia="Arial" w:hAnsi="Arial"/>
          <w:sz w:val="22"/>
          <w:szCs w:val="22"/>
        </w:rPr>
        <w:t xml:space="preserve">Saved as: data/processed/ecb_spot_rates.parquet</w:t>
      </w:r>
    </w:p>
    <w:p>
      <w:pPr>
        <w:pStyle w:val="Heading3"/>
        <w:spacing w:before="200" w:after="100"/>
      </w:pPr>
      <w:r>
        <w:rPr>
          <w:rFonts w:ascii="Arial" w:cs="Arial" w:eastAsia="Arial" w:hAnsi="Arial"/>
          <w:b/>
          <w:bCs/>
          <w:color w:val="2C3E50"/>
          <w:sz w:val="22"/>
          <w:szCs w:val="22"/>
        </w:rPr>
        <w:t xml:space="preserve">Output schema</w:t>
      </w:r>
    </w:p>
    <w:p>
      <w:pPr>
        <w:shd w:fill="F4F6F7" w:val="clear"/>
        <w:spacing w:before="60" w:after="60"/>
        <w:ind w:left="720"/>
      </w:pPr>
      <w:r>
        <w:rPr>
          <w:rFonts w:ascii="Courier New" w:cs="Courier New" w:eastAsia="Courier New" w:hAnsi="Courier New"/>
          <w:color w:val="1A252F"/>
          <w:sz w:val="18"/>
          <w:szCs w:val="18"/>
        </w:rPr>
        <w:t xml:space="preserve">Index: datetime (month-end)</w:t>
      </w:r>
    </w:p>
    <w:p>
      <w:pPr>
        <w:shd w:fill="F4F6F7" w:val="clear"/>
        <w:spacing w:before="60" w:after="60"/>
        <w:ind w:left="720"/>
      </w:pPr>
      <w:r>
        <w:rPr>
          <w:rFonts w:ascii="Courier New" w:cs="Courier New" w:eastAsia="Courier New" w:hAnsi="Courier New"/>
          <w:color w:val="1A252F"/>
          <w:sz w:val="18"/>
          <w:szCs w:val="18"/>
        </w:rPr>
        <w:t xml:space="preserve">Columns: spot_1y, spot_2y, spot_3y, spot_4y, spot_5y, spot_10y, spot_30y</w:t>
      </w:r>
    </w:p>
    <w:p>
      <w:pPr>
        <w:shd w:fill="F4F6F7" w:val="clear"/>
        <w:spacing w:before="60" w:after="60"/>
        <w:ind w:left="720"/>
      </w:pPr>
      <w:r>
        <w:rPr>
          <w:rFonts w:ascii="Courier New" w:cs="Courier New" w:eastAsia="Courier New" w:hAnsi="Courier New"/>
          <w:color w:val="1A252F"/>
          <w:sz w:val="18"/>
          <w:szCs w:val="18"/>
        </w:rPr>
        <w:t xml:space="preserve">Units: percent (e.g. 3.5 means 3.5%)</w:t>
      </w:r>
    </w:p>
    <w:p>
      <w:pPr>
        <w:shd w:fill="F4F6F7" w:val="clear"/>
        <w:spacing w:before="60" w:after="60"/>
        <w:ind w:left="720"/>
      </w:pPr>
      <w:r>
        <w:rPr>
          <w:rFonts w:ascii="Courier New" w:cs="Courier New" w:eastAsia="Courier New" w:hAnsi="Courier New"/>
          <w:color w:val="1A252F"/>
          <w:sz w:val="18"/>
          <w:szCs w:val="18"/>
        </w:rPr>
        <w:t xml:space="preserve">Coverage: 2004-09 to 2025-12 (~256 rows)</w:t>
      </w:r>
    </w:p>
    <w:p>
      <w:pPr>
        <w:spacing w:before="80" w:after="80"/>
      </w:pPr>
      <w:r>
        <w:rPr>
          <w:rFonts w:ascii="Arial" w:cs="Arial" w:eastAsia="Arial" w:hAnsi="Arial"/>
          <w:sz w:val="22"/>
          <w:szCs w:val="22"/>
        </w:rPr>
        <w:t xml:space="preserve"/>
      </w:r>
    </w:p>
    <w:p>
      <w:pPr>
        <w:pStyle w:val="Heading2"/>
        <w:spacing w:before="300" w:after="150"/>
      </w:pPr>
      <w:r>
        <w:rPr>
          <w:rFonts w:ascii="Arial" w:cs="Arial" w:eastAsia="Arial" w:hAnsi="Arial"/>
          <w:b/>
          <w:bCs/>
          <w:color w:val="2980B9"/>
          <w:sz w:val="26"/>
          <w:szCs w:val="26"/>
        </w:rPr>
        <w:t xml:space="preserve">3.2 ETF Total Return Data</w:t>
      </w:r>
    </w:p>
    <w:p>
      <w:pPr>
        <w:pStyle w:val="Heading3"/>
        <w:spacing w:before="200" w:after="100"/>
      </w:pPr>
      <w:r>
        <w:rPr>
          <w:rFonts w:ascii="Arial" w:cs="Arial" w:eastAsia="Arial" w:hAnsi="Arial"/>
          <w:b/>
          <w:bCs/>
          <w:color w:val="2C3E50"/>
          <w:sz w:val="22"/>
          <w:szCs w:val="22"/>
        </w:rPr>
        <w:t xml:space="preserve">Source</w:t>
      </w:r>
    </w:p>
    <w:p>
      <w:pPr>
        <w:spacing w:before="80" w:after="80"/>
      </w:pPr>
      <w:r>
        <w:rPr>
          <w:rFonts w:ascii="Arial" w:cs="Arial" w:eastAsia="Arial" w:hAnsi="Arial"/>
          <w:sz w:val="22"/>
          <w:szCs w:val="22"/>
        </w:rPr>
        <w:t xml:space="preserve">Yahoo Finance via the yfinance Python library. These are iShares ETFs listed on Euronext Amsterdam (.AS suffix) denominated in EUR. They are used as proxies for bond and equity total return indices since professional indices (iBoxx, FTSE) require commercial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Ticker — Index tracked — Coverage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govt_short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IBGS.AS — iShares Euro Govt Bond 1-3Y — from 2003</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govt_mid</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IBGM.AS — iShares Euro Govt Bond 7-10Y — from 2003</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govt_long</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IBGL.AS — iShares Euro Govt Bond 15-30Y — from 2003</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corp_ig</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IEAC.AS — iShares Core EUR Corp Bond IG — from 2003</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equity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IMEU.AS — iShares MSCI Europe — from 2001</w:t>
            </w:r>
          </w:p>
        </w:tc>
      </w:tr>
    </w:tbl>
    <w:p>
      <w:pPr>
        <w:spacing w:before="80" w:after="80"/>
      </w:pPr>
      <w:r>
        <w:rPr>
          <w:rFonts w:ascii="Arial" w:cs="Arial" w:eastAsia="Arial" w:hAnsi="Arial"/>
          <w:sz w:val="22"/>
          <w:szCs w:val="22"/>
        </w:rPr>
        <w:t xml:space="preserve"/>
      </w:r>
    </w:p>
    <w:p>
      <w:pPr>
        <w:pBdr>
          <w:left w:val="single" w:color="2980B9" w:sz="12" w:space="10"/>
        </w:pBdr>
        <w:shd w:fill="EBF5FB" w:val="clear"/>
        <w:spacing w:before="100" w:after="100"/>
        <w:ind w:left="400"/>
      </w:pPr>
      <w:r>
        <w:rPr>
          <w:rFonts w:ascii="Arial" w:cs="Arial" w:eastAsia="Arial" w:hAnsi="Arial"/>
          <w:i/>
          <w:iCs/>
          <w:color w:val="1A5276"/>
          <w:sz w:val="20"/>
          <w:szCs w:val="20"/>
        </w:rPr>
        <w:t xml:space="preserve">ℹ️  These ETFs do not cover 2000-2003. The coverage gap is noted as a data limitation in the report. The most analytically important periods (GFC, sovereign crisis, QE era, hiking cycle) are fully covered.</w:t>
      </w:r>
    </w:p>
    <w:p>
      <w:pPr>
        <w:pStyle w:val="Heading3"/>
        <w:spacing w:before="200" w:after="100"/>
      </w:pPr>
      <w:r>
        <w:rPr>
          <w:rFonts w:ascii="Arial" w:cs="Arial" w:eastAsia="Arial" w:hAnsi="Arial"/>
          <w:b/>
          <w:bCs/>
          <w:color w:val="2C3E50"/>
          <w:sz w:val="22"/>
          <w:szCs w:val="22"/>
        </w:rPr>
        <w:t xml:space="preserve">Why ETFs and not direct index data?</w:t>
      </w:r>
    </w:p>
    <w:p>
      <w:pPr>
        <w:spacing w:before="80" w:after="80"/>
      </w:pPr>
      <w:r>
        <w:rPr>
          <w:rFonts w:ascii="Arial" w:cs="Arial" w:eastAsia="Arial" w:hAnsi="Arial"/>
          <w:sz w:val="22"/>
          <w:szCs w:val="22"/>
        </w:rPr>
        <w:t xml:space="preserve">Government and corporate bond total return indices (iBoxx EUR, FTSE EMU) require commercial LSEG/Bloomberg licenses. ETF NAV prices are publicly available and closely track the underlying indices since they hold the same bonds. The tracking error is typically below 10 basis points annually for large iShares funds, which is negligible for our purposes.</w:t>
      </w:r>
    </w:p>
    <w:p>
      <w:pPr>
        <w:pStyle w:val="Heading3"/>
        <w:spacing w:before="200" w:after="100"/>
      </w:pPr>
      <w:r>
        <w:rPr>
          <w:rFonts w:ascii="Arial" w:cs="Arial" w:eastAsia="Arial" w:hAnsi="Arial"/>
          <w:b/>
          <w:bCs/>
          <w:color w:val="2C3E50"/>
          <w:sz w:val="22"/>
          <w:szCs w:val="22"/>
        </w:rPr>
        <w:t xml:space="preserve">auto_adjust=True</w:t>
      </w:r>
    </w:p>
    <w:p>
      <w:pPr>
        <w:spacing w:before="80" w:after="80"/>
      </w:pPr>
      <w:r>
        <w:rPr>
          <w:rFonts w:ascii="Arial" w:cs="Arial" w:eastAsia="Arial" w:hAnsi="Arial"/>
          <w:sz w:val="22"/>
          <w:szCs w:val="22"/>
        </w:rPr>
        <w:t xml:space="preserve">The yfinance download uses auto_adjust=True which adjusts prices for corporate actions (distributions, splits). For bond ETFs this is critical — without adjustment, dividend distributions appear as sudden price drops that would generate spurious negative returns.</w:t>
      </w:r>
    </w:p>
    <w:p>
      <w:pPr>
        <w:pStyle w:val="Heading3"/>
        <w:spacing w:before="200" w:after="100"/>
      </w:pPr>
      <w:r>
        <w:rPr>
          <w:rFonts w:ascii="Arial" w:cs="Arial" w:eastAsia="Arial" w:hAnsi="Arial"/>
          <w:b/>
          <w:bCs/>
          <w:color w:val="2C3E50"/>
          <w:sz w:val="22"/>
          <w:szCs w:val="22"/>
        </w:rPr>
        <w:t xml:space="preserve">Log return calculation</w:t>
      </w:r>
    </w:p>
    <w:p>
      <w:pPr>
        <w:spacing w:before="80" w:after="80"/>
      </w:pPr>
      <w:r>
        <w:rPr>
          <w:rFonts w:ascii="Arial" w:cs="Arial" w:eastAsia="Arial" w:hAnsi="Arial"/>
          <w:sz w:val="22"/>
          <w:szCs w:val="22"/>
        </w:rPr>
        <w:t xml:space="preserve">Monthly log returns are computed from the adjusted close prices:</w:t>
      </w:r>
    </w:p>
    <w:p>
      <w:pPr>
        <w:shd w:fill="EBF5FB" w:val="clear"/>
        <w:spacing w:before="100" w:after="100"/>
        <w:jc w:val="center"/>
      </w:pPr>
      <w:r>
        <w:rPr>
          <w:rFonts w:ascii="Courier New" w:cs="Courier New" w:eastAsia="Courier New" w:hAnsi="Courier New"/>
          <w:b/>
          <w:bCs/>
          <w:color w:val="2C3E50"/>
          <w:sz w:val="20"/>
          <w:szCs w:val="20"/>
        </w:rPr>
        <w:t xml:space="preserve">r_t = ln(P_t / P_{t-1})</w:t>
      </w:r>
    </w:p>
    <w:p>
      <w:pPr>
        <w:spacing w:before="80" w:after="80"/>
      </w:pPr>
      <w:r>
        <w:rPr>
          <w:rFonts w:ascii="Arial" w:cs="Arial" w:eastAsia="Arial" w:hAnsi="Arial"/>
          <w:sz w:val="22"/>
          <w:szCs w:val="22"/>
        </w:rPr>
        <w:t xml:space="preserve">Log returns are used throughout the pipeline rather than simple returns because:</w:t>
      </w:r>
    </w:p>
    <w:p>
      <w:pPr>
        <w:pStyle w:val="ListParagraph"/>
        <w:numPr>
          <w:ilvl w:val="0"/>
          <w:numId w:val="2"/>
        </w:numPr>
        <w:spacing w:before="60" w:after="60"/>
      </w:pPr>
      <w:r>
        <w:rPr>
          <w:rFonts w:ascii="Arial" w:cs="Arial" w:eastAsia="Arial" w:hAnsi="Arial"/>
          <w:sz w:val="22"/>
          <w:szCs w:val="22"/>
        </w:rPr>
        <w:t xml:space="preserve">They are time-additive: annual log return = sum of 12 monthly log returns</w:t>
      </w:r>
    </w:p>
    <w:p>
      <w:pPr>
        <w:pStyle w:val="ListParagraph"/>
        <w:numPr>
          <w:ilvl w:val="0"/>
          <w:numId w:val="2"/>
        </w:numPr>
        <w:spacing w:before="60" w:after="60"/>
      </w:pPr>
      <w:r>
        <w:rPr>
          <w:rFonts w:ascii="Arial" w:cs="Arial" w:eastAsia="Arial" w:hAnsi="Arial"/>
          <w:sz w:val="22"/>
          <w:szCs w:val="22"/>
        </w:rPr>
        <w:t xml:space="preserve">They are symmetric: a 50% loss requires a 100% gain to recover in simple returns, but log returns are symmetric around zero</w:t>
      </w:r>
    </w:p>
    <w:p>
      <w:pPr>
        <w:pStyle w:val="ListParagraph"/>
        <w:numPr>
          <w:ilvl w:val="0"/>
          <w:numId w:val="2"/>
        </w:numPr>
        <w:spacing w:before="60" w:after="60"/>
      </w:pPr>
      <w:r>
        <w:rPr>
          <w:rFonts w:ascii="Arial" w:cs="Arial" w:eastAsia="Arial" w:hAnsi="Arial"/>
          <w:sz w:val="22"/>
          <w:szCs w:val="22"/>
        </w:rPr>
        <w:t xml:space="preserve">They are approximately normally distributed, which satisfies OLS regression assumptions</w:t>
      </w:r>
    </w:p>
    <w:p>
      <w:pPr>
        <w:pStyle w:val="Heading3"/>
        <w:spacing w:before="200" w:after="100"/>
      </w:pPr>
      <w:r>
        <w:rPr>
          <w:rFonts w:ascii="Arial" w:cs="Arial" w:eastAsia="Arial" w:hAnsi="Arial"/>
          <w:b/>
          <w:bCs/>
          <w:color w:val="2C3E50"/>
          <w:sz w:val="22"/>
          <w:szCs w:val="22"/>
        </w:rPr>
        <w:t xml:space="preserve">Output schemas</w:t>
      </w:r>
    </w:p>
    <w:p>
      <w:pPr>
        <w:shd w:fill="F4F6F7" w:val="clear"/>
        <w:spacing w:before="60" w:after="60"/>
        <w:ind w:left="720"/>
      </w:pPr>
      <w:r>
        <w:rPr>
          <w:rFonts w:ascii="Courier New" w:cs="Courier New" w:eastAsia="Courier New" w:hAnsi="Courier New"/>
          <w:color w:val="1A252F"/>
          <w:sz w:val="18"/>
          <w:szCs w:val="18"/>
        </w:rPr>
        <w:t xml:space="preserve">etf_prices.parquet:</w:t>
      </w:r>
    </w:p>
    <w:p>
      <w:pPr>
        <w:shd w:fill="F4F6F7" w:val="clear"/>
        <w:spacing w:before="60" w:after="60"/>
        <w:ind w:left="720"/>
      </w:pPr>
      <w:r>
        <w:rPr>
          <w:rFonts w:ascii="Courier New" w:cs="Courier New" w:eastAsia="Courier New" w:hAnsi="Courier New"/>
          <w:color w:val="1A252F"/>
          <w:sz w:val="18"/>
          <w:szCs w:val="18"/>
        </w:rPr>
        <w:t xml:space="preserve">  Index: datetime (month-end)</w:t>
      </w:r>
    </w:p>
    <w:p>
      <w:pPr>
        <w:shd w:fill="F4F6F7" w:val="clear"/>
        <w:spacing w:before="60" w:after="60"/>
        <w:ind w:left="720"/>
      </w:pPr>
      <w:r>
        <w:rPr>
          <w:rFonts w:ascii="Courier New" w:cs="Courier New" w:eastAsia="Courier New" w:hAnsi="Courier New"/>
          <w:color w:val="1A252F"/>
          <w:sz w:val="18"/>
          <w:szCs w:val="18"/>
        </w:rPr>
        <w:t xml:space="preserve">  Columns: govt_short, govt_mid, govt_long, corp_ig, equity</w:t>
      </w:r>
    </w:p>
    <w:p>
      <w:pPr>
        <w:shd w:fill="F4F6F7" w:val="clear"/>
        <w:spacing w:before="60" w:after="60"/>
        <w:ind w:left="720"/>
      </w:pPr>
      <w:r>
        <w:rPr>
          <w:rFonts w:ascii="Courier New" w:cs="Courier New" w:eastAsia="Courier New" w:hAnsi="Courier New"/>
          <w:color w:val="1A252F"/>
          <w:sz w:val="18"/>
          <w:szCs w:val="18"/>
        </w:rPr>
        <w:t xml:space="preserve">  Units: price level (indexed, e.g. 100.00)</w:t>
      </w:r>
    </w:p>
    <w:p>
      <w:pPr>
        <w:shd w:fill="F4F6F7" w:val="clear"/>
        <w:spacing w:before="60" w:after="60"/>
        <w:ind w:left="720"/>
      </w:pPr>
      <w:r>
        <w:rPr>
          <w:rFonts w:ascii="Courier New" w:cs="Courier New" w:eastAsia="Courier New" w:hAnsi="Courier New"/>
          <w:color w:val="1A252F"/>
          <w:sz w:val="18"/>
          <w:szCs w:val="18"/>
        </w:rPr>
        <w:t xml:space="preserve"/>
      </w:r>
    </w:p>
    <w:p>
      <w:pPr>
        <w:shd w:fill="F4F6F7" w:val="clear"/>
        <w:spacing w:before="60" w:after="60"/>
        <w:ind w:left="720"/>
      </w:pPr>
      <w:r>
        <w:rPr>
          <w:rFonts w:ascii="Courier New" w:cs="Courier New" w:eastAsia="Courier New" w:hAnsi="Courier New"/>
          <w:color w:val="1A252F"/>
          <w:sz w:val="18"/>
          <w:szCs w:val="18"/>
        </w:rPr>
        <w:t xml:space="preserve">etf_returns.parquet:</w:t>
      </w:r>
    </w:p>
    <w:p>
      <w:pPr>
        <w:shd w:fill="F4F6F7" w:val="clear"/>
        <w:spacing w:before="60" w:after="60"/>
        <w:ind w:left="720"/>
      </w:pPr>
      <w:r>
        <w:rPr>
          <w:rFonts w:ascii="Courier New" w:cs="Courier New" w:eastAsia="Courier New" w:hAnsi="Courier New"/>
          <w:color w:val="1A252F"/>
          <w:sz w:val="18"/>
          <w:szCs w:val="18"/>
        </w:rPr>
        <w:t xml:space="preserve">  Index: datetime (month-end)</w:t>
      </w:r>
    </w:p>
    <w:p>
      <w:pPr>
        <w:shd w:fill="F4F6F7" w:val="clear"/>
        <w:spacing w:before="60" w:after="60"/>
        <w:ind w:left="720"/>
      </w:pPr>
      <w:r>
        <w:rPr>
          <w:rFonts w:ascii="Courier New" w:cs="Courier New" w:eastAsia="Courier New" w:hAnsi="Courier New"/>
          <w:color w:val="1A252F"/>
          <w:sz w:val="18"/>
          <w:szCs w:val="18"/>
        </w:rPr>
        <w:t xml:space="preserve">  Columns: govt_short_logret, govt_mid_logret, govt_long_logret,</w:t>
      </w:r>
    </w:p>
    <w:p>
      <w:pPr>
        <w:shd w:fill="F4F6F7" w:val="clear"/>
        <w:spacing w:before="60" w:after="60"/>
        <w:ind w:left="720"/>
      </w:pPr>
      <w:r>
        <w:rPr>
          <w:rFonts w:ascii="Courier New" w:cs="Courier New" w:eastAsia="Courier New" w:hAnsi="Courier New"/>
          <w:color w:val="1A252F"/>
          <w:sz w:val="18"/>
          <w:szCs w:val="18"/>
        </w:rPr>
        <w:t xml:space="preserve">           corp_ig_logret, equity_logret</w:t>
      </w:r>
    </w:p>
    <w:p>
      <w:pPr>
        <w:shd w:fill="F4F6F7" w:val="clear"/>
        <w:spacing w:before="60" w:after="60"/>
        <w:ind w:left="720"/>
      </w:pPr>
      <w:r>
        <w:rPr>
          <w:rFonts w:ascii="Courier New" w:cs="Courier New" w:eastAsia="Courier New" w:hAnsi="Courier New"/>
          <w:color w:val="1A252F"/>
          <w:sz w:val="18"/>
          <w:szCs w:val="18"/>
        </w:rPr>
        <w:t xml:space="preserve">  Units: log return (e.g. 0.012 = approximately 1.2% monthly return)</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4. data_loader.py — Data Access Layer</w:t>
      </w:r>
    </w:p>
    <w:p>
      <w:pPr>
        <w:spacing w:before="80" w:after="80"/>
      </w:pPr>
      <w:r>
        <w:rPr>
          <w:rFonts w:ascii="Arial" w:cs="Arial" w:eastAsia="Arial" w:hAnsi="Arial"/>
          <w:sz w:val="22"/>
          <w:szCs w:val="22"/>
        </w:rPr>
        <w:t xml:space="preserve">This module contains one simple function per dataset. Analysis modules never call pd.read_parquet() directly — they always call these loader functions. This means that if a file is renamed or the schema changes, only data_loader.py needs to be updated.</w:t>
      </w:r>
    </w:p>
    <w:p>
      <w:pPr>
        <w:shd w:fill="F4F6F7" w:val="clear"/>
        <w:spacing w:before="60" w:after="60"/>
        <w:ind w:left="720"/>
      </w:pPr>
      <w:r>
        <w:rPr>
          <w:rFonts w:ascii="Courier New" w:cs="Courier New" w:eastAsia="Courier New" w:hAnsi="Courier New"/>
          <w:color w:val="1A252F"/>
          <w:sz w:val="18"/>
          <w:szCs w:val="18"/>
        </w:rPr>
        <w:t xml:space="preserve">def load_spot_rates() -&gt; pd.DataFrame</w:t>
      </w:r>
    </w:p>
    <w:p>
      <w:pPr>
        <w:shd w:fill="F4F6F7" w:val="clear"/>
        <w:spacing w:before="60" w:after="60"/>
        <w:ind w:left="720"/>
      </w:pPr>
      <w:r>
        <w:rPr>
          <w:rFonts w:ascii="Courier New" w:cs="Courier New" w:eastAsia="Courier New" w:hAnsi="Courier New"/>
          <w:color w:val="1A252F"/>
          <w:sz w:val="18"/>
          <w:szCs w:val="18"/>
        </w:rPr>
        <w:t xml:space="preserve">    # Returns: ecb_spot_rates.parquet</w:t>
      </w:r>
    </w:p>
    <w:p>
      <w:pPr>
        <w:shd w:fill="F4F6F7" w:val="clear"/>
        <w:spacing w:before="60" w:after="60"/>
        <w:ind w:left="720"/>
      </w:pPr>
      <w:r>
        <w:rPr>
          <w:rFonts w:ascii="Courier New" w:cs="Courier New" w:eastAsia="Courier New" w:hAnsi="Courier New"/>
          <w:color w:val="1A252F"/>
          <w:sz w:val="18"/>
          <w:szCs w:val="18"/>
        </w:rPr>
        <w:t xml:space="preserve">    # Columns: spot_1y, spot_2y, spot_3y, spot_4y, spot_5y, spot_10y, spot_30y</w:t>
      </w:r>
    </w:p>
    <w:p>
      <w:pPr>
        <w:shd w:fill="F4F6F7" w:val="clear"/>
        <w:spacing w:before="60" w:after="60"/>
        <w:ind w:left="720"/>
      </w:pPr>
      <w:r>
        <w:rPr>
          <w:rFonts w:ascii="Courier New" w:cs="Courier New" w:eastAsia="Courier New" w:hAnsi="Courier New"/>
          <w:color w:val="1A252F"/>
          <w:sz w:val="18"/>
          <w:szCs w:val="18"/>
        </w:rPr>
        <w:t xml:space="preserve"/>
      </w:r>
    </w:p>
    <w:p>
      <w:pPr>
        <w:shd w:fill="F4F6F7" w:val="clear"/>
        <w:spacing w:before="60" w:after="60"/>
        <w:ind w:left="720"/>
      </w:pPr>
      <w:r>
        <w:rPr>
          <w:rFonts w:ascii="Courier New" w:cs="Courier New" w:eastAsia="Courier New" w:hAnsi="Courier New"/>
          <w:color w:val="1A252F"/>
          <w:sz w:val="18"/>
          <w:szCs w:val="18"/>
        </w:rPr>
        <w:t xml:space="preserve">def load_etf_prices() -&gt; pd.DataFrame</w:t>
      </w:r>
    </w:p>
    <w:p>
      <w:pPr>
        <w:shd w:fill="F4F6F7" w:val="clear"/>
        <w:spacing w:before="60" w:after="60"/>
        <w:ind w:left="720"/>
      </w:pPr>
      <w:r>
        <w:rPr>
          <w:rFonts w:ascii="Courier New" w:cs="Courier New" w:eastAsia="Courier New" w:hAnsi="Courier New"/>
          <w:color w:val="1A252F"/>
          <w:sz w:val="18"/>
          <w:szCs w:val="18"/>
        </w:rPr>
        <w:t xml:space="preserve">    # Returns: etf_prices.parquet</w:t>
      </w:r>
    </w:p>
    <w:p>
      <w:pPr>
        <w:shd w:fill="F4F6F7" w:val="clear"/>
        <w:spacing w:before="60" w:after="60"/>
        <w:ind w:left="720"/>
      </w:pPr>
      <w:r>
        <w:rPr>
          <w:rFonts w:ascii="Courier New" w:cs="Courier New" w:eastAsia="Courier New" w:hAnsi="Courier New"/>
          <w:color w:val="1A252F"/>
          <w:sz w:val="18"/>
          <w:szCs w:val="18"/>
        </w:rPr>
        <w:t xml:space="preserve">    # Columns: govt_short, govt_mid, govt_long, corp_ig, equity</w:t>
      </w:r>
    </w:p>
    <w:p>
      <w:pPr>
        <w:shd w:fill="F4F6F7" w:val="clear"/>
        <w:spacing w:before="60" w:after="60"/>
        <w:ind w:left="720"/>
      </w:pPr>
      <w:r>
        <w:rPr>
          <w:rFonts w:ascii="Courier New" w:cs="Courier New" w:eastAsia="Courier New" w:hAnsi="Courier New"/>
          <w:color w:val="1A252F"/>
          <w:sz w:val="18"/>
          <w:szCs w:val="18"/>
        </w:rPr>
        <w:t xml:space="preserve"/>
      </w:r>
    </w:p>
    <w:p>
      <w:pPr>
        <w:shd w:fill="F4F6F7" w:val="clear"/>
        <w:spacing w:before="60" w:after="60"/>
        <w:ind w:left="720"/>
      </w:pPr>
      <w:r>
        <w:rPr>
          <w:rFonts w:ascii="Courier New" w:cs="Courier New" w:eastAsia="Courier New" w:hAnsi="Courier New"/>
          <w:color w:val="1A252F"/>
          <w:sz w:val="18"/>
          <w:szCs w:val="18"/>
        </w:rPr>
        <w:t xml:space="preserve">def load_etf_returns() -&gt; pd.DataFrame</w:t>
      </w:r>
    </w:p>
    <w:p>
      <w:pPr>
        <w:shd w:fill="F4F6F7" w:val="clear"/>
        <w:spacing w:before="60" w:after="60"/>
        <w:ind w:left="720"/>
      </w:pPr>
      <w:r>
        <w:rPr>
          <w:rFonts w:ascii="Courier New" w:cs="Courier New" w:eastAsia="Courier New" w:hAnsi="Courier New"/>
          <w:color w:val="1A252F"/>
          <w:sz w:val="18"/>
          <w:szCs w:val="18"/>
        </w:rPr>
        <w:t xml:space="preserve">    # Returns: etf_returns.parquet</w:t>
      </w:r>
    </w:p>
    <w:p>
      <w:pPr>
        <w:shd w:fill="F4F6F7" w:val="clear"/>
        <w:spacing w:before="60" w:after="60"/>
        <w:ind w:left="720"/>
      </w:pPr>
      <w:r>
        <w:rPr>
          <w:rFonts w:ascii="Courier New" w:cs="Courier New" w:eastAsia="Courier New" w:hAnsi="Courier New"/>
          <w:color w:val="1A252F"/>
          <w:sz w:val="18"/>
          <w:szCs w:val="18"/>
        </w:rPr>
        <w:t xml:space="preserve">    # Columns: *_logret versions of all ETF series</w:t>
      </w:r>
    </w:p>
    <w:p>
      <w:pPr>
        <w:shd w:fill="F4F6F7" w:val="clear"/>
        <w:spacing w:before="60" w:after="60"/>
        <w:ind w:left="720"/>
      </w:pPr>
      <w:r>
        <w:rPr>
          <w:rFonts w:ascii="Courier New" w:cs="Courier New" w:eastAsia="Courier New" w:hAnsi="Courier New"/>
          <w:color w:val="1A252F"/>
          <w:sz w:val="18"/>
          <w:szCs w:val="18"/>
        </w:rPr>
        <w:t xml:space="preserve"/>
      </w:r>
    </w:p>
    <w:p>
      <w:pPr>
        <w:shd w:fill="F4F6F7" w:val="clear"/>
        <w:spacing w:before="60" w:after="60"/>
        <w:ind w:left="720"/>
      </w:pPr>
      <w:r>
        <w:rPr>
          <w:rFonts w:ascii="Courier New" w:cs="Courier New" w:eastAsia="Courier New" w:hAnsi="Courier New"/>
          <w:color w:val="1A252F"/>
          <w:sz w:val="18"/>
          <w:szCs w:val="18"/>
        </w:rPr>
        <w:t xml:space="preserve">def load_forward_regression_data() -&gt; pd.DataFrame</w:t>
      </w:r>
    </w:p>
    <w:p>
      <w:pPr>
        <w:shd w:fill="F4F6F7" w:val="clear"/>
        <w:spacing w:before="60" w:after="60"/>
        <w:ind w:left="720"/>
      </w:pPr>
      <w:r>
        <w:rPr>
          <w:rFonts w:ascii="Courier New" w:cs="Courier New" w:eastAsia="Courier New" w:hAnsi="Courier New"/>
          <w:color w:val="1A252F"/>
          <w:sz w:val="18"/>
          <w:szCs w:val="18"/>
        </w:rPr>
        <w:t xml:space="preserve">    # Returns: forward_regression_data.parquet (built in Q2)</w:t>
      </w:r>
    </w:p>
    <w:p>
      <w:pPr>
        <w:shd w:fill="F4F6F7" w:val="clear"/>
        <w:spacing w:before="60" w:after="60"/>
        <w:ind w:left="720"/>
      </w:pPr>
      <w:r>
        <w:rPr>
          <w:rFonts w:ascii="Courier New" w:cs="Courier New" w:eastAsia="Courier New" w:hAnsi="Courier New"/>
          <w:color w:val="1A252F"/>
          <w:sz w:val="18"/>
          <w:szCs w:val="18"/>
        </w:rPr>
        <w:t xml:space="preserve">    # Columns: fwd_Xy1y, realized_1y_in_Xy (per horizon)</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5. Q1_yield_curve.py — Yield Curve Dynamics</w:t>
      </w:r>
    </w:p>
    <w:p>
      <w:pPr>
        <w:spacing w:before="80" w:after="80"/>
      </w:pPr>
      <w:r>
        <w:rPr>
          <w:rFonts w:ascii="Arial" w:cs="Arial" w:eastAsia="Arial" w:hAnsi="Arial"/>
          <w:sz w:val="22"/>
          <w:szCs w:val="22"/>
        </w:rPr>
        <w:t xml:space="preserve">Answers: How has the Euro area yield curve evolved since 2004?</w:t>
      </w:r>
    </w:p>
    <w:p>
      <w:pPr>
        <w:spacing w:before="80" w:after="80"/>
      </w:pPr>
      <w:r>
        <w:rPr>
          <w:rFonts w:ascii="Arial" w:cs="Arial" w:eastAsia="Arial" w:hAnsi="Arial"/>
          <w:sz w:val="22"/>
          <w:szCs w:val="22"/>
        </w:rPr>
        <w:t xml:space="preserve">Input: ecb_spot_rates.parquet</w:t>
      </w:r>
    </w:p>
    <w:p>
      <w:pPr>
        <w:spacing w:before="80" w:after="80"/>
      </w:pPr>
      <w:r>
        <w:rPr>
          <w:rFonts w:ascii="Arial" w:cs="Arial" w:eastAsia="Arial" w:hAnsi="Arial"/>
          <w:sz w:val="22"/>
          <w:szCs w:val="22"/>
        </w:rPr>
        <w:t xml:space="preserve">Outputs: Q1_rate_levels.png, Q1_curve_slope.png, Q1_avg_curves_by_subperiod.png, Q1_heatmap.png</w:t>
      </w:r>
    </w:p>
    <w:p>
      <w:pPr>
        <w:pStyle w:val="Heading2"/>
        <w:spacing w:before="300" w:after="150"/>
      </w:pPr>
      <w:r>
        <w:rPr>
          <w:rFonts w:ascii="Arial" w:cs="Arial" w:eastAsia="Arial" w:hAnsi="Arial"/>
          <w:b/>
          <w:bCs/>
          <w:color w:val="2980B9"/>
          <w:sz w:val="26"/>
          <w:szCs w:val="26"/>
        </w:rPr>
        <w:t xml:space="preserve">5.1 Exhibit 1 — Rate Levels Over Time</w:t>
      </w:r>
    </w:p>
    <w:p>
      <w:pPr>
        <w:spacing w:before="80" w:after="80"/>
      </w:pPr>
      <w:r>
        <w:rPr>
          <w:rFonts w:ascii="Arial" w:cs="Arial" w:eastAsia="Arial" w:hAnsi="Arial"/>
          <w:sz w:val="22"/>
          <w:szCs w:val="22"/>
        </w:rPr>
        <w:t xml:space="preserve">Plots the 2Y, 5Y, and 10Y spot rates as time series with sub-period shading. Shows the level dimension of yield curve evolution — the secular decline from ~4% in 2004 to negative rates by 2015-2020, and the sharp reversal in 2022.</w:t>
      </w:r>
    </w:p>
    <w:p>
      <w:pPr>
        <w:spacing w:before="80" w:after="80"/>
      </w:pPr>
      <w:r>
        <w:rPr>
          <w:rFonts w:ascii="Arial" w:cs="Arial" w:eastAsia="Arial" w:hAnsi="Arial"/>
          <w:sz w:val="22"/>
          <w:szCs w:val="22"/>
        </w:rPr>
        <w:t xml:space="preserve">No formulas applied — raw spot rate data from ECB is plotted directly.</w:t>
      </w:r>
    </w:p>
    <w:p>
      <w:pPr>
        <w:pStyle w:val="Heading2"/>
        <w:spacing w:before="300" w:after="150"/>
      </w:pPr>
      <w:r>
        <w:rPr>
          <w:rFonts w:ascii="Arial" w:cs="Arial" w:eastAsia="Arial" w:hAnsi="Arial"/>
          <w:b/>
          <w:bCs/>
          <w:color w:val="2980B9"/>
          <w:sz w:val="26"/>
          <w:szCs w:val="26"/>
        </w:rPr>
        <w:t xml:space="preserve">5.2 Exhibit 2 — Yield Curve Slope</w:t>
      </w:r>
    </w:p>
    <w:p>
      <w:pPr>
        <w:spacing w:before="80" w:after="80"/>
      </w:pPr>
      <w:r>
        <w:rPr>
          <w:rFonts w:ascii="Arial" w:cs="Arial" w:eastAsia="Arial" w:hAnsi="Arial"/>
          <w:sz w:val="22"/>
          <w:szCs w:val="22"/>
        </w:rPr>
        <w:t xml:space="preserve">The slope is computed as the 10Y minus 2Y spot rate spread, also known as the '2s10s' spread:</w:t>
      </w:r>
    </w:p>
    <w:p>
      <w:pPr>
        <w:shd w:fill="EBF5FB" w:val="clear"/>
        <w:spacing w:before="100" w:after="100"/>
        <w:jc w:val="center"/>
      </w:pPr>
      <w:r>
        <w:rPr>
          <w:rFonts w:ascii="Courier New" w:cs="Courier New" w:eastAsia="Courier New" w:hAnsi="Courier New"/>
          <w:b/>
          <w:bCs/>
          <w:color w:val="2C3E50"/>
          <w:sz w:val="20"/>
          <w:szCs w:val="20"/>
        </w:rPr>
        <w:t xml:space="preserve">slope_t = spot_10y_t - spot_2y_t</w:t>
      </w:r>
    </w:p>
    <w:p>
      <w:pPr>
        <w:spacing w:before="80" w:after="80"/>
      </w:pPr>
      <w:r>
        <w:rPr>
          <w:rFonts w:ascii="Arial" w:cs="Arial" w:eastAsia="Arial" w:hAnsi="Arial"/>
          <w:sz w:val="22"/>
          <w:szCs w:val="22"/>
        </w:rPr>
        <w:t xml:space="preserve">A positive slope = normal upward-sloping curve (longer maturities yield more). A negative slope = inverted curve (short rates higher than long rates), historically associated with impending recessions or aggressive monetary tightening.</w:t>
      </w:r>
    </w:p>
    <w:p>
      <w:pPr>
        <w:spacing w:before="80" w:after="80"/>
      </w:pPr>
      <w:r>
        <w:rPr>
          <w:rFonts w:ascii="Arial" w:cs="Arial" w:eastAsia="Arial" w:hAnsi="Arial"/>
          <w:sz w:val="22"/>
          <w:szCs w:val="22"/>
        </w:rPr>
        <w:t xml:space="preserve">The chart fills red below zero to highlight inversion episodes and blue above zero for normal periods.</w:t>
      </w:r>
    </w:p>
    <w:p>
      <w:pPr>
        <w:pStyle w:val="Heading2"/>
        <w:spacing w:before="300" w:after="150"/>
      </w:pPr>
      <w:r>
        <w:rPr>
          <w:rFonts w:ascii="Arial" w:cs="Arial" w:eastAsia="Arial" w:hAnsi="Arial"/>
          <w:b/>
          <w:bCs/>
          <w:color w:val="2980B9"/>
          <w:sz w:val="26"/>
          <w:szCs w:val="26"/>
        </w:rPr>
        <w:t xml:space="preserve">5.3 Exhibit 3 — Average Yield Curves by Sub-period</w:t>
      </w:r>
    </w:p>
    <w:p>
      <w:pPr>
        <w:spacing w:before="80" w:after="80"/>
      </w:pPr>
      <w:r>
        <w:rPr>
          <w:rFonts w:ascii="Arial" w:cs="Arial" w:eastAsia="Arial" w:hAnsi="Arial"/>
          <w:sz w:val="22"/>
          <w:szCs w:val="22"/>
        </w:rPr>
        <w:t xml:space="preserve">For each sub-period, the mean spot rate at each maturity is computed:</w:t>
      </w:r>
    </w:p>
    <w:p>
      <w:pPr>
        <w:shd w:fill="EBF5FB" w:val="clear"/>
        <w:spacing w:before="100" w:after="100"/>
        <w:jc w:val="center"/>
      </w:pPr>
      <w:r>
        <w:rPr>
          <w:rFonts w:ascii="Courier New" w:cs="Courier New" w:eastAsia="Courier New" w:hAnsi="Courier New"/>
          <w:b/>
          <w:bCs/>
          <w:color w:val="2C3E50"/>
          <w:sz w:val="20"/>
          <w:szCs w:val="20"/>
        </w:rPr>
        <w:t xml:space="preserve">mean_spot(T, period) = average of spot_T_t for all t in [start, end]</w:t>
      </w:r>
    </w:p>
    <w:p>
      <w:pPr>
        <w:spacing w:before="80" w:after="80"/>
      </w:pPr>
      <w:r>
        <w:rPr>
          <w:rFonts w:ascii="Arial" w:cs="Arial" w:eastAsia="Arial" w:hAnsi="Arial"/>
          <w:sz w:val="22"/>
          <w:szCs w:val="22"/>
        </w:rPr>
        <w:t xml:space="preserve">The resulting curves are plotted together on one chart with maturity on the x-axis. This allows visual comparison of the curve's average shape across different economic regimes. Key observations:</w:t>
      </w:r>
    </w:p>
    <w:p>
      <w:pPr>
        <w:pStyle w:val="ListParagraph"/>
        <w:numPr>
          <w:ilvl w:val="0"/>
          <w:numId w:val="2"/>
        </w:numPr>
        <w:spacing w:before="60" w:after="60"/>
      </w:pPr>
      <w:r>
        <w:rPr>
          <w:rFonts w:ascii="Arial" w:cs="Arial" w:eastAsia="Arial" w:hAnsi="Arial"/>
          <w:sz w:val="22"/>
          <w:szCs w:val="22"/>
        </w:rPr>
        <w:t xml:space="preserve">Pre-GFC: classic upward slope, short ~3%, long ~4.2%</w:t>
      </w:r>
    </w:p>
    <w:p>
      <w:pPr>
        <w:pStyle w:val="ListParagraph"/>
        <w:numPr>
          <w:ilvl w:val="0"/>
          <w:numId w:val="2"/>
        </w:numPr>
        <w:spacing w:before="60" w:after="60"/>
      </w:pPr>
      <w:r>
        <w:rPr>
          <w:rFonts w:ascii="Arial" w:cs="Arial" w:eastAsia="Arial" w:hAnsi="Arial"/>
          <w:sz w:val="22"/>
          <w:szCs w:val="22"/>
        </w:rPr>
        <w:t xml:space="preserve">Post-Lehman: steep curve as ECB cut short rates aggressively</w:t>
      </w:r>
    </w:p>
    <w:p>
      <w:pPr>
        <w:pStyle w:val="ListParagraph"/>
        <w:numPr>
          <w:ilvl w:val="0"/>
          <w:numId w:val="2"/>
        </w:numPr>
        <w:spacing w:before="60" w:after="60"/>
      </w:pPr>
      <w:r>
        <w:rPr>
          <w:rFonts w:ascii="Arial" w:cs="Arial" w:eastAsia="Arial" w:hAnsi="Arial"/>
          <w:sz w:val="22"/>
          <w:szCs w:val="22"/>
        </w:rPr>
        <w:t xml:space="preserve">QE Era: unprecedented negative short rates, nearly flat curve</w:t>
      </w:r>
    </w:p>
    <w:p>
      <w:pPr>
        <w:pStyle w:val="ListParagraph"/>
        <w:numPr>
          <w:ilvl w:val="0"/>
          <w:numId w:val="2"/>
        </w:numPr>
        <w:spacing w:before="60" w:after="60"/>
      </w:pPr>
      <w:r>
        <w:rPr>
          <w:rFonts w:ascii="Arial" w:cs="Arial" w:eastAsia="Arial" w:hAnsi="Arial"/>
          <w:sz w:val="22"/>
          <w:szCs w:val="22"/>
        </w:rPr>
        <w:t xml:space="preserve">Hiking Cycle: inverted or humped curve as short rates rose faster than long rates</w:t>
      </w:r>
    </w:p>
    <w:p>
      <w:pPr>
        <w:pStyle w:val="Heading2"/>
        <w:spacing w:before="300" w:after="150"/>
      </w:pPr>
      <w:r>
        <w:rPr>
          <w:rFonts w:ascii="Arial" w:cs="Arial" w:eastAsia="Arial" w:hAnsi="Arial"/>
          <w:b/>
          <w:bCs/>
          <w:color w:val="2980B9"/>
          <w:sz w:val="26"/>
          <w:szCs w:val="26"/>
        </w:rPr>
        <w:t xml:space="preserve">5.4 Exhibit 4 — Heatmap</w:t>
      </w:r>
    </w:p>
    <w:p>
      <w:pPr>
        <w:spacing w:before="80" w:after="80"/>
      </w:pPr>
      <w:r>
        <w:rPr>
          <w:rFonts w:ascii="Arial" w:cs="Arial" w:eastAsia="Arial" w:hAnsi="Arial"/>
          <w:sz w:val="22"/>
          <w:szCs w:val="22"/>
        </w:rPr>
        <w:t xml:space="preserve">A 2D heatmap where the x-axis is time, y-axis is maturity, and colour represents yield level. Red = high rates, green = low/negative rates. This is the most compact way to show both the level and the shape dimension simultaneously across the full sample.</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6. Q2_forward_rates.py — Forward Rate Regressions</w:t>
      </w:r>
    </w:p>
    <w:p>
      <w:pPr>
        <w:spacing w:before="80" w:after="80"/>
      </w:pPr>
      <w:r>
        <w:rPr>
          <w:rFonts w:ascii="Arial" w:cs="Arial" w:eastAsia="Arial" w:hAnsi="Arial"/>
          <w:sz w:val="22"/>
          <w:szCs w:val="22"/>
        </w:rPr>
        <w:t xml:space="preserve">Answers: How well have implied forward rates predicted future interest rates?</w:t>
      </w:r>
    </w:p>
    <w:p>
      <w:pPr>
        <w:spacing w:before="80" w:after="80"/>
      </w:pPr>
      <w:r>
        <w:rPr>
          <w:rFonts w:ascii="Arial" w:cs="Arial" w:eastAsia="Arial" w:hAnsi="Arial"/>
          <w:sz w:val="22"/>
          <w:szCs w:val="22"/>
        </w:rPr>
        <w:t xml:space="preserve">Input: ecb_spot_rates.parquet</w:t>
      </w:r>
    </w:p>
    <w:p>
      <w:pPr>
        <w:spacing w:before="80" w:after="80"/>
      </w:pPr>
      <w:r>
        <w:rPr>
          <w:rFonts w:ascii="Arial" w:cs="Arial" w:eastAsia="Arial" w:hAnsi="Arial"/>
          <w:sz w:val="22"/>
          <w:szCs w:val="22"/>
        </w:rPr>
        <w:t xml:space="preserve">Outputs: Q2_scatter.png, Q2_timeseries.png, Q2_regression_table.png</w:t>
      </w:r>
    </w:p>
    <w:p>
      <w:pPr>
        <w:pStyle w:val="Heading2"/>
        <w:spacing w:before="300" w:after="150"/>
      </w:pPr>
      <w:r>
        <w:rPr>
          <w:rFonts w:ascii="Arial" w:cs="Arial" w:eastAsia="Arial" w:hAnsi="Arial"/>
          <w:b/>
          <w:bCs/>
          <w:color w:val="2980B9"/>
          <w:sz w:val="26"/>
          <w:szCs w:val="26"/>
        </w:rPr>
        <w:t xml:space="preserve">6.1 Step 1 — Computing Implied Forward Rates</w:t>
      </w:r>
    </w:p>
    <w:p>
      <w:pPr>
        <w:spacing w:before="80" w:after="80"/>
      </w:pPr>
      <w:r>
        <w:rPr>
          <w:rFonts w:ascii="Arial" w:cs="Arial" w:eastAsia="Arial" w:hAnsi="Arial"/>
          <w:sz w:val="22"/>
          <w:szCs w:val="22"/>
        </w:rPr>
        <w:t xml:space="preserve">A discrete 1-year forward rate f(n, n+1) is the interest rate implied by the spot curve for a 1-year period starting n years from now. It is derived from the no-arbitrage condition: investing for n+1 years at the spot rate must equal investing for n years and then rolling into the 1-year forward rate.</w:t>
      </w:r>
    </w:p>
    <w:p>
      <w:pPr>
        <w:shd w:fill="EBF5FB" w:val="clear"/>
        <w:spacing w:before="100" w:after="100"/>
        <w:jc w:val="center"/>
      </w:pPr>
      <w:r>
        <w:rPr>
          <w:rFonts w:ascii="Courier New" w:cs="Courier New" w:eastAsia="Courier New" w:hAnsi="Courier New"/>
          <w:b/>
          <w:bCs/>
          <w:color w:val="2C3E50"/>
          <w:sz w:val="20"/>
          <w:szCs w:val="20"/>
        </w:rPr>
        <w:t xml:space="preserve">f(n, n+1) = [ (1 + s_{n+1})^{n+1} / (1 + s_n)^n ] - 1</w:t>
      </w:r>
    </w:p>
    <w:p>
      <w:pPr>
        <w:spacing w:before="80" w:after="80"/>
      </w:pPr>
      <w:r>
        <w:rPr>
          <w:rFonts w:ascii="Arial" w:cs="Arial" w:eastAsia="Arial" w:hAnsi="Arial"/>
          <w:sz w:val="22"/>
          <w:szCs w:val="22"/>
        </w:rPr>
        <w:t xml:space="preserve">Applied to four horizons:</w:t>
      </w:r>
    </w:p>
    <w:p>
      <w:pPr>
        <w:shd w:fill="F4F6F7" w:val="clear"/>
        <w:spacing w:before="60" w:after="60"/>
        <w:ind w:left="720"/>
      </w:pPr>
      <w:r>
        <w:rPr>
          <w:rFonts w:ascii="Courier New" w:cs="Courier New" w:eastAsia="Courier New" w:hAnsi="Courier New"/>
          <w:color w:val="1A252F"/>
          <w:sz w:val="18"/>
          <w:szCs w:val="18"/>
        </w:rPr>
        <w:t xml:space="preserve">fwd_1y1y = ((1 + spot_2y/100)^2 / (1 + spot_1y/100)^1) - 1</w:t>
      </w:r>
    </w:p>
    <w:p>
      <w:pPr>
        <w:shd w:fill="F4F6F7" w:val="clear"/>
        <w:spacing w:before="60" w:after="60"/>
        <w:ind w:left="720"/>
      </w:pPr>
      <w:r>
        <w:rPr>
          <w:rFonts w:ascii="Courier New" w:cs="Courier New" w:eastAsia="Courier New" w:hAnsi="Courier New"/>
          <w:color w:val="1A252F"/>
          <w:sz w:val="18"/>
          <w:szCs w:val="18"/>
        </w:rPr>
        <w:t xml:space="preserve">fwd_2y1y = ((1 + spot_3y/100)^3 / (1 + spot_2y/100)^2) - 1</w:t>
      </w:r>
    </w:p>
    <w:p>
      <w:pPr>
        <w:shd w:fill="F4F6F7" w:val="clear"/>
        <w:spacing w:before="60" w:after="60"/>
        <w:ind w:left="720"/>
      </w:pPr>
      <w:r>
        <w:rPr>
          <w:rFonts w:ascii="Courier New" w:cs="Courier New" w:eastAsia="Courier New" w:hAnsi="Courier New"/>
          <w:color w:val="1A252F"/>
          <w:sz w:val="18"/>
          <w:szCs w:val="18"/>
        </w:rPr>
        <w:t xml:space="preserve">fwd_3y1y = ((1 + spot_4y/100)^4 / (1 + spot_3y/100)^3) - 1</w:t>
      </w:r>
    </w:p>
    <w:p>
      <w:pPr>
        <w:shd w:fill="F4F6F7" w:val="clear"/>
        <w:spacing w:before="60" w:after="60"/>
        <w:ind w:left="720"/>
      </w:pPr>
      <w:r>
        <w:rPr>
          <w:rFonts w:ascii="Courier New" w:cs="Courier New" w:eastAsia="Courier New" w:hAnsi="Courier New"/>
          <w:color w:val="1A252F"/>
          <w:sz w:val="18"/>
          <w:szCs w:val="18"/>
        </w:rPr>
        <w:t xml:space="preserve">fwd_4y1y = ((1 + spot_5y/100)^5 / (1 + spot_4y/100)^4) - 1</w:t>
      </w:r>
    </w:p>
    <w:p>
      <w:pPr>
        <w:spacing w:before="80" w:after="80"/>
      </w:pPr>
      <w:r>
        <w:rPr>
          <w:rFonts w:ascii="Arial" w:cs="Arial" w:eastAsia="Arial" w:hAnsi="Arial"/>
          <w:sz w:val="22"/>
          <w:szCs w:val="22"/>
        </w:rPr>
        <w:t xml:space="preserve">Spot rates are divided by 100 before the formula (converting from percent to decimal) and the result is multiplied back by 100 for readability.</w:t>
      </w:r>
    </w:p>
    <w:p>
      <w:pPr>
        <w:pBdr>
          <w:left w:val="single" w:color="2980B9" w:sz="12" w:space="10"/>
        </w:pBdr>
        <w:shd w:fill="EBF5FB" w:val="clear"/>
        <w:spacing w:before="100" w:after="100"/>
        <w:ind w:left="400"/>
      </w:pPr>
      <w:r>
        <w:rPr>
          <w:rFonts w:ascii="Arial" w:cs="Arial" w:eastAsia="Arial" w:hAnsi="Arial"/>
          <w:i/>
          <w:iCs/>
          <w:color w:val="1A5276"/>
          <w:sz w:val="20"/>
          <w:szCs w:val="20"/>
        </w:rPr>
        <w:t xml:space="preserve">ℹ️  The forward rate is not a forecast — it is a mathematical implication of the spot curve. Whether it is a good forecast is exactly what the regression in Step 3 tests.</w:t>
      </w:r>
    </w:p>
    <w:p>
      <w:pPr>
        <w:pStyle w:val="Heading2"/>
        <w:spacing w:before="300" w:after="150"/>
      </w:pPr>
      <w:r>
        <w:rPr>
          <w:rFonts w:ascii="Arial" w:cs="Arial" w:eastAsia="Arial" w:hAnsi="Arial"/>
          <w:b/>
          <w:bCs/>
          <w:color w:val="2980B9"/>
          <w:sz w:val="26"/>
          <w:szCs w:val="26"/>
        </w:rPr>
        <w:t xml:space="preserve">6.2 Step 2 — Aligning with Realized Future Rates</w:t>
      </w:r>
    </w:p>
    <w:p>
      <w:pPr>
        <w:spacing w:before="80" w:after="80"/>
      </w:pPr>
      <w:r>
        <w:rPr>
          <w:rFonts w:ascii="Arial" w:cs="Arial" w:eastAsia="Arial" w:hAnsi="Arial"/>
          <w:sz w:val="22"/>
          <w:szCs w:val="22"/>
        </w:rPr>
        <w:t xml:space="preserve">To test predictive power, we need pairs of (forward rate at time t, realized spot rate at time t+h). This is done by shifting the realized spot_1y series backward by h months so that at each row index t, we have both the forward rate implied at t and the actual 1Y rate that materialized h months later.</w:t>
      </w:r>
    </w:p>
    <w:p>
      <w:pPr>
        <w:shd w:fill="F4F6F7" w:val="clear"/>
        <w:spacing w:before="60" w:after="60"/>
        <w:ind w:left="720"/>
      </w:pPr>
      <w:r>
        <w:rPr>
          <w:rFonts w:ascii="Courier New" w:cs="Courier New" w:eastAsia="Courier New" w:hAnsi="Courier New"/>
          <w:color w:val="1A252F"/>
          <w:sz w:val="18"/>
          <w:szCs w:val="18"/>
        </w:rPr>
        <w:t xml:space="preserve">realized_1y_in_1y = spot_1y.shift(-12)   # 12 months = 1 year</w:t>
      </w:r>
    </w:p>
    <w:p>
      <w:pPr>
        <w:shd w:fill="F4F6F7" w:val="clear"/>
        <w:spacing w:before="60" w:after="60"/>
        <w:ind w:left="720"/>
      </w:pPr>
      <w:r>
        <w:rPr>
          <w:rFonts w:ascii="Courier New" w:cs="Courier New" w:eastAsia="Courier New" w:hAnsi="Courier New"/>
          <w:color w:val="1A252F"/>
          <w:sz w:val="18"/>
          <w:szCs w:val="18"/>
        </w:rPr>
        <w:t xml:space="preserve">realized_1y_in_2y = spot_1y.shift(-24)   # 24 months = 2 years</w:t>
      </w:r>
    </w:p>
    <w:p>
      <w:pPr>
        <w:shd w:fill="F4F6F7" w:val="clear"/>
        <w:spacing w:before="60" w:after="60"/>
        <w:ind w:left="720"/>
      </w:pPr>
      <w:r>
        <w:rPr>
          <w:rFonts w:ascii="Courier New" w:cs="Courier New" w:eastAsia="Courier New" w:hAnsi="Courier New"/>
          <w:color w:val="1A252F"/>
          <w:sz w:val="18"/>
          <w:szCs w:val="18"/>
        </w:rPr>
        <w:t xml:space="preserve">realized_1y_in_3y = spot_1y.shift(-36)</w:t>
      </w:r>
    </w:p>
    <w:p>
      <w:pPr>
        <w:shd w:fill="F4F6F7" w:val="clear"/>
        <w:spacing w:before="60" w:after="60"/>
        <w:ind w:left="720"/>
      </w:pPr>
      <w:r>
        <w:rPr>
          <w:rFonts w:ascii="Courier New" w:cs="Courier New" w:eastAsia="Courier New" w:hAnsi="Courier New"/>
          <w:color w:val="1A252F"/>
          <w:sz w:val="18"/>
          <w:szCs w:val="18"/>
        </w:rPr>
        <w:t xml:space="preserve">realized_1y_in_4y = spot_1y.shift(-48)</w:t>
      </w:r>
    </w:p>
    <w:p>
      <w:pPr>
        <w:spacing w:before="80" w:after="80"/>
      </w:pPr>
      <w:r>
        <w:rPr>
          <w:rFonts w:ascii="Arial" w:cs="Arial" w:eastAsia="Arial" w:hAnsi="Arial"/>
          <w:sz w:val="22"/>
          <w:szCs w:val="22"/>
        </w:rPr>
        <w:t xml:space="preserve">After shifting, rows with NaN (at the end of the sample where future realized rates don't exist yet) are dropped before regression.</w:t>
      </w:r>
    </w:p>
    <w:p>
      <w:pPr>
        <w:pStyle w:val="Heading2"/>
        <w:spacing w:before="300" w:after="150"/>
      </w:pPr>
      <w:r>
        <w:rPr>
          <w:rFonts w:ascii="Arial" w:cs="Arial" w:eastAsia="Arial" w:hAnsi="Arial"/>
          <w:b/>
          <w:bCs/>
          <w:color w:val="2980B9"/>
          <w:sz w:val="26"/>
          <w:szCs w:val="26"/>
        </w:rPr>
        <w:t xml:space="preserve">6.3 Step 3 — Fama-Bliss OLS Regression</w:t>
      </w:r>
    </w:p>
    <w:p>
      <w:pPr>
        <w:spacing w:before="80" w:after="80"/>
      </w:pPr>
      <w:r>
        <w:rPr>
          <w:rFonts w:ascii="Arial" w:cs="Arial" w:eastAsia="Arial" w:hAnsi="Arial"/>
          <w:sz w:val="22"/>
          <w:szCs w:val="22"/>
        </w:rPr>
        <w:t xml:space="preserve">For each horizon h, an OLS regression is estimated:</w:t>
      </w:r>
    </w:p>
    <w:p>
      <w:pPr>
        <w:shd w:fill="EBF5FB" w:val="clear"/>
        <w:spacing w:before="100" w:after="100"/>
        <w:jc w:val="center"/>
      </w:pPr>
      <w:r>
        <w:rPr>
          <w:rFonts w:ascii="Courier New" w:cs="Courier New" w:eastAsia="Courier New" w:hAnsi="Courier New"/>
          <w:b/>
          <w:bCs/>
          <w:color w:val="2C3E50"/>
          <w:sz w:val="20"/>
          <w:szCs w:val="20"/>
        </w:rPr>
        <w:t xml:space="preserve">realized_rate_{t+h} = alpha + beta * forward_rate_t + epsilon_t</w:t>
      </w:r>
    </w:p>
    <w:p>
      <w:pPr>
        <w:spacing w:before="80" w:after="80"/>
      </w:pPr>
      <w:r>
        <w:rPr>
          <w:rFonts w:ascii="Arial" w:cs="Arial" w:eastAsia="Arial" w:hAnsi="Arial"/>
          <w:sz w:val="22"/>
          <w:szCs w:val="22"/>
        </w:rPr>
        <w:t xml:space="preserve">This is the classic Fama-Bliss (1987) test of the expectations hypothesis. The beta coefficient is the key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Beta value</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Economic interpretation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 1</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Expectations hypothesis holds: forward rates are unbiased predictors of future spot rates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0 &lt; beta &lt; 1</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Forward rates predict the direction but overestimate the magnitude of rate changes. A term premium exists.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 0</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Forward rates have no predictive power — they are uninformative about future rates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beta &lt; 0</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Forward rates predict the wrong direction — high forward rates are followed by low realized rates. Strong term premium.</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regression is estimated using statsmodels OLS with heteroskedasticity-robust standard errors (due to overlapping observations at longer horizons). Reported statistics: alpha, beta, p-value for beta, R-squared, number of observations.</w:t>
      </w:r>
    </w:p>
    <w:p>
      <w:pPr>
        <w:pStyle w:val="Heading2"/>
        <w:spacing w:before="300" w:after="150"/>
      </w:pPr>
      <w:r>
        <w:rPr>
          <w:rFonts w:ascii="Arial" w:cs="Arial" w:eastAsia="Arial" w:hAnsi="Arial"/>
          <w:b/>
          <w:bCs/>
          <w:color w:val="2980B9"/>
          <w:sz w:val="26"/>
          <w:szCs w:val="26"/>
        </w:rPr>
        <w:t xml:space="preserve">6.4 Output Exhibits</w:t>
      </w:r>
    </w:p>
    <w:p>
      <w:pPr>
        <w:pStyle w:val="ListParagraph"/>
        <w:numPr>
          <w:ilvl w:val="0"/>
          <w:numId w:val="2"/>
        </w:numPr>
        <w:spacing w:before="60" w:after="60"/>
      </w:pPr>
      <w:r>
        <w:rPr>
          <w:rFonts w:ascii="Arial" w:cs="Arial" w:eastAsia="Arial" w:hAnsi="Arial"/>
          <w:sz w:val="22"/>
          <w:szCs w:val="22"/>
        </w:rPr>
        <w:t xml:space="preserve">Scatter plots (4 panels): Forward rate on x-axis, realized rate on y-axis. Includes fitted regression line (red) and 45-degree perfect prediction line (black dashed). Distance between lines visualises the prediction bias.</w:t>
      </w:r>
    </w:p>
    <w:p>
      <w:pPr>
        <w:pStyle w:val="ListParagraph"/>
        <w:numPr>
          <w:ilvl w:val="0"/>
          <w:numId w:val="2"/>
        </w:numPr>
        <w:spacing w:before="60" w:after="60"/>
      </w:pPr>
      <w:r>
        <w:rPr>
          <w:rFonts w:ascii="Arial" w:cs="Arial" w:eastAsia="Arial" w:hAnsi="Arial"/>
          <w:sz w:val="22"/>
          <w:szCs w:val="22"/>
        </w:rPr>
        <w:t xml:space="preserve">Time series plots (4 panels): Forward rate and realized rate plotted over time for each horizon. Shows when forward rates were too high or too low relative to what actually materialized.</w:t>
      </w:r>
    </w:p>
    <w:p>
      <w:pPr>
        <w:pStyle w:val="ListParagraph"/>
        <w:numPr>
          <w:ilvl w:val="0"/>
          <w:numId w:val="2"/>
        </w:numPr>
        <w:spacing w:before="60" w:after="60"/>
      </w:pPr>
      <w:r>
        <w:rPr>
          <w:rFonts w:ascii="Arial" w:cs="Arial" w:eastAsia="Arial" w:hAnsi="Arial"/>
          <w:sz w:val="22"/>
          <w:szCs w:val="22"/>
        </w:rPr>
        <w:t xml:space="preserve">Regression table: Alpha, beta, p-value, R2, N per horizon. Beta cells colour-coded: green = near 1, orange = 0 to 0.8, red = negative.</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7. Q3_duration_risk.py — Duration Risk Premium</w:t>
      </w:r>
    </w:p>
    <w:p>
      <w:pPr>
        <w:spacing w:before="80" w:after="80"/>
      </w:pPr>
      <w:r>
        <w:rPr>
          <w:rFonts w:ascii="Arial" w:cs="Arial" w:eastAsia="Arial" w:hAnsi="Arial"/>
          <w:sz w:val="22"/>
          <w:szCs w:val="22"/>
        </w:rPr>
        <w:t xml:space="preserve">Answers: Have investors been compensated for taking duration risk in the Eurozone?</w:t>
      </w:r>
    </w:p>
    <w:p>
      <w:pPr>
        <w:spacing w:before="80" w:after="80"/>
      </w:pPr>
      <w:r>
        <w:rPr>
          <w:rFonts w:ascii="Arial" w:cs="Arial" w:eastAsia="Arial" w:hAnsi="Arial"/>
          <w:sz w:val="22"/>
          <w:szCs w:val="22"/>
        </w:rPr>
        <w:t xml:space="preserve">Inputs: etf_prices.parquet, etf_returns.parquet</w:t>
      </w:r>
    </w:p>
    <w:p>
      <w:pPr>
        <w:spacing w:before="80" w:after="80"/>
      </w:pPr>
      <w:r>
        <w:rPr>
          <w:rFonts w:ascii="Arial" w:cs="Arial" w:eastAsia="Arial" w:hAnsi="Arial"/>
          <w:sz w:val="22"/>
          <w:szCs w:val="22"/>
        </w:rPr>
        <w:t xml:space="preserve">Outputs: Q3_cumulative_returns.png, Q3_drawdown.png, Q3_annual_returns.png, Q3_summary_table.png</w:t>
      </w:r>
    </w:p>
    <w:p>
      <w:pPr>
        <w:pStyle w:val="Heading2"/>
        <w:spacing w:before="300" w:after="150"/>
      </w:pPr>
      <w:r>
        <w:rPr>
          <w:rFonts w:ascii="Arial" w:cs="Arial" w:eastAsia="Arial" w:hAnsi="Arial"/>
          <w:b/>
          <w:bCs/>
          <w:color w:val="2980B9"/>
          <w:sz w:val="26"/>
          <w:szCs w:val="26"/>
        </w:rPr>
        <w:t xml:space="preserve">7.1 Duration as a Risk Factor</w:t>
      </w:r>
    </w:p>
    <w:p>
      <w:pPr>
        <w:spacing w:before="80" w:after="80"/>
      </w:pPr>
      <w:r>
        <w:rPr>
          <w:rFonts w:ascii="Arial" w:cs="Arial" w:eastAsia="Arial" w:hAnsi="Arial"/>
          <w:sz w:val="22"/>
          <w:szCs w:val="22"/>
        </w:rPr>
        <w:t xml:space="preserve">Duration measures a bond's price sensitivity to yield changes. A bond with duration D will lose approximately D% in price for each 1 percentage point rise in yields. The three ETF buckets have approximate modified durations: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ETF bucket</w:t>
            </w:r>
          </w:p>
        </w:tc>
        <w:tc>
          <w:tcPr>
            <w:tcW w:type="dxa" w:w="5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Approx. modified duration</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govt_short (1-3Y)</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 years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govt_mid (7-10Y)</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 years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govt_long (15-30Y)</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~18 years</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duration risk premium question asks: does holding longer-duration bonds (more price risk) result in higher returns over time? If markets are efficient and the term premium is positive, we expect: Long &gt; Mid &gt; Short in terms of annualized returns over the full sample.</w:t>
      </w:r>
    </w:p>
    <w:p>
      <w:pPr>
        <w:pStyle w:val="Heading2"/>
        <w:spacing w:before="300" w:after="150"/>
      </w:pPr>
      <w:r>
        <w:rPr>
          <w:rFonts w:ascii="Arial" w:cs="Arial" w:eastAsia="Arial" w:hAnsi="Arial"/>
          <w:b/>
          <w:bCs/>
          <w:color w:val="2980B9"/>
          <w:sz w:val="26"/>
          <w:szCs w:val="26"/>
        </w:rPr>
        <w:t xml:space="preserve">7.2 Summary Statistics</w:t>
      </w:r>
    </w:p>
    <w:p>
      <w:pPr>
        <w:spacing w:before="80" w:after="80"/>
      </w:pPr>
      <w:r>
        <w:rPr>
          <w:rFonts w:ascii="Arial" w:cs="Arial" w:eastAsia="Arial" w:hAnsi="Arial"/>
          <w:sz w:val="22"/>
          <w:szCs w:val="22"/>
        </w:rPr>
        <w:t xml:space="preserve">For each ETF bucket, the following statistics are computed over the full sample and each sub-period:</w:t>
      </w:r>
    </w:p>
    <w:p>
      <w:pPr>
        <w:pStyle w:val="Heading3"/>
        <w:spacing w:before="200" w:after="100"/>
      </w:pPr>
      <w:r>
        <w:rPr>
          <w:rFonts w:ascii="Arial" w:cs="Arial" w:eastAsia="Arial" w:hAnsi="Arial"/>
          <w:b/>
          <w:bCs/>
          <w:color w:val="2C3E50"/>
          <w:sz w:val="22"/>
          <w:szCs w:val="22"/>
        </w:rPr>
        <w:t xml:space="preserve">Annualized return</w:t>
      </w:r>
    </w:p>
    <w:p>
      <w:pPr>
        <w:spacing w:before="80" w:after="80"/>
      </w:pPr>
      <w:r>
        <w:rPr>
          <w:rFonts w:ascii="Arial" w:cs="Arial" w:eastAsia="Arial" w:hAnsi="Arial"/>
          <w:sz w:val="22"/>
          <w:szCs w:val="22"/>
        </w:rPr>
        <w:t xml:space="preserve">From monthly log returns:</w:t>
      </w:r>
    </w:p>
    <w:p>
      <w:pPr>
        <w:shd w:fill="EBF5FB" w:val="clear"/>
        <w:spacing w:before="100" w:after="100"/>
        <w:jc w:val="center"/>
      </w:pPr>
      <w:r>
        <w:rPr>
          <w:rFonts w:ascii="Courier New" w:cs="Courier New" w:eastAsia="Courier New" w:hAnsi="Courier New"/>
          <w:b/>
          <w:bCs/>
          <w:color w:val="2C3E50"/>
          <w:sz w:val="20"/>
          <w:szCs w:val="20"/>
        </w:rPr>
        <w:t xml:space="preserve">Ann. Return = mean(r_monthly) * 12</w:t>
      </w:r>
    </w:p>
    <w:p>
      <w:pPr>
        <w:spacing w:before="80" w:after="80"/>
      </w:pPr>
      <w:r>
        <w:rPr>
          <w:rFonts w:ascii="Arial" w:cs="Arial" w:eastAsia="Arial" w:hAnsi="Arial"/>
          <w:sz w:val="22"/>
          <w:szCs w:val="22"/>
        </w:rPr>
        <w:t xml:space="preserve">This is the expected annual log return. Expressed as a percentage by multiplying by 100.</w:t>
      </w:r>
    </w:p>
    <w:p>
      <w:pPr>
        <w:pStyle w:val="Heading3"/>
        <w:spacing w:before="200" w:after="100"/>
      </w:pPr>
      <w:r>
        <w:rPr>
          <w:rFonts w:ascii="Arial" w:cs="Arial" w:eastAsia="Arial" w:hAnsi="Arial"/>
          <w:b/>
          <w:bCs/>
          <w:color w:val="2C3E50"/>
          <w:sz w:val="22"/>
          <w:szCs w:val="22"/>
        </w:rPr>
        <w:t xml:space="preserve">Annualized volatility</w:t>
      </w:r>
    </w:p>
    <w:p>
      <w:pPr>
        <w:shd w:fill="EBF5FB" w:val="clear"/>
        <w:spacing w:before="100" w:after="100"/>
        <w:jc w:val="center"/>
      </w:pPr>
      <w:r>
        <w:rPr>
          <w:rFonts w:ascii="Courier New" w:cs="Courier New" w:eastAsia="Courier New" w:hAnsi="Courier New"/>
          <w:b/>
          <w:bCs/>
          <w:color w:val="2C3E50"/>
          <w:sz w:val="20"/>
          <w:szCs w:val="20"/>
        </w:rPr>
        <w:t xml:space="preserve">Ann. Vol = std(r_monthly) * sqrt(12)</w:t>
      </w:r>
    </w:p>
    <w:p>
      <w:pPr>
        <w:spacing w:before="80" w:after="80"/>
      </w:pPr>
      <w:r>
        <w:rPr>
          <w:rFonts w:ascii="Arial" w:cs="Arial" w:eastAsia="Arial" w:hAnsi="Arial"/>
          <w:sz w:val="22"/>
          <w:szCs w:val="22"/>
        </w:rPr>
        <w:t xml:space="preserve">Volatility scales with the square root of time for i.i.d. returns (a standard assumption).</w:t>
      </w:r>
    </w:p>
    <w:p>
      <w:pPr>
        <w:pStyle w:val="Heading3"/>
        <w:spacing w:before="200" w:after="100"/>
      </w:pPr>
      <w:r>
        <w:rPr>
          <w:rFonts w:ascii="Arial" w:cs="Arial" w:eastAsia="Arial" w:hAnsi="Arial"/>
          <w:b/>
          <w:bCs/>
          <w:color w:val="2C3E50"/>
          <w:sz w:val="22"/>
          <w:szCs w:val="22"/>
        </w:rPr>
        <w:t xml:space="preserve">Sharpe ratio</w:t>
      </w:r>
    </w:p>
    <w:p>
      <w:pPr>
        <w:shd w:fill="EBF5FB" w:val="clear"/>
        <w:spacing w:before="100" w:after="100"/>
        <w:jc w:val="center"/>
      </w:pPr>
      <w:r>
        <w:rPr>
          <w:rFonts w:ascii="Courier New" w:cs="Courier New" w:eastAsia="Courier New" w:hAnsi="Courier New"/>
          <w:b/>
          <w:bCs/>
          <w:color w:val="2C3E50"/>
          <w:sz w:val="20"/>
          <w:szCs w:val="20"/>
        </w:rPr>
        <w:t xml:space="preserve">Sharpe = Ann. Return / Ann. Vol</w:t>
      </w:r>
    </w:p>
    <w:p>
      <w:pPr>
        <w:spacing w:before="80" w:after="80"/>
      </w:pPr>
      <w:r>
        <w:rPr>
          <w:rFonts w:ascii="Arial" w:cs="Arial" w:eastAsia="Arial" w:hAnsi="Arial"/>
          <w:sz w:val="22"/>
          <w:szCs w:val="22"/>
        </w:rPr>
        <w:t xml:space="preserve">Note: a risk-free rate deduction is omitted here since we are comparing bond returns against each other (all are already low-risk assets). When comparing bonds to equity in Q5, a risk-free rate adjustment may be added.</w:t>
      </w:r>
    </w:p>
    <w:p>
      <w:pPr>
        <w:pStyle w:val="Heading3"/>
        <w:spacing w:before="200" w:after="100"/>
      </w:pPr>
      <w:r>
        <w:rPr>
          <w:rFonts w:ascii="Arial" w:cs="Arial" w:eastAsia="Arial" w:hAnsi="Arial"/>
          <w:b/>
          <w:bCs/>
          <w:color w:val="2C3E50"/>
          <w:sz w:val="22"/>
          <w:szCs w:val="22"/>
        </w:rPr>
        <w:t xml:space="preserve">Maximum drawdown</w:t>
      </w:r>
    </w:p>
    <w:p>
      <w:pPr>
        <w:spacing w:before="80" w:after="80"/>
      </w:pPr>
      <w:r>
        <w:rPr>
          <w:rFonts w:ascii="Arial" w:cs="Arial" w:eastAsia="Arial" w:hAnsi="Arial"/>
          <w:sz w:val="22"/>
          <w:szCs w:val="22"/>
        </w:rPr>
        <w:t xml:space="preserve">Computed from the cumulative return index:</w:t>
      </w:r>
    </w:p>
    <w:p>
      <w:pPr>
        <w:shd w:fill="EBF5FB" w:val="clear"/>
        <w:spacing w:before="100" w:after="100"/>
        <w:jc w:val="center"/>
      </w:pPr>
      <w:r>
        <w:rPr>
          <w:rFonts w:ascii="Courier New" w:cs="Courier New" w:eastAsia="Courier New" w:hAnsi="Courier New"/>
          <w:b/>
          <w:bCs/>
          <w:color w:val="2C3E50"/>
          <w:sz w:val="20"/>
          <w:szCs w:val="20"/>
        </w:rPr>
        <w:t xml:space="preserve">cum_t = exp( sum of r_s for s &lt;= t )</w:t>
      </w:r>
    </w:p>
    <w:p>
      <w:pPr>
        <w:shd w:fill="EBF5FB" w:val="clear"/>
        <w:spacing w:before="100" w:after="100"/>
        <w:jc w:val="center"/>
      </w:pPr>
      <w:r>
        <w:rPr>
          <w:rFonts w:ascii="Courier New" w:cs="Courier New" w:eastAsia="Courier New" w:hAnsi="Courier New"/>
          <w:b/>
          <w:bCs/>
          <w:color w:val="2C3E50"/>
          <w:sz w:val="20"/>
          <w:szCs w:val="20"/>
        </w:rPr>
        <w:t xml:space="preserve">drawdown_t = (cum_t - max(cum_s for s &lt;= t)) / max(cum_s for s &lt;= t)</w:t>
      </w:r>
    </w:p>
    <w:p>
      <w:pPr>
        <w:shd w:fill="EBF5FB" w:val="clear"/>
        <w:spacing w:before="100" w:after="100"/>
        <w:jc w:val="center"/>
      </w:pPr>
      <w:r>
        <w:rPr>
          <w:rFonts w:ascii="Courier New" w:cs="Courier New" w:eastAsia="Courier New" w:hAnsi="Courier New"/>
          <w:b/>
          <w:bCs/>
          <w:color w:val="2C3E50"/>
          <w:sz w:val="20"/>
          <w:szCs w:val="20"/>
        </w:rPr>
        <w:t xml:space="preserve">Max Drawdown = min(drawdown_t)</w:t>
      </w:r>
    </w:p>
    <w:p>
      <w:pPr>
        <w:spacing w:before="80" w:after="80"/>
      </w:pPr>
      <w:r>
        <w:rPr>
          <w:rFonts w:ascii="Arial" w:cs="Arial" w:eastAsia="Arial" w:hAnsi="Arial"/>
          <w:sz w:val="22"/>
          <w:szCs w:val="22"/>
        </w:rPr>
        <w:t xml:space="preserve">This measures the largest peak-to-trough decline in portfolio value. It is a key risk metric for bond investors who cannot tolerate large interim losses.</w:t>
      </w:r>
    </w:p>
    <w:p>
      <w:pPr>
        <w:pStyle w:val="Heading2"/>
        <w:spacing w:before="300" w:after="150"/>
      </w:pPr>
      <w:r>
        <w:rPr>
          <w:rFonts w:ascii="Arial" w:cs="Arial" w:eastAsia="Arial" w:hAnsi="Arial"/>
          <w:b/>
          <w:bCs/>
          <w:color w:val="2980B9"/>
          <w:sz w:val="26"/>
          <w:szCs w:val="26"/>
        </w:rPr>
        <w:t xml:space="preserve">7.3 Cumulative Return Chart</w:t>
      </w:r>
    </w:p>
    <w:p>
      <w:pPr>
        <w:spacing w:before="80" w:after="80"/>
      </w:pPr>
      <w:r>
        <w:rPr>
          <w:rFonts w:ascii="Arial" w:cs="Arial" w:eastAsia="Arial" w:hAnsi="Arial"/>
          <w:sz w:val="22"/>
          <w:szCs w:val="22"/>
        </w:rPr>
        <w:t xml:space="preserve">ETF prices are normalized to 100 at the first available observation:</w:t>
      </w:r>
    </w:p>
    <w:p>
      <w:pPr>
        <w:shd w:fill="EBF5FB" w:val="clear"/>
        <w:spacing w:before="100" w:after="100"/>
        <w:jc w:val="center"/>
      </w:pPr>
      <w:r>
        <w:rPr>
          <w:rFonts w:ascii="Courier New" w:cs="Courier New" w:eastAsia="Courier New" w:hAnsi="Courier New"/>
          <w:b/>
          <w:bCs/>
          <w:color w:val="2C3E50"/>
          <w:sz w:val="20"/>
          <w:szCs w:val="20"/>
        </w:rPr>
        <w:t xml:space="preserve">normalized_t = price_t / price_0 * 100</w:t>
      </w:r>
    </w:p>
    <w:p>
      <w:pPr>
        <w:spacing w:before="80" w:after="80"/>
      </w:pPr>
      <w:r>
        <w:rPr>
          <w:rFonts w:ascii="Arial" w:cs="Arial" w:eastAsia="Arial" w:hAnsi="Arial"/>
          <w:sz w:val="22"/>
          <w:szCs w:val="22"/>
        </w:rPr>
        <w:t xml:space="preserve">The three duration buckets are plotted on the same chart with sub-period shading. A steeper slope = higher return; more volatile path = higher risk.</w:t>
      </w:r>
    </w:p>
    <w:p>
      <w:pPr>
        <w:pStyle w:val="Heading2"/>
        <w:spacing w:before="300" w:after="150"/>
      </w:pPr>
      <w:r>
        <w:rPr>
          <w:rFonts w:ascii="Arial" w:cs="Arial" w:eastAsia="Arial" w:hAnsi="Arial"/>
          <w:b/>
          <w:bCs/>
          <w:color w:val="2980B9"/>
          <w:sz w:val="26"/>
          <w:szCs w:val="26"/>
        </w:rPr>
        <w:t xml:space="preserve">7.4 Drawdown Chart</w:t>
      </w:r>
    </w:p>
    <w:p>
      <w:pPr>
        <w:spacing w:before="80" w:after="80"/>
      </w:pPr>
      <w:r>
        <w:rPr>
          <w:rFonts w:ascii="Arial" w:cs="Arial" w:eastAsia="Arial" w:hAnsi="Arial"/>
          <w:sz w:val="22"/>
          <w:szCs w:val="22"/>
        </w:rPr>
        <w:t xml:space="preserve">Drawdown is plotted as a filled area chart per bucket. Deeper troughs = larger losses. For bond investors the key episodes to observe are: 2022 hiking cycle (all buckets drawdown, long bucket most severely due to high duration), and the 2008 GFC (more mixed — flight to safety benefited long govts initially).</w:t>
      </w:r>
    </w:p>
    <w:p>
      <w:pPr>
        <w:pStyle w:val="Heading2"/>
        <w:spacing w:before="300" w:after="150"/>
      </w:pPr>
      <w:r>
        <w:rPr>
          <w:rFonts w:ascii="Arial" w:cs="Arial" w:eastAsia="Arial" w:hAnsi="Arial"/>
          <w:b/>
          <w:bCs/>
          <w:color w:val="2980B9"/>
          <w:sz w:val="26"/>
          <w:szCs w:val="26"/>
        </w:rPr>
        <w:t xml:space="preserve">7.5 Annual Returns Bar Chart</w:t>
      </w:r>
    </w:p>
    <w:p>
      <w:pPr>
        <w:spacing w:before="80" w:after="80"/>
      </w:pPr>
      <w:r>
        <w:rPr>
          <w:rFonts w:ascii="Arial" w:cs="Arial" w:eastAsia="Arial" w:hAnsi="Arial"/>
          <w:sz w:val="22"/>
          <w:szCs w:val="22"/>
        </w:rPr>
        <w:t xml:space="preserve">Monthly log returns are summed to annual frequency:</w:t>
      </w:r>
    </w:p>
    <w:p>
      <w:pPr>
        <w:shd w:fill="EBF5FB" w:val="clear"/>
        <w:spacing w:before="100" w:after="100"/>
        <w:jc w:val="center"/>
      </w:pPr>
      <w:r>
        <w:rPr>
          <w:rFonts w:ascii="Courier New" w:cs="Courier New" w:eastAsia="Courier New" w:hAnsi="Courier New"/>
          <w:b/>
          <w:bCs/>
          <w:color w:val="2C3E50"/>
          <w:sz w:val="20"/>
          <w:szCs w:val="20"/>
        </w:rPr>
        <w:t xml:space="preserve">annual_return_year = sum of r_monthly for all months in year</w:t>
      </w:r>
    </w:p>
    <w:p>
      <w:pPr>
        <w:spacing w:before="80" w:after="80"/>
      </w:pPr>
      <w:r>
        <w:rPr>
          <w:rFonts w:ascii="Arial" w:cs="Arial" w:eastAsia="Arial" w:hAnsi="Arial"/>
          <w:sz w:val="22"/>
          <w:szCs w:val="22"/>
        </w:rPr>
        <w:t xml:space="preserve">Displayed as grouped bars by year for all three buckets side by side. Allows identification of years where duration was rewarded vs punished.</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8. Q4_credit_markets.py — Credit Markets</w:t>
      </w:r>
    </w:p>
    <w:p>
      <w:pPr>
        <w:spacing w:before="80" w:after="80"/>
      </w:pPr>
      <w:r>
        <w:rPr>
          <w:rFonts w:ascii="Arial" w:cs="Arial" w:eastAsia="Arial" w:hAnsi="Arial"/>
          <w:sz w:val="22"/>
          <w:szCs w:val="22"/>
        </w:rPr>
        <w:t xml:space="preserve">Answers Q4: What are the realized returns and risks of corporate vs government bonds?</w:t>
      </w:r>
    </w:p>
    <w:p>
      <w:pPr>
        <w:spacing w:before="80" w:after="80"/>
      </w:pPr>
      <w:r>
        <w:rPr>
          <w:rFonts w:ascii="Arial" w:cs="Arial" w:eastAsia="Arial" w:hAnsi="Arial"/>
          <w:sz w:val="22"/>
          <w:szCs w:val="22"/>
        </w:rPr>
        <w:t xml:space="preserve">Answers Q5: Do corporate bonds add value? What is the systematic risk exposure?</w:t>
      </w:r>
    </w:p>
    <w:p>
      <w:pPr>
        <w:spacing w:before="80" w:after="80"/>
      </w:pPr>
      <w:r>
        <w:rPr>
          <w:rFonts w:ascii="Arial" w:cs="Arial" w:eastAsia="Arial" w:hAnsi="Arial"/>
          <w:sz w:val="22"/>
          <w:szCs w:val="22"/>
        </w:rPr>
        <w:t xml:space="preserve">Inputs: etf_prices.parquet, etf_returns.parquet</w:t>
      </w:r>
    </w:p>
    <w:p>
      <w:pPr>
        <w:pStyle w:val="Heading2"/>
        <w:spacing w:before="300" w:after="150"/>
      </w:pPr>
      <w:r>
        <w:rPr>
          <w:rFonts w:ascii="Arial" w:cs="Arial" w:eastAsia="Arial" w:hAnsi="Arial"/>
          <w:b/>
          <w:bCs/>
          <w:color w:val="2980B9"/>
          <w:sz w:val="26"/>
          <w:szCs w:val="26"/>
        </w:rPr>
        <w:t xml:space="preserve">8.1 Q4 — Corporate vs Government Returns</w:t>
      </w:r>
    </w:p>
    <w:p>
      <w:pPr>
        <w:spacing w:before="80" w:after="80"/>
      </w:pPr>
      <w:r>
        <w:rPr>
          <w:rFonts w:ascii="Arial" w:cs="Arial" w:eastAsia="Arial" w:hAnsi="Arial"/>
          <w:sz w:val="22"/>
          <w:szCs w:val="22"/>
        </w:rPr>
        <w:t xml:space="preserve">The corporate bond ETF (corp_ig) is compared against the government bond mid-duration ETF (govt_mid) since their durations are most comparable. The same summary statistics computed in Q3 are applied here: annualized return, volatility, Sharpe, max drawdown — both for the full sample and sub-periods.</w:t>
      </w:r>
    </w:p>
    <w:p>
      <w:pPr>
        <w:pStyle w:val="Heading3"/>
        <w:spacing w:before="200" w:after="100"/>
      </w:pPr>
      <w:r>
        <w:rPr>
          <w:rFonts w:ascii="Arial" w:cs="Arial" w:eastAsia="Arial" w:hAnsi="Arial"/>
          <w:b/>
          <w:bCs/>
          <w:color w:val="2C3E50"/>
          <w:sz w:val="22"/>
          <w:szCs w:val="22"/>
        </w:rPr>
        <w:t xml:space="preserve">Credit excess return</w:t>
      </w:r>
    </w:p>
    <w:p>
      <w:pPr>
        <w:spacing w:before="80" w:after="80"/>
      </w:pPr>
      <w:r>
        <w:rPr>
          <w:rFonts w:ascii="Arial" w:cs="Arial" w:eastAsia="Arial" w:hAnsi="Arial"/>
          <w:sz w:val="22"/>
          <w:szCs w:val="22"/>
        </w:rPr>
        <w:t xml:space="preserve">The credit excess return (credit premium) is isolated as:</w:t>
      </w:r>
    </w:p>
    <w:p>
      <w:pPr>
        <w:shd w:fill="EBF5FB" w:val="clear"/>
        <w:spacing w:before="100" w:after="100"/>
        <w:jc w:val="center"/>
      </w:pPr>
      <w:r>
        <w:rPr>
          <w:rFonts w:ascii="Courier New" w:cs="Courier New" w:eastAsia="Courier New" w:hAnsi="Courier New"/>
          <w:b/>
          <w:bCs/>
          <w:color w:val="2C3E50"/>
          <w:sz w:val="20"/>
          <w:szCs w:val="20"/>
        </w:rPr>
        <w:t xml:space="preserve">credit_excess_t = corp_logret_t - govt_mid_logret_t</w:t>
      </w:r>
    </w:p>
    <w:p>
      <w:pPr>
        <w:spacing w:before="80" w:after="80"/>
      </w:pPr>
      <w:r>
        <w:rPr>
          <w:rFonts w:ascii="Arial" w:cs="Arial" w:eastAsia="Arial" w:hAnsi="Arial"/>
          <w:sz w:val="22"/>
          <w:szCs w:val="22"/>
        </w:rPr>
        <w:t xml:space="preserve">This time series represents the incremental return earned by taking credit risk over and above duration risk. If the mean of this series is positive, corporate bonds have historically compensated investors for credit risk. If the series is trending, the premium has been increasing or decreasing over time.</w:t>
      </w:r>
    </w:p>
    <w:p>
      <w:pPr>
        <w:pStyle w:val="Heading2"/>
        <w:spacing w:before="300" w:after="150"/>
      </w:pPr>
      <w:r>
        <w:rPr>
          <w:rFonts w:ascii="Arial" w:cs="Arial" w:eastAsia="Arial" w:hAnsi="Arial"/>
          <w:b/>
          <w:bCs/>
          <w:color w:val="2980B9"/>
          <w:sz w:val="26"/>
          <w:szCs w:val="26"/>
        </w:rPr>
        <w:t xml:space="preserve">8.2 Q5 — Portfolio Analysis</w:t>
      </w:r>
    </w:p>
    <w:p>
      <w:pPr>
        <w:pStyle w:val="Heading3"/>
        <w:spacing w:before="200" w:after="100"/>
      </w:pPr>
      <w:r>
        <w:rPr>
          <w:rFonts w:ascii="Arial" w:cs="Arial" w:eastAsia="Arial" w:hAnsi="Arial"/>
          <w:b/>
          <w:bCs/>
          <w:color w:val="2C3E50"/>
          <w:sz w:val="22"/>
          <w:szCs w:val="22"/>
        </w:rPr>
        <w:t xml:space="preserve">Portfolio construction</w:t>
      </w:r>
    </w:p>
    <w:p>
      <w:pPr>
        <w:spacing w:before="80" w:after="80"/>
      </w:pPr>
      <w:r>
        <w:rPr>
          <w:rFonts w:ascii="Arial" w:cs="Arial" w:eastAsia="Arial" w:hAnsi="Arial"/>
          <w:sz w:val="22"/>
          <w:szCs w:val="22"/>
        </w:rPr>
        <w:t xml:space="preserve">Three portfolios are constructed from monthly log returns using fixed weights:</w:t>
      </w:r>
    </w:p>
    <w:p>
      <w:pPr>
        <w:shd w:fill="F4F6F7" w:val="clear"/>
        <w:spacing w:before="60" w:after="60"/>
        <w:ind w:left="720"/>
      </w:pPr>
      <w:r>
        <w:rPr>
          <w:rFonts w:ascii="Courier New" w:cs="Courier New" w:eastAsia="Courier New" w:hAnsi="Courier New"/>
          <w:color w:val="1A252F"/>
          <w:sz w:val="18"/>
          <w:szCs w:val="18"/>
        </w:rPr>
        <w:t xml:space="preserve">Portfolio A — Pure govt:   100% govt_mid</w:t>
      </w:r>
    </w:p>
    <w:p>
      <w:pPr>
        <w:shd w:fill="F4F6F7" w:val="clear"/>
        <w:spacing w:before="60" w:after="60"/>
        <w:ind w:left="720"/>
      </w:pPr>
      <w:r>
        <w:rPr>
          <w:rFonts w:ascii="Courier New" w:cs="Courier New" w:eastAsia="Courier New" w:hAnsi="Courier New"/>
          <w:color w:val="1A252F"/>
          <w:sz w:val="18"/>
          <w:szCs w:val="18"/>
        </w:rPr>
        <w:t xml:space="preserve">Portfolio B — Mixed bonds: 50% govt_mid + 50% corp_ig</w:t>
      </w:r>
    </w:p>
    <w:p>
      <w:pPr>
        <w:shd w:fill="F4F6F7" w:val="clear"/>
        <w:spacing w:before="60" w:after="60"/>
        <w:ind w:left="720"/>
      </w:pPr>
      <w:r>
        <w:rPr>
          <w:rFonts w:ascii="Courier New" w:cs="Courier New" w:eastAsia="Courier New" w:hAnsi="Courier New"/>
          <w:color w:val="1A252F"/>
          <w:sz w:val="18"/>
          <w:szCs w:val="18"/>
        </w:rPr>
        <w:t xml:space="preserve">Portfolio C — Diversified: 60% equity + 30% govt_mid + 10% corp_ig</w:t>
      </w:r>
    </w:p>
    <w:p>
      <w:pPr>
        <w:spacing w:before="80" w:after="80"/>
      </w:pPr>
      <w:r>
        <w:rPr>
          <w:rFonts w:ascii="Arial" w:cs="Arial" w:eastAsia="Arial" w:hAnsi="Arial"/>
          <w:sz w:val="22"/>
          <w:szCs w:val="22"/>
        </w:rPr>
        <w:t xml:space="preserve">Portfolio log return at time t:</w:t>
      </w:r>
    </w:p>
    <w:p>
      <w:pPr>
        <w:shd w:fill="EBF5FB" w:val="clear"/>
        <w:spacing w:before="100" w:after="100"/>
        <w:jc w:val="center"/>
      </w:pPr>
      <w:r>
        <w:rPr>
          <w:rFonts w:ascii="Courier New" w:cs="Courier New" w:eastAsia="Courier New" w:hAnsi="Courier New"/>
          <w:b/>
          <w:bCs/>
          <w:color w:val="2C3E50"/>
          <w:sz w:val="20"/>
          <w:szCs w:val="20"/>
        </w:rPr>
        <w:t xml:space="preserve">r_portfolio_t = sum of w_i * r_i_t   for all assets i</w:t>
      </w:r>
    </w:p>
    <w:p>
      <w:pPr>
        <w:spacing w:before="80" w:after="80"/>
      </w:pPr>
      <w:r>
        <w:rPr>
          <w:rFonts w:ascii="Arial" w:cs="Arial" w:eastAsia="Arial" w:hAnsi="Arial"/>
          <w:sz w:val="22"/>
          <w:szCs w:val="22"/>
        </w:rPr>
        <w:t xml:space="preserve">Note: this assumes monthly rebalancing back to target weights, which is standard for academic portfolio analysis.</w:t>
      </w:r>
    </w:p>
    <w:p>
      <w:pPr>
        <w:pStyle w:val="Heading3"/>
        <w:spacing w:before="200" w:after="100"/>
      </w:pPr>
      <w:r>
        <w:rPr>
          <w:rFonts w:ascii="Arial" w:cs="Arial" w:eastAsia="Arial" w:hAnsi="Arial"/>
          <w:b/>
          <w:bCs/>
          <w:color w:val="2C3E50"/>
          <w:sz w:val="22"/>
          <w:szCs w:val="22"/>
        </w:rPr>
        <w:t xml:space="preserve">Systematic risk regression</w:t>
      </w:r>
    </w:p>
    <w:p>
      <w:pPr>
        <w:spacing w:before="80" w:after="80"/>
      </w:pPr>
      <w:r>
        <w:rPr>
          <w:rFonts w:ascii="Arial" w:cs="Arial" w:eastAsia="Arial" w:hAnsi="Arial"/>
          <w:sz w:val="22"/>
          <w:szCs w:val="22"/>
        </w:rPr>
        <w:t xml:space="preserve">To identify what risk factors drive corporate bond returns, a multi-factor OLS regression is estimated:</w:t>
      </w:r>
    </w:p>
    <w:p>
      <w:pPr>
        <w:shd w:fill="EBF5FB" w:val="clear"/>
        <w:spacing w:before="100" w:after="100"/>
        <w:jc w:val="center"/>
      </w:pPr>
      <w:r>
        <w:rPr>
          <w:rFonts w:ascii="Courier New" w:cs="Courier New" w:eastAsia="Courier New" w:hAnsi="Courier New"/>
          <w:b/>
          <w:bCs/>
          <w:color w:val="2C3E50"/>
          <w:sz w:val="20"/>
          <w:szCs w:val="20"/>
        </w:rPr>
        <w:t xml:space="preserve">corp_excess_t = alpha + beta_equity * equity_t + beta_govt * govt_mid_t + epsilon_t</w:t>
      </w:r>
    </w:p>
    <w:p>
      <w:pPr>
        <w:spacing w:before="80" w:after="80"/>
      </w:pPr>
      <w:r>
        <w:rPr>
          <w:rFonts w:ascii="Arial" w:cs="Arial" w:eastAsia="Arial" w:hAnsi="Arial"/>
          <w:sz w:val="22"/>
          <w:szCs w:val="22"/>
        </w:rPr>
        <w:t xml:space="preserve">Where corp_excess_t = corp_logret_t minus the risk-free rate (approximated as the 1-month ECB rate or zero). The coefficients are interpreted as:</w:t>
      </w:r>
    </w:p>
    <w:p>
      <w:pPr>
        <w:pStyle w:val="ListParagraph"/>
        <w:numPr>
          <w:ilvl w:val="0"/>
          <w:numId w:val="2"/>
        </w:numPr>
        <w:spacing w:before="60" w:after="60"/>
      </w:pPr>
      <w:r>
        <w:rPr>
          <w:rFonts w:ascii="Arial" w:cs="Arial" w:eastAsia="Arial" w:hAnsi="Arial"/>
          <w:sz w:val="22"/>
          <w:szCs w:val="22"/>
        </w:rPr>
        <w:t xml:space="preserve">beta_equity: exposure to equity market risk. A positive value means corporate bonds partially behave like equities — they lose value when equities sell off (e.g. during credit crises).</w:t>
      </w:r>
    </w:p>
    <w:p>
      <w:pPr>
        <w:pStyle w:val="ListParagraph"/>
        <w:numPr>
          <w:ilvl w:val="0"/>
          <w:numId w:val="2"/>
        </w:numPr>
        <w:spacing w:before="60" w:after="60"/>
      </w:pPr>
      <w:r>
        <w:rPr>
          <w:rFonts w:ascii="Arial" w:cs="Arial" w:eastAsia="Arial" w:hAnsi="Arial"/>
          <w:sz w:val="22"/>
          <w:szCs w:val="22"/>
        </w:rPr>
        <w:t xml:space="preserve">beta_govt: exposure to interest rate risk (duration). A value close to 1 means corporate bonds have similar duration risk to government bonds.</w:t>
      </w:r>
    </w:p>
    <w:p>
      <w:pPr>
        <w:pStyle w:val="ListParagraph"/>
        <w:numPr>
          <w:ilvl w:val="0"/>
          <w:numId w:val="2"/>
        </w:numPr>
        <w:spacing w:before="60" w:after="60"/>
      </w:pPr>
      <w:r>
        <w:rPr>
          <w:rFonts w:ascii="Arial" w:cs="Arial" w:eastAsia="Arial" w:hAnsi="Arial"/>
          <w:sz w:val="22"/>
          <w:szCs w:val="22"/>
        </w:rPr>
        <w:t xml:space="preserve">alpha: the residual return not explained by either factor. A positive alpha would indicate a pure credit risk premium after stripping out equity and duration risk. This is related to the Asvanunt &amp; Richardson (2017) framework.</w:t>
      </w:r>
    </w:p>
    <w:p>
      <w:pPr>
        <w:spacing w:before="80" w:after="80"/>
      </w:pPr>
      <w:r>
        <w:rPr>
          <w:rFonts w:ascii="Arial" w:cs="Arial" w:eastAsia="Arial" w:hAnsi="Arial"/>
          <w:sz w:val="22"/>
          <w:szCs w:val="22"/>
        </w:rPr>
        <w:t xml:space="preserve">The regression answers: is the corporate bond return premium just compensation for equity-like systematic risk, or is there a distinct 'credit risk factor' beyond equity and duration?</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9. main.py — Master Execution Script</w:t>
      </w:r>
    </w:p>
    <w:p>
      <w:pPr>
        <w:spacing w:before="80" w:after="80"/>
      </w:pPr>
      <w:r>
        <w:rPr>
          <w:rFonts w:ascii="Arial" w:cs="Arial" w:eastAsia="Arial" w:hAnsi="Arial"/>
          <w:sz w:val="22"/>
          <w:szCs w:val="22"/>
        </w:rPr>
        <w:t xml:space="preserve">main.py is the single entry point to run the entire analysis. It imports all Q modules and calls their run_all() function in sequence.</w:t>
      </w:r>
    </w:p>
    <w:p>
      <w:pPr>
        <w:pStyle w:val="Heading2"/>
        <w:spacing w:before="300" w:after="150"/>
      </w:pPr>
      <w:r>
        <w:rPr>
          <w:rFonts w:ascii="Arial" w:cs="Arial" w:eastAsia="Arial" w:hAnsi="Arial"/>
          <w:b/>
          <w:bCs/>
          <w:color w:val="2980B9"/>
          <w:sz w:val="26"/>
          <w:szCs w:val="26"/>
        </w:rPr>
        <w:t xml:space="preserve">9.1 run_module() failsafe</w:t>
      </w:r>
    </w:p>
    <w:p>
      <w:pPr>
        <w:spacing w:before="80" w:after="80"/>
      </w:pPr>
      <w:r>
        <w:rPr>
          <w:rFonts w:ascii="Arial" w:cs="Arial" w:eastAsia="Arial" w:hAnsi="Arial"/>
          <w:sz w:val="22"/>
          <w:szCs w:val="22"/>
        </w:rPr>
        <w:t xml:space="preserve">Each module is called through a run_module() wrapper that catches errors gracefully:</w:t>
      </w:r>
    </w:p>
    <w:p>
      <w:pPr>
        <w:pStyle w:val="ListParagraph"/>
        <w:numPr>
          <w:ilvl w:val="0"/>
          <w:numId w:val="2"/>
        </w:numPr>
        <w:spacing w:before="60" w:after="60"/>
      </w:pPr>
      <w:r>
        <w:rPr>
          <w:rFonts w:ascii="Arial" w:cs="Arial" w:eastAsia="Arial" w:hAnsi="Arial"/>
          <w:sz w:val="22"/>
          <w:szCs w:val="22"/>
        </w:rPr>
        <w:t xml:space="preserve">If run_all() is not implemented in a module: prints a skip warning, continues to next module</w:t>
      </w:r>
    </w:p>
    <w:p>
      <w:pPr>
        <w:pStyle w:val="ListParagraph"/>
        <w:numPr>
          <w:ilvl w:val="0"/>
          <w:numId w:val="2"/>
        </w:numPr>
        <w:spacing w:before="60" w:after="60"/>
      </w:pPr>
      <w:r>
        <w:rPr>
          <w:rFonts w:ascii="Arial" w:cs="Arial" w:eastAsia="Arial" w:hAnsi="Arial"/>
          <w:sz w:val="22"/>
          <w:szCs w:val="22"/>
        </w:rPr>
        <w:t xml:space="preserve">If run_all() raises NotImplementedError: prints skip warning, continues</w:t>
      </w:r>
    </w:p>
    <w:p>
      <w:pPr>
        <w:pStyle w:val="ListParagraph"/>
        <w:numPr>
          <w:ilvl w:val="0"/>
          <w:numId w:val="2"/>
        </w:numPr>
        <w:spacing w:before="60" w:after="60"/>
      </w:pPr>
      <w:r>
        <w:rPr>
          <w:rFonts w:ascii="Arial" w:cs="Arial" w:eastAsia="Arial" w:hAnsi="Arial"/>
          <w:sz w:val="22"/>
          <w:szCs w:val="22"/>
        </w:rPr>
        <w:t xml:space="preserve">If run_all() raises any other exception: prints the error message, continues</w:t>
      </w:r>
    </w:p>
    <w:p>
      <w:pPr>
        <w:spacing w:before="80" w:after="80"/>
      </w:pPr>
      <w:r>
        <w:rPr>
          <w:rFonts w:ascii="Arial" w:cs="Arial" w:eastAsia="Arial" w:hAnsi="Arial"/>
          <w:sz w:val="22"/>
          <w:szCs w:val="22"/>
        </w:rPr>
        <w:t xml:space="preserve">This means that a partially implemented module (e.g. Q4 with only one exhibit done) will not crash the whole pipeline. Teammates can implement their modules incrementally.</w:t>
      </w:r>
    </w:p>
    <w:p>
      <w:pPr>
        <w:pStyle w:val="Heading2"/>
        <w:spacing w:before="300" w:after="150"/>
      </w:pPr>
      <w:r>
        <w:rPr>
          <w:rFonts w:ascii="Arial" w:cs="Arial" w:eastAsia="Arial" w:hAnsi="Arial"/>
          <w:b/>
          <w:bCs/>
          <w:color w:val="2980B9"/>
          <w:sz w:val="26"/>
          <w:szCs w:val="26"/>
        </w:rPr>
        <w:t xml:space="preserve">9.2 save_figures()</w:t>
      </w:r>
    </w:p>
    <w:p>
      <w:pPr>
        <w:spacing w:before="80" w:after="80"/>
      </w:pPr>
      <w:r>
        <w:rPr>
          <w:rFonts w:ascii="Arial" w:cs="Arial" w:eastAsia="Arial" w:hAnsi="Arial"/>
          <w:sz w:val="22"/>
          <w:szCs w:val="22"/>
        </w:rPr>
        <w:t xml:space="preserve">Each run_all() returns a Python dict of {filename: matplotlib Figure object}. The save_figures() function iterates over this dict, saves each figure to the outputs/ folder at 150 DPI, and calls plt.close(fig) to free memory.</w:t>
      </w:r>
    </w:p>
    <w:p>
      <w:pPr>
        <w:pStyle w:val="Heading2"/>
        <w:spacing w:before="300" w:after="150"/>
      </w:pPr>
      <w:r>
        <w:rPr>
          <w:rFonts w:ascii="Arial" w:cs="Arial" w:eastAsia="Arial" w:hAnsi="Arial"/>
          <w:b/>
          <w:bCs/>
          <w:color w:val="2980B9"/>
          <w:sz w:val="26"/>
          <w:szCs w:val="26"/>
        </w:rPr>
        <w:t xml:space="preserve">9.3 Running order</w:t>
      </w:r>
    </w:p>
    <w:p>
      <w:pPr>
        <w:shd w:fill="F4F6F7" w:val="clear"/>
        <w:spacing w:before="60" w:after="60"/>
        <w:ind w:left="720"/>
      </w:pPr>
      <w:r>
        <w:rPr>
          <w:rFonts w:ascii="Courier New" w:cs="Courier New" w:eastAsia="Courier New" w:hAnsi="Courier New"/>
          <w:color w:val="1A252F"/>
          <w:sz w:val="18"/>
          <w:szCs w:val="18"/>
        </w:rPr>
        <w:t xml:space="preserve">python data/data_import.py   # Step 1: fetch and save all data (once)</w:t>
      </w:r>
    </w:p>
    <w:p>
      <w:pPr>
        <w:shd w:fill="F4F6F7" w:val="clear"/>
        <w:spacing w:before="60" w:after="60"/>
        <w:ind w:left="720"/>
      </w:pPr>
      <w:r>
        <w:rPr>
          <w:rFonts w:ascii="Courier New" w:cs="Courier New" w:eastAsia="Courier New" w:hAnsi="Courier New"/>
          <w:color w:val="1A252F"/>
          <w:sz w:val="18"/>
          <w:szCs w:val="18"/>
        </w:rPr>
        <w:t xml:space="preserve">python main.py               # Step 2: run analysis and save all charts</w:t>
      </w:r>
    </w:p>
    <w:p>
      <w:r>
        <w:br w:type="page"/>
      </w:r>
    </w:p>
    <w:p>
      <w:pPr>
        <w:pStyle w:val="Heading1"/>
        <w:pBdr>
          <w:bottom w:val="single" w:color="2980B9" w:sz="6" w:space="1"/>
        </w:pBdr>
        <w:spacing w:before="400" w:after="200"/>
      </w:pPr>
      <w:r>
        <w:rPr>
          <w:rFonts w:ascii="Arial" w:cs="Arial" w:eastAsia="Arial" w:hAnsi="Arial"/>
          <w:b/>
          <w:bCs/>
          <w:color w:val="2C3E50"/>
          <w:sz w:val="32"/>
          <w:szCs w:val="32"/>
        </w:rPr>
        <w:t xml:space="preserve">10. Setup for New Team Members</w:t>
      </w:r>
    </w:p>
    <w:p>
      <w:pPr>
        <w:spacing w:before="80" w:after="80"/>
      </w:pPr>
      <w:r>
        <w:rPr>
          <w:rFonts w:ascii="Arial" w:cs="Arial" w:eastAsia="Arial" w:hAnsi="Arial"/>
          <w:sz w:val="22"/>
          <w:szCs w:val="22"/>
        </w:rPr>
        <w:t xml:space="preserve">Follow these steps after cloning the repository:</w:t>
      </w:r>
    </w:p>
    <w:p>
      <w:pPr>
        <w:pStyle w:val="ListParagraph"/>
        <w:numPr>
          <w:ilvl w:val="0"/>
          <w:numId w:val="2"/>
        </w:numPr>
        <w:spacing w:before="60" w:after="60"/>
      </w:pPr>
      <w:r>
        <w:rPr>
          <w:rFonts w:ascii="Arial" w:cs="Arial" w:eastAsia="Arial" w:hAnsi="Arial"/>
          <w:b/>
          <w:bCs/>
          <w:sz w:val="22"/>
          <w:szCs w:val="22"/>
        </w:rPr>
        <w:t xml:space="preserve">Clone the repository:</w:t>
      </w:r>
    </w:p>
    <w:p>
      <w:pPr>
        <w:shd w:fill="F4F6F7" w:val="clear"/>
        <w:spacing w:before="60" w:after="60"/>
        <w:ind w:left="720"/>
      </w:pPr>
      <w:r>
        <w:rPr>
          <w:rFonts w:ascii="Courier New" w:cs="Courier New" w:eastAsia="Courier New" w:hAnsi="Courier New"/>
          <w:color w:val="1A252F"/>
          <w:sz w:val="18"/>
          <w:szCs w:val="18"/>
        </w:rPr>
        <w:t xml:space="preserve">git clone https://github.com/Kepuli/fixedincome.git</w:t>
      </w:r>
    </w:p>
    <w:p>
      <w:pPr>
        <w:pStyle w:val="ListParagraph"/>
        <w:numPr>
          <w:ilvl w:val="0"/>
          <w:numId w:val="2"/>
        </w:numPr>
        <w:spacing w:before="60" w:after="60"/>
      </w:pPr>
      <w:r>
        <w:rPr>
          <w:rFonts w:ascii="Arial" w:cs="Arial" w:eastAsia="Arial" w:hAnsi="Arial"/>
          <w:b/>
          <w:bCs/>
          <w:sz w:val="22"/>
          <w:szCs w:val="22"/>
        </w:rPr>
        <w:t xml:space="preserve">Create virtual environment and install dependencies:</w:t>
      </w:r>
    </w:p>
    <w:p>
      <w:pPr>
        <w:shd w:fill="F4F6F7" w:val="clear"/>
        <w:spacing w:before="60" w:after="60"/>
        <w:ind w:left="720"/>
      </w:pPr>
      <w:r>
        <w:rPr>
          <w:rFonts w:ascii="Courier New" w:cs="Courier New" w:eastAsia="Courier New" w:hAnsi="Courier New"/>
          <w:color w:val="1A252F"/>
          <w:sz w:val="18"/>
          <w:szCs w:val="18"/>
        </w:rPr>
        <w:t xml:space="preserve">python -m venv .venv</w:t>
      </w:r>
    </w:p>
    <w:p>
      <w:pPr>
        <w:shd w:fill="F4F6F7" w:val="clear"/>
        <w:spacing w:before="60" w:after="60"/>
        <w:ind w:left="720"/>
      </w:pPr>
      <w:r>
        <w:rPr>
          <w:rFonts w:ascii="Courier New" w:cs="Courier New" w:eastAsia="Courier New" w:hAnsi="Courier New"/>
          <w:color w:val="1A252F"/>
          <w:sz w:val="18"/>
          <w:szCs w:val="18"/>
        </w:rPr>
        <w:t xml:space="preserve">.venv\Scripts\activate   # Windows</w:t>
      </w:r>
    </w:p>
    <w:p>
      <w:pPr>
        <w:shd w:fill="F4F6F7" w:val="clear"/>
        <w:spacing w:before="60" w:after="60"/>
        <w:ind w:left="720"/>
      </w:pPr>
      <w:r>
        <w:rPr>
          <w:rFonts w:ascii="Courier New" w:cs="Courier New" w:eastAsia="Courier New" w:hAnsi="Courier New"/>
          <w:color w:val="1A252F"/>
          <w:sz w:val="18"/>
          <w:szCs w:val="18"/>
        </w:rPr>
        <w:t xml:space="preserve">pip install -r requirements.txt</w:t>
      </w:r>
    </w:p>
    <w:p>
      <w:pPr>
        <w:pStyle w:val="ListParagraph"/>
        <w:numPr>
          <w:ilvl w:val="0"/>
          <w:numId w:val="2"/>
        </w:numPr>
        <w:spacing w:before="60" w:after="60"/>
      </w:pPr>
      <w:r>
        <w:rPr>
          <w:rFonts w:ascii="Arial" w:cs="Arial" w:eastAsia="Arial" w:hAnsi="Arial"/>
          <w:b/>
          <w:bCs/>
          <w:sz w:val="22"/>
          <w:szCs w:val="22"/>
        </w:rPr>
        <w:t xml:space="preserve">Fetch all data (requires internet):</w:t>
      </w:r>
    </w:p>
    <w:p>
      <w:pPr>
        <w:shd w:fill="F4F6F7" w:val="clear"/>
        <w:spacing w:before="60" w:after="60"/>
        <w:ind w:left="720"/>
      </w:pPr>
      <w:r>
        <w:rPr>
          <w:rFonts w:ascii="Courier New" w:cs="Courier New" w:eastAsia="Courier New" w:hAnsi="Courier New"/>
          <w:color w:val="1A252F"/>
          <w:sz w:val="18"/>
          <w:szCs w:val="18"/>
        </w:rPr>
        <w:t xml:space="preserve">python data/data_import.py</w:t>
      </w:r>
    </w:p>
    <w:p>
      <w:pPr>
        <w:pStyle w:val="ListParagraph"/>
        <w:numPr>
          <w:ilvl w:val="0"/>
          <w:numId w:val="2"/>
        </w:numPr>
        <w:spacing w:before="60" w:after="60"/>
      </w:pPr>
      <w:r>
        <w:rPr>
          <w:rFonts w:ascii="Arial" w:cs="Arial" w:eastAsia="Arial" w:hAnsi="Arial"/>
          <w:b/>
          <w:bCs/>
          <w:sz w:val="22"/>
          <w:szCs w:val="22"/>
        </w:rPr>
        <w:t xml:space="preserve">Run full analysis:</w:t>
      </w:r>
    </w:p>
    <w:p>
      <w:pPr>
        <w:shd w:fill="F4F6F7" w:val="clear"/>
        <w:spacing w:before="60" w:after="60"/>
        <w:ind w:left="720"/>
      </w:pPr>
      <w:r>
        <w:rPr>
          <w:rFonts w:ascii="Courier New" w:cs="Courier New" w:eastAsia="Courier New" w:hAnsi="Courier New"/>
          <w:color w:val="1A252F"/>
          <w:sz w:val="18"/>
          <w:szCs w:val="18"/>
        </w:rPr>
        <w:t xml:space="preserve">python main.py</w:t>
      </w:r>
    </w:p>
    <w:p>
      <w:pPr>
        <w:spacing w:before="80" w:after="80"/>
      </w:pPr>
      <w:r>
        <w:rPr>
          <w:rFonts w:ascii="Arial" w:cs="Arial" w:eastAsia="Arial" w:hAnsi="Arial"/>
          <w:sz w:val="22"/>
          <w:szCs w:val="22"/>
        </w:rPr>
        <w:t xml:space="preserve"/>
      </w:r>
    </w:p>
    <w:p>
      <w:pPr>
        <w:pBdr>
          <w:left w:val="single" w:color="2980B9" w:sz="12" w:space="10"/>
        </w:pBdr>
        <w:shd w:fill="EBF5FB" w:val="clear"/>
        <w:spacing w:before="100" w:after="100"/>
        <w:ind w:left="400"/>
      </w:pPr>
      <w:r>
        <w:rPr>
          <w:rFonts w:ascii="Arial" w:cs="Arial" w:eastAsia="Arial" w:hAnsi="Arial"/>
          <w:i/>
          <w:iCs/>
          <w:color w:val="1A5276"/>
          <w:sz w:val="20"/>
          <w:szCs w:val="20"/>
        </w:rPr>
        <w:t xml:space="preserve">ℹ️  Data files (*.parquet, *.csv, *.xlsx) are in .gitignore and will not be in the cloned repo. You must run data_import.py to generate them locally.</w:t>
      </w:r>
    </w:p>
    <w:p>
      <w:pPr>
        <w:pStyle w:val="Heading2"/>
        <w:spacing w:before="300" w:after="150"/>
      </w:pPr>
      <w:r>
        <w:rPr>
          <w:rFonts w:ascii="Arial" w:cs="Arial" w:eastAsia="Arial" w:hAnsi="Arial"/>
          <w:b/>
          <w:bCs/>
          <w:color w:val="2980B9"/>
          <w:sz w:val="26"/>
          <w:szCs w:val="26"/>
        </w:rPr>
        <w:t xml:space="preserve">10.1 requirements.txt</w:t>
      </w:r>
    </w:p>
    <w:p>
      <w:pPr>
        <w:shd w:fill="F4F6F7" w:val="clear"/>
        <w:spacing w:before="60" w:after="60"/>
        <w:ind w:left="720"/>
      </w:pPr>
      <w:r>
        <w:rPr>
          <w:rFonts w:ascii="Courier New" w:cs="Courier New" w:eastAsia="Courier New" w:hAnsi="Courier New"/>
          <w:color w:val="1A252F"/>
          <w:sz w:val="18"/>
          <w:szCs w:val="18"/>
        </w:rPr>
        <w:t xml:space="preserve">pandas</w:t>
      </w:r>
    </w:p>
    <w:p>
      <w:pPr>
        <w:shd w:fill="F4F6F7" w:val="clear"/>
        <w:spacing w:before="60" w:after="60"/>
        <w:ind w:left="720"/>
      </w:pPr>
      <w:r>
        <w:rPr>
          <w:rFonts w:ascii="Courier New" w:cs="Courier New" w:eastAsia="Courier New" w:hAnsi="Courier New"/>
          <w:color w:val="1A252F"/>
          <w:sz w:val="18"/>
          <w:szCs w:val="18"/>
        </w:rPr>
        <w:t xml:space="preserve">numpy</w:t>
      </w:r>
    </w:p>
    <w:p>
      <w:pPr>
        <w:shd w:fill="F4F6F7" w:val="clear"/>
        <w:spacing w:before="60" w:after="60"/>
        <w:ind w:left="720"/>
      </w:pPr>
      <w:r>
        <w:rPr>
          <w:rFonts w:ascii="Courier New" w:cs="Courier New" w:eastAsia="Courier New" w:hAnsi="Courier New"/>
          <w:color w:val="1A252F"/>
          <w:sz w:val="18"/>
          <w:szCs w:val="18"/>
        </w:rPr>
        <w:t xml:space="preserve">scipy</w:t>
      </w:r>
    </w:p>
    <w:p>
      <w:pPr>
        <w:shd w:fill="F4F6F7" w:val="clear"/>
        <w:spacing w:before="60" w:after="60"/>
        <w:ind w:left="720"/>
      </w:pPr>
      <w:r>
        <w:rPr>
          <w:rFonts w:ascii="Courier New" w:cs="Courier New" w:eastAsia="Courier New" w:hAnsi="Courier New"/>
          <w:color w:val="1A252F"/>
          <w:sz w:val="18"/>
          <w:szCs w:val="18"/>
        </w:rPr>
        <w:t xml:space="preserve">statsmodels</w:t>
      </w:r>
    </w:p>
    <w:p>
      <w:pPr>
        <w:shd w:fill="F4F6F7" w:val="clear"/>
        <w:spacing w:before="60" w:after="60"/>
        <w:ind w:left="720"/>
      </w:pPr>
      <w:r>
        <w:rPr>
          <w:rFonts w:ascii="Courier New" w:cs="Courier New" w:eastAsia="Courier New" w:hAnsi="Courier New"/>
          <w:color w:val="1A252F"/>
          <w:sz w:val="18"/>
          <w:szCs w:val="18"/>
        </w:rPr>
        <w:t xml:space="preserve">matplotlib</w:t>
      </w:r>
    </w:p>
    <w:p>
      <w:pPr>
        <w:shd w:fill="F4F6F7" w:val="clear"/>
        <w:spacing w:before="60" w:after="60"/>
        <w:ind w:left="720"/>
      </w:pPr>
      <w:r>
        <w:rPr>
          <w:rFonts w:ascii="Courier New" w:cs="Courier New" w:eastAsia="Courier New" w:hAnsi="Courier New"/>
          <w:color w:val="1A252F"/>
          <w:sz w:val="18"/>
          <w:szCs w:val="18"/>
        </w:rPr>
        <w:t xml:space="preserve">seaborn</w:t>
      </w:r>
    </w:p>
    <w:p>
      <w:pPr>
        <w:shd w:fill="F4F6F7" w:val="clear"/>
        <w:spacing w:before="60" w:after="60"/>
        <w:ind w:left="720"/>
      </w:pPr>
      <w:r>
        <w:rPr>
          <w:rFonts w:ascii="Courier New" w:cs="Courier New" w:eastAsia="Courier New" w:hAnsi="Courier New"/>
          <w:color w:val="1A252F"/>
          <w:sz w:val="18"/>
          <w:szCs w:val="18"/>
        </w:rPr>
        <w:t xml:space="preserve">yfinance</w:t>
      </w:r>
    </w:p>
    <w:p>
      <w:pPr>
        <w:shd w:fill="F4F6F7" w:val="clear"/>
        <w:spacing w:before="60" w:after="60"/>
        <w:ind w:left="720"/>
      </w:pPr>
      <w:r>
        <w:rPr>
          <w:rFonts w:ascii="Courier New" w:cs="Courier New" w:eastAsia="Courier New" w:hAnsi="Courier New"/>
          <w:color w:val="1A252F"/>
          <w:sz w:val="18"/>
          <w:szCs w:val="18"/>
        </w:rPr>
        <w:t xml:space="preserve">requests</w:t>
      </w:r>
    </w:p>
    <w:p>
      <w:pPr>
        <w:shd w:fill="F4F6F7" w:val="clear"/>
        <w:spacing w:before="60" w:after="60"/>
        <w:ind w:left="720"/>
      </w:pPr>
      <w:r>
        <w:rPr>
          <w:rFonts w:ascii="Courier New" w:cs="Courier New" w:eastAsia="Courier New" w:hAnsi="Courier New"/>
          <w:color w:val="1A252F"/>
          <w:sz w:val="18"/>
          <w:szCs w:val="18"/>
        </w:rPr>
        <w:t xml:space="preserve">pyarrow</w:t>
      </w:r>
    </w:p>
    <w:p>
      <w:pPr>
        <w:shd w:fill="F4F6F7" w:val="clear"/>
        <w:spacing w:before="60" w:after="60"/>
        <w:ind w:left="720"/>
      </w:pPr>
      <w:r>
        <w:rPr>
          <w:rFonts w:ascii="Courier New" w:cs="Courier New" w:eastAsia="Courier New" w:hAnsi="Courier New"/>
          <w:color w:val="1A252F"/>
          <w:sz w:val="18"/>
          <w:szCs w:val="18"/>
        </w:rPr>
        <w:t xml:space="preserve">openpyxl</w:t>
      </w:r>
    </w:p>
    <w:p>
      <w:pPr>
        <w:shd w:fill="F4F6F7" w:val="clear"/>
        <w:spacing w:before="60" w:after="60"/>
        <w:ind w:left="720"/>
      </w:pPr>
      <w:r>
        <w:rPr>
          <w:rFonts w:ascii="Courier New" w:cs="Courier New" w:eastAsia="Courier New" w:hAnsi="Courier New"/>
          <w:color w:val="1A252F"/>
          <w:sz w:val="18"/>
          <w:szCs w:val="18"/>
        </w:rPr>
        <w:t xml:space="preserve">jupyter</w:t>
      </w:r>
    </w:p>
    <w:p>
      <w:pPr>
        <w:pBdr>
          <w:bottom w:val="single" w:color="BDC3C7" w:sz="2" w:space="1"/>
        </w:pBdr>
        <w:spacing w:before="200" w:after="200"/>
      </w:pPr>
    </w:p>
    <w:p>
      <w:pPr>
        <w:spacing w:before="200" w:after="0"/>
        <w:jc w:val="center"/>
      </w:pPr>
      <w:r>
        <w:rPr>
          <w:rFonts w:ascii="Arial" w:cs="Arial" w:eastAsia="Arial" w:hAnsi="Arial"/>
          <w:i/>
          <w:iCs/>
          <w:color w:val="7F8C8D"/>
          <w:sz w:val="18"/>
          <w:szCs w:val="18"/>
        </w:rPr>
        <w:t xml:space="preserve">End of pipeline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2026-03-21T21:13:16.905Z</dcterms:created>
  <dcterms:modified xsi:type="dcterms:W3CDTF">2026-03-21T21:13:16.906Z</dcterms:modified>
</cp:coreProperties>
</file>

<file path=docProps/custom.xml><?xml version="1.0" encoding="utf-8"?>
<Properties xmlns="http://schemas.openxmlformats.org/officeDocument/2006/custom-properties" xmlns:vt="http://schemas.openxmlformats.org/officeDocument/2006/docPropsVTypes"/>
</file>