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Data Pipeline — Quick Reference</w:t>
      </w:r>
    </w:p>
    <w:p>
      <w:pPr>
        <w:spacing w:before="0" w:after="200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Fixed Income Case Study 28E00900 | Spring 2026</w:t>
      </w:r>
    </w:p>
    <w:p>
      <w:pPr>
        <w:pStyle w:val="Heading1"/>
        <w:pBdr>
          <w:bottom w:val="single" w:color="2980B9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Overview</w:t>
      </w:r>
    </w:p>
    <w:p>
      <w:pPr>
        <w:spacing w:before="60" w:after="60"/>
      </w:pPr>
      <w:r>
        <w:rPr>
          <w:rFonts w:ascii="Arial" w:cs="Arial" w:eastAsia="Arial" w:hAnsi="Arial"/>
          <w:sz w:val="19"/>
          <w:szCs w:val="19"/>
        </w:rPr>
        <w:t xml:space="preserve">Run order: (1) data_import.py — fetches all data from external sources and saves to data/processed/. (2) main.py — runs all Q modules and saves charts to outputs/. Data files are excluded from git; every team member must run data_import.py after cloning.</w:t>
      </w:r>
    </w:p>
    <w:p>
      <w:pPr>
        <w:pStyle w:val="Heading1"/>
        <w:pBdr>
          <w:bottom w:val="single" w:color="2980B9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Data Sources</w:t>
      </w:r>
    </w:p>
    <w:p>
      <w:pPr>
        <w:pStyle w:val="Heading2"/>
        <w:spacing w:before="160" w:after="80"/>
      </w:pPr>
      <w:r>
        <w:rPr>
          <w:rFonts w:ascii="Arial" w:cs="Arial" w:eastAsia="Arial" w:hAnsi="Arial"/>
          <w:b/>
          <w:bCs/>
          <w:color w:val="2980B9"/>
          <w:sz w:val="22"/>
          <w:szCs w:val="22"/>
        </w:rPr>
        <w:t xml:space="preserve">ECB AAA Spot Rates — fetched via API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Source: </w:t>
      </w:r>
      <w:r>
        <w:rPr>
          <w:rFonts w:ascii="Arial" w:cs="Arial" w:eastAsia="Arial" w:hAnsi="Arial"/>
          <w:sz w:val="19"/>
          <w:szCs w:val="19"/>
        </w:rPr>
        <w:t xml:space="preserve">data-api.ecb.europa.eu  |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Coverage: </w:t>
      </w:r>
      <w:r>
        <w:rPr>
          <w:rFonts w:ascii="Arial" w:cs="Arial" w:eastAsia="Arial" w:hAnsi="Arial"/>
          <w:sz w:val="19"/>
          <w:szCs w:val="19"/>
        </w:rPr>
        <w:t xml:space="preserve">Sep 2004 – Dec 2025  |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Saved to: </w:t>
      </w:r>
      <w:r>
        <w:rPr>
          <w:rFonts w:ascii="Arial" w:cs="Arial" w:eastAsia="Arial" w:hAnsi="Arial"/>
          <w:sz w:val="19"/>
          <w:szCs w:val="19"/>
        </w:rPr>
        <w:t xml:space="preserve">data/processed/ecb_spot_rates.parquet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Maturities: </w:t>
      </w:r>
      <w:r>
        <w:rPr>
          <w:rFonts w:ascii="Arial" w:cs="Arial" w:eastAsia="Arial" w:hAnsi="Arial"/>
          <w:sz w:val="19"/>
          <w:szCs w:val="19"/>
        </w:rPr>
        <w:t xml:space="preserve">1Y, 2Y, 3Y, 4Y, 5Y, 10Y, 30Y — one API call per maturity, concatenated into one DataFrame, resampled to month-end.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Why AAA: </w:t>
      </w:r>
      <w:r>
        <w:rPr>
          <w:rFonts w:ascii="Arial" w:cs="Arial" w:eastAsia="Arial" w:hAnsi="Arial"/>
          <w:sz w:val="19"/>
          <w:szCs w:val="19"/>
        </w:rPr>
        <w:t xml:space="preserve">Excludes Italy/Spain sovereign credit risk, giving a clean risk-free rate benchmark for yield curve and forward rate analysis.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Why not 2000: </w:t>
      </w:r>
      <w:r>
        <w:rPr>
          <w:rFonts w:ascii="Arial" w:cs="Arial" w:eastAsia="Arial" w:hAnsi="Arial"/>
          <w:sz w:val="19"/>
          <w:szCs w:val="19"/>
        </w:rPr>
        <w:t xml:space="preserve">ECB AAA series starts Sep 2004 — known limitation, noted in report.</w:t>
      </w:r>
    </w:p>
    <w:p>
      <w:pPr>
        <w:spacing w:before="60" w:after="6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Style w:val="Heading2"/>
        <w:spacing w:before="160" w:after="80"/>
      </w:pPr>
      <w:r>
        <w:rPr>
          <w:rFonts w:ascii="Arial" w:cs="Arial" w:eastAsia="Arial" w:hAnsi="Arial"/>
          <w:b/>
          <w:bCs/>
          <w:color w:val="2980B9"/>
          <w:sz w:val="22"/>
          <w:szCs w:val="22"/>
        </w:rPr>
        <w:t xml:space="preserve">ETF Total Returns — fetched via yfinance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Source: </w:t>
      </w:r>
      <w:r>
        <w:rPr>
          <w:rFonts w:ascii="Arial" w:cs="Arial" w:eastAsia="Arial" w:hAnsi="Arial"/>
          <w:sz w:val="19"/>
          <w:szCs w:val="19"/>
        </w:rPr>
        <w:t xml:space="preserve">Yahoo Finance (yfinance)  |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Coverage: </w:t>
      </w:r>
      <w:r>
        <w:rPr>
          <w:rFonts w:ascii="Arial" w:cs="Arial" w:eastAsia="Arial" w:hAnsi="Arial"/>
          <w:sz w:val="19"/>
          <w:szCs w:val="19"/>
        </w:rPr>
        <w:t xml:space="preserve">~2003 – Dec 2025  |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Saved to: </w:t>
      </w:r>
      <w:r>
        <w:rPr>
          <w:rFonts w:ascii="Arial" w:cs="Arial" w:eastAsia="Arial" w:hAnsi="Arial"/>
          <w:sz w:val="19"/>
          <w:szCs w:val="19"/>
        </w:rPr>
        <w:t xml:space="preserve">data/processed/etf_prices.parquet + etf_returns.parquet</w:t>
      </w:r>
    </w:p>
    <w:p>
      <w:pPr>
        <w:spacing w:before="60" w:after="60"/>
      </w:pPr>
      <w:r>
        <w:rPr>
          <w:rFonts w:ascii="Arial" w:cs="Arial" w:eastAsia="Arial" w:hAnsi="Arial"/>
          <w:sz w:val="19"/>
          <w:szCs w:val="19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3600"/>
        <w:gridCol w:w="2360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Ticker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tracks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in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govt_short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IBGS.AS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iShares Euro Govt Bond 1-3Y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Q3, Q4, Q5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govt_mid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IBGM.AS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iShares Euro Govt Bond 7-10Y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Q3, Q4, Q5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govt_long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IBGL.AS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iShares Euro Govt Bond 15-30Y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Q3, Q5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corp_ig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IEAC.AS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iShares Core EUR Corp Bond IG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Q4, Q5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equity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IMEU.AS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iShares MSCI Europe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Q5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auto_adjust=True: </w:t>
      </w:r>
      <w:r>
        <w:rPr>
          <w:rFonts w:ascii="Arial" w:cs="Arial" w:eastAsia="Arial" w:hAnsi="Arial"/>
          <w:sz w:val="19"/>
          <w:szCs w:val="19"/>
        </w:rPr>
        <w:t xml:space="preserve">Adjusts for dividend distributions — without this, coupon payments appear as spurious price drops.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Log returns: </w:t>
      </w:r>
      <w:r>
        <w:rPr>
          <w:rFonts w:ascii="Arial" w:cs="Arial" w:eastAsia="Arial" w:hAnsi="Arial"/>
          <w:sz w:val="19"/>
          <w:szCs w:val="19"/>
        </w:rPr>
        <w:t xml:space="preserve">r_t = ln(P_t / P_{t-1}) — additive over time, used throughout all Q modules.</w:t>
      </w:r>
    </w:p>
    <w:p>
      <w:pPr>
        <w:pStyle w:val="Heading1"/>
        <w:pBdr>
          <w:bottom w:val="single" w:color="2980B9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Key Formulas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400"/>
        <w:gridCol w:w="3760"/>
      </w:tblGrid>
      <w:tr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Formula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Where used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</w:tr>
      <w:tr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f(n,n+1) = [(1+s_{n+1})^{n+1} / (1+s_n)^n] - 1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Q2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Implied 1Y forward rate n years ahead from spot curve</w:t>
            </w:r>
          </w:p>
        </w:tc>
      </w:tr>
      <w:tr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realized = alpha + beta * forward + epsilon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Q2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Fama-Bliss regression: beta=1 means EH holds, beta&lt;1 means term premium</w:t>
            </w:r>
          </w:p>
        </w:tc>
      </w:tr>
      <w:tr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Ann. Return = mean(r_monthly) * 12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Q3, Q4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Annualised log return from monthly observations</w:t>
            </w:r>
          </w:p>
        </w:tc>
      </w:tr>
      <w:tr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Ann. Vol = std(r_monthly) * sqrt(12)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Q3, Q4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Annualised volatility</w:t>
            </w:r>
          </w:p>
        </w:tc>
      </w:tr>
      <w:tr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Sharpe = Ann.Return / Ann.Vol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Q3, Q4, Q5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Return per unit of risk (no rf deduction within bond comparisons)</w:t>
            </w:r>
          </w:p>
        </w:tc>
      </w:tr>
      <w:tr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MaxDD = min((cum_t - max(cum_s&lt;=t)) / max(cum_s&lt;=t))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Q3, Q4, Q5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Largest peak-to-trough loss from cumulative return index</w:t>
            </w:r>
          </w:p>
        </w:tc>
      </w:tr>
      <w:tr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corp_excess = corp_ret - alpha - beta_eq*eq - beta_govt*govt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Q5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Systematic risk decomposition: isolates pure credit alpha</w:t>
            </w:r>
          </w:p>
        </w:tc>
      </w:tr>
    </w:tbl>
    <w:p>
      <w:pPr>
        <w:pStyle w:val="Heading1"/>
        <w:pBdr>
          <w:bottom w:val="single" w:color="2980B9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Sub-period Definitions  (config.py)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Label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Dates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rationale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Pre-GFC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2004-09 → 2007-07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Stable expansion, ECB gradually raising rates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Pre-Lehman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2007-08 → 2008-08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Crisis beginning, ECB still fighting inflation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Post-Lehman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2008-09 → 2009-12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Aggressive ECB cuts, curve steepens sharply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Sovereign Crisis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2010-01 → 2012-12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Peripheral spread blowout, ECB policy mistakes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QE Era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2013-01 → 2021-12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Negative rates, QE, historically flat curve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Hiking Cycle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2022-01 → 2025-12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Fastest ECB hikes in history, curve inverts</w:t>
            </w:r>
          </w:p>
        </w:tc>
      </w:tr>
    </w:tbl>
    <w:p>
      <w:pPr>
        <w:pBdr>
          <w:bottom w:val="single" w:color="BDC3C7" w:sz="2" w:space="1"/>
        </w:pBdr>
        <w:spacing w:before="120" w:after="120"/>
      </w:pPr>
    </w:p>
    <w:p>
      <w:pPr>
        <w:pStyle w:val="Heading1"/>
        <w:pBdr>
          <w:bottom w:val="single" w:color="2980B9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Module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One-sentence description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config.py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Defines all shared constants (sub-period dates, file paths, column names) that every other module imports — change here, it propagates everywhere.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data_loader.py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Single access point for loading parquet files — analysis modules call load_spot_rates() etc. instead of reading files directly, so path changes only need fixing in one place.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plotting.py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Shared chart styling helpers (colors, fonts, sub-period shading) so all exhibits have a consistent visual style across Q files.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data_import.py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Fetches ECB spot rates via API and ETF prices via yfinance, computes log returns, and saves everything to data/processed/ as parquet files.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main.py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Master runner that imports all Q modules, calls run_all() on each with a failsafe wrapper that skips unimplemented modules gracefully, and saves all figures to outputs/.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Q1_yield_curve.py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Plots rate levels, 2s10s slope, average yield curves per sub-period, and a heatmap to show how the curve's level and shape evolved 2004-2025.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Q2_forward_rates.py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Computes implied forward rates from the spot curve, aligns them with realized future rates, and runs Fama-Bliss OLS regressions to test whether forward rates predict future rates.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Q3_duration_risk.py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Compares cumulative returns, drawdowns, and risk-adjusted statistics across short/mid/long government bond ETF buckets to assess whether duration risk has been compensated.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Q4_credit_markets.py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Computes realized returns and risk statistics for corporate vs government bonds, isolates the credit excess return time series, and tests whether a positive credit premium has existed.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Q4_credit_markets.py (Q5)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Constructs bond-only and diversified bond-equity portfolios, compares their risk-return profiles, and runs a multi-factor regression to decompose corporate bond returns into equity risk, duration risk, and residual credit alpha.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90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before="160" w:after="8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2026-03-21T21:24:39.197Z</dcterms:created>
  <dcterms:modified xsi:type="dcterms:W3CDTF">2026-03-21T21:24:39.197Z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