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038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Dear Editors,</w:t>
      </w:r>
    </w:p>
    <w:p w14:paraId="1F68A54D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are pleased to submit our manuscript entitled "Poincaré MDS: Hyperbolic Embedding Reveals Hierarchical Organization in Spatial Transcriptomics" for consideration as a Research Article in Nature Methods.</w:t>
      </w:r>
    </w:p>
    <w:p w14:paraId="6DF61FD3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Spatial transcriptomics technologies have transformed our ability to study gene expression in native tissue context. A critical analytical step is dimensionality reduction, yet current methods — UMAP, t-SNE, and PHATE — do not explicitly model the hierarchical organization intrinsic to biological tissues, where cells differentiate along branching trajectories and tissue regions are organized in nested spatial domains.</w:t>
      </w:r>
    </w:p>
    <w:p w14:paraId="4522250B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introduce Poincaré MDS, a method that embeds spatial transcriptomics data into the Poincaré disk of hyperbolic space, where the radial coordinate naturally encodes hierarchical depth. The method builds a k-nearest-neighbor graph in PCA space, computes shortest-path distances, and optimizes a stress function on the Poincaré ball manifold using Riemannian Adam. We complement this with Hyperbolic Niche, a framework that defines cell neighborhoods using geodesic distances rather than Euclidean spatial distances, enabling principled analysis of cell–cell interactions.</w:t>
      </w:r>
    </w:p>
    <w:p w14:paraId="200D4AE0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key contributions of this work are:</w:t>
      </w:r>
    </w:p>
    <w:p w14:paraId="5930D144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We demonstrate that embedding stress scales as O(ln D) for hierarchical data (R² = 0.997), with a crossover advantage over Euclidean MDS at tree depth ≥ 4 — a regime that encompasses typical tissue architectures.</w:t>
      </w:r>
    </w:p>
    <w:p w14:paraId="71F9F92A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On gastric cancer Visium data (4,252 spots across 10 tissue sections), Poincaré MDS achieves the highest hierarchical clustering quality (NMI = 0.349, ARI = 0.225) among all tested methods, while ranking second in distance preservation (ρ = 0.883).</w:t>
      </w:r>
    </w:p>
    <w:p w14:paraId="3156363A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Hyperbolic niches show significantly higher cell-type purity than spatial neighborhoods (0.932 vs. 0.560, p &lt; 10⁻¹⁴⁰), and identify biologically meaningful cell–cell interactions validated by ligand–receptor co-expression analysis.</w:t>
      </w:r>
    </w:p>
    <w:p w14:paraId="4654B8E8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Cross-platform validation on Slide-seq V2 cerebellum (NMI = 0.626, radius–layer ρ = 0.796) and developmental cortex (ρ = 0.196, p = 7.58 × 10⁻¹⁹) confirms that the hierarchical encoding generalizes across independent datasets, platforms, and tissue types.</w:t>
      </w:r>
    </w:p>
    <w:p w14:paraId="0519678F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believe this work will be of broad interest to the Nature Methods readership, as it introduces a mathematically principled framework that addresses a fundamental limitation of current dimensionality reduction approaches in spatial transcriptomics. The method is implemented as an open-source Python package with full documentation.</w:t>
      </w:r>
    </w:p>
    <w:p w14:paraId="2B97B9A7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authors have read and approved the manuscript. The authors declare no competing interests.</w:t>
      </w:r>
    </w:p>
    <w:p w14:paraId="0491A094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77FE10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Sincerely,</w:t>
      </w:r>
    </w:p>
    <w:p w14:paraId="7B9AA4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Keran Sun, on behalf of all authors</w:t>
      </w:r>
    </w:p>
    <w:p w14:paraId="59D228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Department of Gastroenterology, The Fourth Hospital of Hebei Medical University</w:t>
      </w:r>
    </w:p>
    <w:p w14:paraId="17ED8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Email: sunkeran@stu.hebmu.edu.cn</w:t>
      </w:r>
    </w:p>
    <w:p w14:paraId="66B429E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5E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2026-05-11T09:49:26Z</dcterms:created>
  <dc:creator>Sun</dc:creator>
  <cp:lastModifiedBy>Sunlab</cp:lastModifiedBy>
  <dcterms:modified xsi:type="dcterms:W3CDTF">2026-05-11T09:50:19Z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eyJoZGlkIjoiOWJlN2U0MmI2MzFmMjAxMGViZTZiY2Y4ZmNhZjY2ZTciLCJ1c2VySWQiOiIyODY0MTc4NDcifQ==</vt:lpwstr>
  </property>
  <property fmtid="{D5CDD505-2E9C-101B-9397-08002B2CF9AE}" pid="4" name="ICV">
    <vt:lpwstr>2B9F786B23B14AF68D4FA2897AE97C6B_12</vt:lpwstr>
  </property>
</Properties>
</file>